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Chapter 23_Aerial and Foliar Treatments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b w:val="1"/>
          <w:rtl w:val="0"/>
        </w:rPr>
        <w:tab/>
      </w:r>
      <w:r w:rsidDel="00000000" w:rsidR="00000000" w:rsidRPr="00000000">
        <w:rPr>
          <w:rtl w:val="0"/>
        </w:rPr>
        <w:t xml:space="preserve">Even when a farmer fosters a healthy soil environment and starts with clean plant propagants, whether seed or clone, problems may move into an area under cultivation through the air. Again, the importance of routine scouting and daily observation of plants cannot be overstated. An ounce of prevention is worth a pound of cure. However, issues almost always arise and cultivators must know what they have in their arsenal that can be used to decrease the impact of pests on overall yields.</w:t>
      </w:r>
    </w:p>
    <w:p w:rsidR="00000000" w:rsidDel="00000000" w:rsidP="00000000" w:rsidRDefault="00000000" w:rsidRPr="00000000" w14:paraId="00000004">
      <w:pPr>
        <w:spacing w:line="480" w:lineRule="auto"/>
        <w:ind w:firstLine="720"/>
        <w:rPr/>
      </w:pPr>
      <w:r w:rsidDel="00000000" w:rsidR="00000000" w:rsidRPr="00000000">
        <w:rPr>
          <w:rtl w:val="0"/>
        </w:rPr>
        <w:t xml:space="preserve">Indoor farmers may limit the introduction of airborne pathogens by physically filtering incoming air, though many fungal spores, particularly conidia, are very small and can only be filtered by high-efficiency particulate air filters (though lower rated filters may still reduce pathogen load in the air). Air treatments, including ultraviolet light and ozone may also be used to kill living spores and airborne bacteria. Both ultraviolet light and ozone pose dangers to humans and thus their applications must be performed in a way that eliminates human exposures.  When problems do arise on above ground tissue, cultural controls and applied products may be used to minimize losses or, ideally, rectify the problem completely. </w:t>
      </w:r>
    </w:p>
    <w:p w:rsidR="00000000" w:rsidDel="00000000" w:rsidP="00000000" w:rsidRDefault="00000000" w:rsidRPr="00000000" w14:paraId="00000005">
      <w:pPr>
        <w:spacing w:line="480" w:lineRule="auto"/>
        <w:rPr/>
      </w:pPr>
      <w:r w:rsidDel="00000000" w:rsidR="00000000" w:rsidRPr="00000000">
        <w:rPr>
          <w:rtl w:val="0"/>
        </w:rPr>
        <w:tab/>
        <w:t xml:space="preserve">Many of the chapters in Section 3 of this book deal with aerial and foliar fungal pathogens. These include powdery mildew, bud rot, cankers, and leaf spots. All of these are primarily airborne diseases, where the causal agents disperse spores in the wind onto actively growing crops. A farmer should always aim to reduce risks posed to a crop by these invaders by cultivating healthy plants capable of robust physical defenses and innate immunity. In addition to proper plant nutrition and environmental optimization, ensuring a healthy plant microbiome is another step towards crop protection. However, beyond providing a strong foundation of plant defenses, preventing and responding to airborne pathogens may also necessitate application of aerial and foliar treatments.</w:t>
      </w:r>
    </w:p>
    <w:p w:rsidR="00000000" w:rsidDel="00000000" w:rsidP="00000000" w:rsidRDefault="00000000" w:rsidRPr="00000000" w14:paraId="00000006">
      <w:pPr>
        <w:spacing w:line="480" w:lineRule="auto"/>
        <w:ind w:firstLine="720"/>
        <w:rPr/>
      </w:pPr>
      <w:r w:rsidDel="00000000" w:rsidR="00000000" w:rsidRPr="00000000">
        <w:rPr>
          <w:rtl w:val="0"/>
        </w:rPr>
        <w:t xml:space="preserve">A farmer should begin by (1) choosing the proper crop genetics to match their local threats, (2) optimizing their growing environment (within the confines of the particular system), (3) cultivating healthy, microbiome rich plants, and (4) use appropriate horticultural techniques, such as pruning and canopy management, in order to eliminate microclimates favorable to disease. These efforts should limit the ability of airborne invaders to colonize a crop, and will reduce the severity of damage if pathogen outbreaks do occur. Specific biological control options antagonistic to potential threats may be applied, though these perform best when applications begin before disease outbreaks occur, as a regular part of an integrated pest management plan. The last option in dealing with aerial pathogens is the application of chemical controls. Chemical controls are limited for most </w:t>
      </w:r>
      <w:r w:rsidDel="00000000" w:rsidR="00000000" w:rsidRPr="00000000">
        <w:rPr>
          <w:i w:val="1"/>
          <w:rtl w:val="0"/>
        </w:rPr>
        <w:t xml:space="preserve">Cannabis</w:t>
      </w:r>
      <w:r w:rsidDel="00000000" w:rsidR="00000000" w:rsidRPr="00000000">
        <w:rPr>
          <w:rtl w:val="0"/>
        </w:rPr>
        <w:t xml:space="preserve"> growers due to the lack of EPA registered products labeled for use on this still newly legalized crop. Despite this, there are a number of organic products that may be applied as aerial sprays where local laws permit. This includes products that fall under the EPA 25b exemption.</w:t>
      </w:r>
    </w:p>
    <w:p w:rsidR="00000000" w:rsidDel="00000000" w:rsidP="00000000" w:rsidRDefault="00000000" w:rsidRPr="00000000" w14:paraId="00000007">
      <w:pPr>
        <w:spacing w:line="480" w:lineRule="auto"/>
        <w:ind w:firstLine="720"/>
        <w:rPr/>
      </w:pPr>
      <w:r w:rsidDel="00000000" w:rsidR="00000000" w:rsidRPr="00000000">
        <w:rPr>
          <w:rtl w:val="0"/>
        </w:rPr>
        <w:t xml:space="preserve">Many products that are approved for use on </w:t>
      </w:r>
      <w:r w:rsidDel="00000000" w:rsidR="00000000" w:rsidRPr="00000000">
        <w:rPr>
          <w:i w:val="1"/>
          <w:rtl w:val="0"/>
        </w:rPr>
        <w:t xml:space="preserve">Cannabis</w:t>
      </w:r>
      <w:r w:rsidDel="00000000" w:rsidR="00000000" w:rsidRPr="00000000">
        <w:rPr>
          <w:rtl w:val="0"/>
        </w:rPr>
        <w:t xml:space="preserve"> are products that are exempt from EPA registration. The EPA 25b exemption is a list of ~45  ‘minimum risk’ active ingredients that are deemed generally safe and allowed for use in pesticides that do not need to be registered with the EPA. The list includes oils such as thyme and spearmint oil and also salts such as sodium chloride and potassium sorbate (40 CFR 180). Typically, all other pesticide products must first be registered with the Environmental Protection Agency before they can be sold at stores or to growers. This is a lengthy and rigorous process that requires manufacturers to supply data on the efficacy, environmental impact, host specificity, product chemistry, etc; the intention here is that by submitting all of the supporting evidence, pesticides on the market will be safe to use and free of adulterants. </w:t>
      </w:r>
    </w:p>
    <w:p w:rsidR="00000000" w:rsidDel="00000000" w:rsidP="00000000" w:rsidRDefault="00000000" w:rsidRPr="00000000" w14:paraId="00000008">
      <w:pPr>
        <w:spacing w:line="240" w:lineRule="auto"/>
        <w:ind w:left="0" w:firstLine="0"/>
        <w:rPr/>
      </w:pPr>
      <w:r w:rsidDel="00000000" w:rsidR="00000000" w:rsidRPr="00000000">
        <w:rPr>
          <w:rtl w:val="0"/>
        </w:rPr>
        <w:t xml:space="preserve">Table 23.1. Biological and chemical control agents commercially available for use in </w:t>
      </w:r>
      <w:r w:rsidDel="00000000" w:rsidR="00000000" w:rsidRPr="00000000">
        <w:rPr>
          <w:i w:val="1"/>
          <w:rtl w:val="0"/>
        </w:rPr>
        <w:t xml:space="preserve">Cannabis</w:t>
      </w:r>
      <w:r w:rsidDel="00000000" w:rsidR="00000000" w:rsidRPr="00000000">
        <w:rPr>
          <w:rtl w:val="0"/>
        </w:rPr>
        <w:t xml:space="preserve"> production capable of plant protection against aerial pathogens</w:t>
      </w:r>
    </w:p>
    <w:p w:rsidR="00000000" w:rsidDel="00000000" w:rsidP="00000000" w:rsidRDefault="00000000" w:rsidRPr="00000000" w14:paraId="00000009">
      <w:pPr>
        <w:spacing w:line="24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Ingredient or biocontrol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Brand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Serenade, Cease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Gliocladium catenulatum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Beauveria bassiana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Mycotrol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color w:val="333333"/>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Botrystop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Streptomyces griseoviridis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Mycostop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Actinovate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color w:val="444444"/>
                <w:highlight w:val="white"/>
                <w:rtl w:val="0"/>
              </w:rPr>
              <w:t xml:space="preserve">Bacillus amyloliquefaciens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Stargus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RootShield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i w:val="1"/>
                <w:color w:val="444444"/>
                <w:highlight w:val="white"/>
                <w:rtl w:val="0"/>
              </w:rPr>
              <w:t xml:space="preserve">Reynoutria sachalinensis</w:t>
            </w:r>
            <w:r w:rsidDel="00000000" w:rsidR="00000000" w:rsidRPr="00000000">
              <w:rPr>
                <w:rtl w:val="0"/>
              </w:rPr>
              <w:t xml:space="preserve"> (plant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Regalia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Neem oil and azadirachtin (plant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Commonly available as an oil extract from many brands. Trilogy is a clarified oil. Azatrol and azamax contain isolated azadirachtin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Potassium carbonate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Milstop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Potassium silicate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AgSil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Micronized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Elemental sulfur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Copper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Copper Sulfate Heptahydrate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Calcium 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Hydrated Lime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Mineral oil/paraffins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Suffoil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highlight w:val="white"/>
                <w:rtl w:val="0"/>
              </w:rPr>
              <w:t xml:space="preserve">Peroxyacetic acid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Jet 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Hydrogen peroxide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2">
      <w:pPr>
        <w:spacing w:line="480" w:lineRule="auto"/>
        <w:ind w:left="0" w:firstLine="0"/>
        <w:rPr/>
      </w:pPr>
      <w:r w:rsidDel="00000000" w:rsidR="00000000" w:rsidRPr="00000000">
        <w:rPr>
          <w:rtl w:val="0"/>
        </w:rPr>
      </w:r>
    </w:p>
    <w:p w:rsidR="00000000" w:rsidDel="00000000" w:rsidP="00000000" w:rsidRDefault="00000000" w:rsidRPr="00000000" w14:paraId="00000033">
      <w:pPr>
        <w:spacing w:line="480" w:lineRule="auto"/>
        <w:ind w:left="0" w:firstLine="0"/>
        <w:rPr/>
      </w:pPr>
      <w:r w:rsidDel="00000000" w:rsidR="00000000" w:rsidRPr="00000000">
        <w:rPr>
          <w:rtl w:val="0"/>
        </w:rPr>
      </w:r>
    </w:p>
    <w:p w:rsidR="00000000" w:rsidDel="00000000" w:rsidP="00000000" w:rsidRDefault="00000000" w:rsidRPr="00000000" w14:paraId="00000034">
      <w:pPr>
        <w:spacing w:line="480" w:lineRule="auto"/>
        <w:ind w:firstLine="720"/>
        <w:rPr/>
      </w:pPr>
      <w:r w:rsidDel="00000000" w:rsidR="00000000" w:rsidRPr="00000000">
        <w:rPr>
          <w:rtl w:val="0"/>
        </w:rPr>
        <w:t xml:space="preserve">Pesticide products have lengthy labels with information such as usage rates, what crops it can be used on, safety info, re-entry intervals, and how and when to apply. Growers must read label information before applying pesticides, and should be applied as labeled. In many states, the Department of Agricultures require a pesticide handling license to administer pesticides.</w:t>
      </w:r>
    </w:p>
    <w:p w:rsidR="00000000" w:rsidDel="00000000" w:rsidP="00000000" w:rsidRDefault="00000000" w:rsidRPr="00000000" w14:paraId="00000035">
      <w:pPr>
        <w:spacing w:line="480" w:lineRule="auto"/>
        <w:ind w:firstLine="720"/>
        <w:rPr/>
      </w:pPr>
      <w:r w:rsidDel="00000000" w:rsidR="00000000" w:rsidRPr="00000000">
        <w:rPr>
          <w:rtl w:val="0"/>
        </w:rPr>
        <w:t xml:space="preserve">Biological pesticides are products that contain active ingredients that are biological control agents (BAC) which are living organisms which inhibit or deter the growth of a particular pathogen(s). Some of these organisms produce toxins that antagonize the growth of pathogens (e.g. </w:t>
      </w:r>
      <w:r w:rsidDel="00000000" w:rsidR="00000000" w:rsidRPr="00000000">
        <w:rPr>
          <w:i w:val="1"/>
          <w:rtl w:val="0"/>
        </w:rPr>
        <w:t xml:space="preserve">Streptomyces lydicus</w:t>
      </w:r>
      <w:r w:rsidDel="00000000" w:rsidR="00000000" w:rsidRPr="00000000">
        <w:rPr>
          <w:rtl w:val="0"/>
        </w:rPr>
        <w:t xml:space="preserve">) whereas others may directly parasitize pathogenic fungi (e.g. </w:t>
      </w:r>
      <w:r w:rsidDel="00000000" w:rsidR="00000000" w:rsidRPr="00000000">
        <w:rPr>
          <w:i w:val="1"/>
          <w:rtl w:val="0"/>
        </w:rPr>
        <w:t xml:space="preserve">Trichoderma harzianum</w:t>
      </w:r>
      <w:r w:rsidDel="00000000" w:rsidR="00000000" w:rsidRPr="00000000">
        <w:rPr>
          <w:rtl w:val="0"/>
        </w:rPr>
        <w:t xml:space="preserve">). </w:t>
      </w:r>
    </w:p>
    <w:p w:rsidR="00000000" w:rsidDel="00000000" w:rsidP="00000000" w:rsidRDefault="00000000" w:rsidRPr="00000000" w14:paraId="00000036">
      <w:pPr>
        <w:spacing w:line="480" w:lineRule="auto"/>
        <w:ind w:left="0" w:firstLine="720"/>
        <w:rPr/>
      </w:pPr>
      <w:r w:rsidDel="00000000" w:rsidR="00000000" w:rsidRPr="00000000">
        <w:rPr>
          <w:rtl w:val="0"/>
        </w:rPr>
        <w:t xml:space="preserve">Using actively aerated compost teas as preventative measures to decrease potential pathogen infection has been shown to be effective, though there are many variables with this method (Scheuerell and Mahafee 2002). The most likely mechanism of action for compost teas is to outcompete pathogens for space and resources, though many teas likely contain direct antagonists (BACs). If the phyllosphere is filled with communities of beneficial organisms, there will be less habitat and nutrients for unwanted microbes to get a foothold. The key here is to start with high quality compost and exponentially grow the biological populations so that when the solution is applied to the plant the microbes are actively growing, before food becomes limiting and the total microbial population begins to crash. There are four distinct stages of microbial populations when grown in culture with limited food: lag, exponential (log phase), stationary, and death. This is complicated when many species are present, as in compost teas, as some species may become food for others as they die. This results in waves of different species becoming more numerous or dominating the culture over time. By applying at a time when the total microbe population is in exponential growth there should be a diversity of species populations that are active and alive. </w:t>
      </w:r>
    </w:p>
    <w:p w:rsidR="00000000" w:rsidDel="00000000" w:rsidP="00000000" w:rsidRDefault="00000000" w:rsidRPr="00000000" w14:paraId="00000037">
      <w:pPr>
        <w:spacing w:line="480" w:lineRule="auto"/>
        <w:ind w:left="0" w:firstLine="720"/>
        <w:rPr/>
      </w:pPr>
      <w:r w:rsidDel="00000000" w:rsidR="00000000" w:rsidRPr="00000000">
        <w:rPr>
          <w:rtl w:val="0"/>
        </w:rPr>
      </w:r>
    </w:p>
    <w:p w:rsidR="00000000" w:rsidDel="00000000" w:rsidP="00000000" w:rsidRDefault="00000000" w:rsidRPr="00000000" w14:paraId="00000038">
      <w:pPr>
        <w:spacing w:line="480" w:lineRule="auto"/>
        <w:ind w:left="0" w:firstLine="0"/>
        <w:rPr/>
      </w:pPr>
      <w:r w:rsidDel="00000000" w:rsidR="00000000" w:rsidRPr="00000000">
        <w:rPr>
          <w:rtl w:val="0"/>
        </w:rPr>
        <w:t xml:space="preserve">Table 23.2  Matching pathogens with </w:t>
      </w:r>
      <w:sdt>
        <w:sdtPr>
          <w:tag w:val="goog_rdk_0"/>
        </w:sdtPr>
        <w:sdtContent>
          <w:commentRangeStart w:id="0"/>
        </w:sdtContent>
      </w:sdt>
      <w:r w:rsidDel="00000000" w:rsidR="00000000" w:rsidRPr="00000000">
        <w:rPr>
          <w:rtl w:val="0"/>
        </w:rPr>
        <w:t xml:space="preserve">treatments</w:t>
      </w:r>
      <w:commentRangeEnd w:id="0"/>
      <w:r w:rsidDel="00000000" w:rsidR="00000000" w:rsidRPr="00000000">
        <w:commentReference w:id="0"/>
      </w:r>
      <w:r w:rsidDel="00000000" w:rsidR="00000000" w:rsidRPr="00000000">
        <w:rPr>
          <w:rtl w:val="0"/>
        </w:rPr>
      </w:r>
    </w:p>
    <w:tbl>
      <w:tblPr>
        <w:tblStyle w:val="Table2"/>
        <w:tblW w:w="964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320"/>
        <w:gridCol w:w="1320"/>
        <w:gridCol w:w="1320"/>
        <w:gridCol w:w="1320"/>
        <w:gridCol w:w="1320"/>
        <w:gridCol w:w="1575"/>
        <w:tblGridChange w:id="0">
          <w:tblGrid>
            <w:gridCol w:w="1470"/>
            <w:gridCol w:w="1320"/>
            <w:gridCol w:w="1320"/>
            <w:gridCol w:w="1320"/>
            <w:gridCol w:w="1320"/>
            <w:gridCol w:w="132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Botrytis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Powder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Fusarium Wilt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Leaf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Phytophthora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sz w:val="24"/>
                <w:szCs w:val="24"/>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rtl w:val="0"/>
              </w:rPr>
              <w:t xml:space="preserve">Beauveria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i w:val="1"/>
              </w:rPr>
            </w:pPr>
            <w:r w:rsidDel="00000000" w:rsidR="00000000" w:rsidRPr="00000000">
              <w:rPr>
                <w:i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bl>
    <w:p w:rsidR="00000000" w:rsidDel="00000000" w:rsidP="00000000" w:rsidRDefault="00000000" w:rsidRPr="00000000" w14:paraId="00000063">
      <w:pPr>
        <w:spacing w:line="480" w:lineRule="auto"/>
        <w:ind w:left="0" w:firstLine="0"/>
        <w:rPr>
          <w:color w:val="333333"/>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2-12-28T13:55:49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table might be shit. and/or needs some backing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foF4bEF+KNHv46E3CSlsvr6xCQ==">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