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i w:val="1"/>
          <w:sz w:val="24"/>
          <w:szCs w:val="24"/>
        </w:rPr>
      </w:pPr>
      <w:r w:rsidDel="00000000" w:rsidR="00000000" w:rsidRPr="00000000">
        <w:rPr>
          <w:b w:val="1"/>
          <w:sz w:val="24"/>
          <w:szCs w:val="24"/>
          <w:rtl w:val="0"/>
        </w:rPr>
        <w:t xml:space="preserve">Introduction to Section 3: Fungal Pathogens affecting </w:t>
      </w:r>
      <w:r w:rsidDel="00000000" w:rsidR="00000000" w:rsidRPr="00000000">
        <w:rPr>
          <w:b w:val="1"/>
          <w:i w:val="1"/>
          <w:sz w:val="24"/>
          <w:szCs w:val="24"/>
          <w:rtl w:val="0"/>
        </w:rPr>
        <w:t xml:space="preserve">Cannabis</w:t>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spacing w:line="480" w:lineRule="auto"/>
        <w:rPr>
          <w:sz w:val="24"/>
          <w:szCs w:val="24"/>
        </w:rPr>
      </w:pPr>
      <w:r w:rsidDel="00000000" w:rsidR="00000000" w:rsidRPr="00000000">
        <w:rPr>
          <w:sz w:val="24"/>
          <w:szCs w:val="24"/>
          <w:rtl w:val="0"/>
        </w:rPr>
        <w:tab/>
        <w:t xml:space="preserve">Since the Wassons introduced the term, the public consciousness in the United States and other ‘mycophobic’ cultures have grown to acknowledge and appreciate the myriad fungi in our world that benefit us as humans and make our lives better (Wasson and Wasson, 1957). However, even today many farmers, as with humans generally, are blissfully unaware of the fungi all around them until one or more fungi impose a problem upon them. This section will focus on these scourges of cultivators -fungi capable of infecting and directly causing disease among </w:t>
      </w:r>
      <w:r w:rsidDel="00000000" w:rsidR="00000000" w:rsidRPr="00000000">
        <w:rPr>
          <w:i w:val="1"/>
          <w:sz w:val="24"/>
          <w:szCs w:val="24"/>
          <w:rtl w:val="0"/>
        </w:rPr>
        <w:t xml:space="preserve">Cannabis</w:t>
      </w:r>
      <w:r w:rsidDel="00000000" w:rsidR="00000000" w:rsidRPr="00000000">
        <w:rPr>
          <w:sz w:val="24"/>
          <w:szCs w:val="24"/>
          <w:rtl w:val="0"/>
        </w:rPr>
        <w:t xml:space="preserve">. Thus, many species mentioned will be household names to you already. Even so, some diseases, like ‘budrot,’ may actually comprise numerous pathogens causing similar disease symptoms. While the well known </w:t>
      </w:r>
      <w:r w:rsidDel="00000000" w:rsidR="00000000" w:rsidRPr="00000000">
        <w:rPr>
          <w:i w:val="1"/>
          <w:sz w:val="24"/>
          <w:szCs w:val="24"/>
          <w:rtl w:val="0"/>
        </w:rPr>
        <w:t xml:space="preserve">Botrytis</w:t>
      </w:r>
      <w:r w:rsidDel="00000000" w:rsidR="00000000" w:rsidRPr="00000000">
        <w:rPr>
          <w:sz w:val="24"/>
          <w:szCs w:val="24"/>
          <w:rtl w:val="0"/>
        </w:rPr>
        <w:t xml:space="preserve"> may cause the majority of budrot experienced by </w:t>
      </w:r>
      <w:r w:rsidDel="00000000" w:rsidR="00000000" w:rsidRPr="00000000">
        <w:rPr>
          <w:i w:val="1"/>
          <w:sz w:val="24"/>
          <w:szCs w:val="24"/>
          <w:rtl w:val="0"/>
        </w:rPr>
        <w:t xml:space="preserve">Cannabis</w:t>
      </w:r>
      <w:r w:rsidDel="00000000" w:rsidR="00000000" w:rsidRPr="00000000">
        <w:rPr>
          <w:sz w:val="24"/>
          <w:szCs w:val="24"/>
          <w:rtl w:val="0"/>
        </w:rPr>
        <w:t xml:space="preserve"> cultivators, species of </w:t>
      </w:r>
      <w:r w:rsidDel="00000000" w:rsidR="00000000" w:rsidRPr="00000000">
        <w:rPr>
          <w:i w:val="1"/>
          <w:sz w:val="24"/>
          <w:szCs w:val="24"/>
          <w:rtl w:val="0"/>
        </w:rPr>
        <w:t xml:space="preserve">Aspergillus</w:t>
      </w:r>
      <w:r w:rsidDel="00000000" w:rsidR="00000000" w:rsidRPr="00000000">
        <w:rPr>
          <w:sz w:val="24"/>
          <w:szCs w:val="24"/>
          <w:rtl w:val="0"/>
        </w:rPr>
        <w:t xml:space="preserve">, </w:t>
      </w:r>
      <w:r w:rsidDel="00000000" w:rsidR="00000000" w:rsidRPr="00000000">
        <w:rPr>
          <w:i w:val="1"/>
          <w:sz w:val="24"/>
          <w:szCs w:val="24"/>
          <w:rtl w:val="0"/>
        </w:rPr>
        <w:t xml:space="preserve">Penicillium</w:t>
      </w:r>
      <w:r w:rsidDel="00000000" w:rsidR="00000000" w:rsidRPr="00000000">
        <w:rPr>
          <w:sz w:val="24"/>
          <w:szCs w:val="24"/>
          <w:rtl w:val="0"/>
        </w:rPr>
        <w:t xml:space="preserve">, and </w:t>
      </w:r>
      <w:r w:rsidDel="00000000" w:rsidR="00000000" w:rsidRPr="00000000">
        <w:rPr>
          <w:i w:val="1"/>
          <w:sz w:val="24"/>
          <w:szCs w:val="24"/>
          <w:rtl w:val="0"/>
        </w:rPr>
        <w:t xml:space="preserve">Sclerotinia</w:t>
      </w:r>
      <w:r w:rsidDel="00000000" w:rsidR="00000000" w:rsidRPr="00000000">
        <w:rPr>
          <w:sz w:val="24"/>
          <w:szCs w:val="24"/>
          <w:rtl w:val="0"/>
        </w:rPr>
        <w:t xml:space="preserve"> may all cause morphologically similar damage and disease on </w:t>
      </w:r>
      <w:r w:rsidDel="00000000" w:rsidR="00000000" w:rsidRPr="00000000">
        <w:rPr>
          <w:i w:val="1"/>
          <w:sz w:val="24"/>
          <w:szCs w:val="24"/>
          <w:rtl w:val="0"/>
        </w:rPr>
        <w:t xml:space="preserve">Cannabis</w:t>
      </w:r>
      <w:r w:rsidDel="00000000" w:rsidR="00000000" w:rsidRPr="00000000">
        <w:rPr>
          <w:sz w:val="24"/>
          <w:szCs w:val="24"/>
          <w:rtl w:val="0"/>
        </w:rPr>
        <w:t xml:space="preserve">.</w:t>
      </w:r>
    </w:p>
    <w:p w:rsidR="00000000" w:rsidDel="00000000" w:rsidP="00000000" w:rsidRDefault="00000000" w:rsidRPr="00000000" w14:paraId="00000005">
      <w:pPr>
        <w:spacing w:line="480" w:lineRule="auto"/>
        <w:ind w:firstLine="720"/>
        <w:rPr>
          <w:sz w:val="24"/>
          <w:szCs w:val="24"/>
        </w:rPr>
      </w:pPr>
      <w:r w:rsidDel="00000000" w:rsidR="00000000" w:rsidRPr="00000000">
        <w:rPr>
          <w:sz w:val="24"/>
          <w:szCs w:val="24"/>
          <w:rtl w:val="0"/>
        </w:rPr>
        <w:t xml:space="preserve">Chapters in this section are organized by disease category (i.e. powder mildews, budrot, damping off, vascular wilt, ect.). Species capable of causing each disease presentation are listed in tables withing the c, focusing on common and emergent pathogens. As </w:t>
      </w:r>
      <w:r w:rsidDel="00000000" w:rsidR="00000000" w:rsidRPr="00000000">
        <w:rPr>
          <w:i w:val="1"/>
          <w:sz w:val="24"/>
          <w:szCs w:val="24"/>
          <w:rtl w:val="0"/>
        </w:rPr>
        <w:t xml:space="preserve">Cannabis</w:t>
      </w:r>
      <w:r w:rsidDel="00000000" w:rsidR="00000000" w:rsidRPr="00000000">
        <w:rPr>
          <w:sz w:val="24"/>
          <w:szCs w:val="24"/>
          <w:rtl w:val="0"/>
        </w:rPr>
        <w:t xml:space="preserve"> emerges as a mainstream crop in today's world, so does the science about it’s symbionts. Many pathogens remain undescribed and unknown to science even if individual farmers have already experienced them personally (HLVd was known as ‘dudding’ colloquially long before the viroid was known to exist). The United States Department of Agriculture, Agricultural Research Station maintains an excellent, up-to-date database of known fungal pathogens of </w:t>
      </w:r>
      <w:r w:rsidDel="00000000" w:rsidR="00000000" w:rsidRPr="00000000">
        <w:rPr>
          <w:i w:val="1"/>
          <w:sz w:val="24"/>
          <w:szCs w:val="24"/>
          <w:rtl w:val="0"/>
        </w:rPr>
        <w:t xml:space="preserve">Cannabis</w:t>
      </w:r>
      <w:r w:rsidDel="00000000" w:rsidR="00000000" w:rsidRPr="00000000">
        <w:rPr>
          <w:sz w:val="24"/>
          <w:szCs w:val="24"/>
          <w:rtl w:val="0"/>
        </w:rPr>
        <w:t xml:space="preserve"> (and putatively any plant or fungal species for which information has been published).</w:t>
      </w:r>
    </w:p>
    <w:p w:rsidR="00000000" w:rsidDel="00000000" w:rsidP="00000000" w:rsidRDefault="00000000" w:rsidRPr="00000000" w14:paraId="00000006">
      <w:pPr>
        <w:spacing w:line="480" w:lineRule="auto"/>
        <w:ind w:firstLine="720"/>
        <w:rPr>
          <w:sz w:val="24"/>
          <w:szCs w:val="24"/>
        </w:rPr>
      </w:pPr>
      <w:r w:rsidDel="00000000" w:rsidR="00000000" w:rsidRPr="00000000">
        <w:rPr>
          <w:sz w:val="24"/>
          <w:szCs w:val="24"/>
          <w:rtl w:val="0"/>
        </w:rPr>
        <w:t xml:space="preserve">Each chapter discusses the lifecycles and pathogen management options for  causative species under different cultivation circumstances. </w:t>
      </w:r>
      <w:r w:rsidDel="00000000" w:rsidR="00000000" w:rsidRPr="00000000">
        <w:rPr>
          <w:i w:val="1"/>
          <w:sz w:val="24"/>
          <w:szCs w:val="24"/>
          <w:rtl w:val="0"/>
        </w:rPr>
        <w:t xml:space="preserve">Cannabis</w:t>
      </w:r>
      <w:r w:rsidDel="00000000" w:rsidR="00000000" w:rsidRPr="00000000">
        <w:rPr>
          <w:sz w:val="24"/>
          <w:szCs w:val="24"/>
          <w:rtl w:val="0"/>
        </w:rPr>
        <w:t xml:space="preserve"> is incredibly diverse, as are the cultures and farmers who produce it. This is undeniably true for </w:t>
      </w:r>
      <w:r w:rsidDel="00000000" w:rsidR="00000000" w:rsidRPr="00000000">
        <w:rPr>
          <w:i w:val="1"/>
          <w:sz w:val="24"/>
          <w:szCs w:val="24"/>
          <w:rtl w:val="0"/>
        </w:rPr>
        <w:t xml:space="preserve">Cannabis</w:t>
      </w:r>
      <w:r w:rsidDel="00000000" w:rsidR="00000000" w:rsidRPr="00000000">
        <w:rPr>
          <w:sz w:val="24"/>
          <w:szCs w:val="24"/>
          <w:rtl w:val="0"/>
        </w:rPr>
        <w:t xml:space="preserve"> in ways beyond any other crop. Farmers that are scaling up should lean on tried and true methods from traditional farmers that work at a field and farm level. Cultivators on a small scale have options open to no one else, particularly those growing indoors.  </w:t>
      </w:r>
    </w:p>
    <w:p w:rsidR="00000000" w:rsidDel="00000000" w:rsidP="00000000" w:rsidRDefault="00000000" w:rsidRPr="00000000" w14:paraId="00000007">
      <w:pPr>
        <w:spacing w:line="480" w:lineRule="auto"/>
        <w:ind w:firstLine="720"/>
        <w:rPr>
          <w:sz w:val="24"/>
          <w:szCs w:val="24"/>
        </w:rPr>
      </w:pPr>
      <w:r w:rsidDel="00000000" w:rsidR="00000000" w:rsidRPr="00000000">
        <w:rPr>
          <w:rtl w:val="0"/>
        </w:rPr>
      </w:r>
    </w:p>
    <w:p w:rsidR="00000000" w:rsidDel="00000000" w:rsidP="00000000" w:rsidRDefault="00000000" w:rsidRPr="00000000" w14:paraId="00000008">
      <w:pPr>
        <w:ind w:firstLine="720"/>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3D8yUB56glZofA7/JLk1ULFlMQ==">CgMxLjA4AHIhMV9HOURES2pVdXItLXdYSHFrQU9FNXVQQUNUSFpWdHRE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