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Chapter 1</w:t>
      </w:r>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b w:val="1"/>
          <w:i w:val="0"/>
          <w:smallCaps w:val="0"/>
          <w:strike w:val="0"/>
          <w:color w:val="000000"/>
          <w:sz w:val="24"/>
          <w:szCs w:val="24"/>
          <w:u w:val="none"/>
          <w:shd w:fill="auto" w:val="clear"/>
          <w:vertAlign w:val="baseline"/>
          <w:rtl w:val="0"/>
        </w:rPr>
        <w:t xml:space="preserve">Plant Defenses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Physical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All plants have cell walls that allow plants to remain erect and also act as a barrier of protection. However, this also means that plants are unable to move like animals do and thus cannot evade potential predators or pests. Therefore, plants have evolved other mechanisms for defending themselves including physical defenses, chemical defenses, and immune systems which all serve to protect the plant and increase its overall fitness.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line of defense plants have against pathogens, similar to ourselves, is a physical barrier. Both woody plants and humans have a layer of dead tissue that is constantly produced and sloughed off; among plants it is their bark, among humans it is our skin.  The protection of the internal body within is an important purpose of bark and skin. On plant parts that do not develop bark, there are still protective layers of epidermis, </w:t>
      </w:r>
      <w:r w:rsidDel="00000000" w:rsidR="00000000" w:rsidRPr="00000000">
        <w:rPr>
          <w:rtl w:val="0"/>
        </w:rPr>
        <w:t xml:space="preserve">such as leaves,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coated with waxy cuticle</w:t>
      </w:r>
      <w:r w:rsidDel="00000000" w:rsidR="00000000" w:rsidRPr="00000000">
        <w:rPr>
          <w:rtl w:val="0"/>
        </w:rPr>
        <w:t xml:space="preserve"> to act as protection against abiotic and  biotic stressors.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Table 19.1. Trichome types found on Cannabis</w:t>
      </w:r>
    </w:p>
    <w:tbl>
      <w:tblPr>
        <w:tblStyle w:val="Table1"/>
        <w:tblW w:w="9356.0" w:type="dxa"/>
        <w:jc w:val="left"/>
        <w:tblInd w:w="-100.0" w:type="dxa"/>
        <w:tblLayout w:type="fixed"/>
        <w:tblLook w:val="0400"/>
      </w:tblPr>
      <w:tblGrid>
        <w:gridCol w:w="1301"/>
        <w:gridCol w:w="1905"/>
        <w:gridCol w:w="1620"/>
        <w:gridCol w:w="4530"/>
        <w:tblGridChange w:id="0">
          <w:tblGrid>
            <w:gridCol w:w="1301"/>
            <w:gridCol w:w="1905"/>
            <w:gridCol w:w="1620"/>
            <w:gridCol w:w="4530"/>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jc w:val="cente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rPr/>
            </w:pPr>
            <w:r w:rsidDel="00000000" w:rsidR="00000000" w:rsidRPr="00000000">
              <w:rPr>
                <w:rtl w:val="0"/>
              </w:rPr>
              <w:t xml:space="preserve">Approximate sizes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rPr/>
            </w:pPr>
            <w:r w:rsidDel="00000000" w:rsidR="00000000" w:rsidRPr="00000000">
              <w:rPr>
                <w:rtl w:val="0"/>
              </w:rPr>
              <w:t xml:space="preserve">Features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rPr/>
            </w:pPr>
            <w:r w:rsidDel="00000000" w:rsidR="00000000" w:rsidRPr="00000000">
              <w:rPr>
                <w:rtl w:val="0"/>
              </w:rPr>
              <w:t xml:space="preserve">Non-glandular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rtl w:val="0"/>
              </w:rPr>
              <w:t xml:space="preserve">Non-cystolithic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shd w:fill="f7f7f7" w:val="clear"/>
                <w:rtl w:val="0"/>
              </w:rPr>
              <w:t xml:space="preserve">70-125 μ</w:t>
            </w: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rtl w:val="0"/>
              </w:rPr>
              <w:t xml:space="preserve">Thin, unbranched, simple in shape. Unicellular. Occur most densely on the underside of leaves and bracts. </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widowControl w:val="0"/>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rPr/>
            </w:pPr>
            <w:r w:rsidDel="00000000" w:rsidR="00000000" w:rsidRPr="00000000">
              <w:rPr>
                <w:rtl w:val="0"/>
              </w:rPr>
              <w:t xml:space="preserve">Cystolithic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shd w:fill="f7f7f7" w:val="clear"/>
                <w:rtl w:val="0"/>
              </w:rPr>
              <w:t xml:space="preserve">250-370μ</w:t>
            </w: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rPr/>
            </w:pPr>
            <w:r w:rsidDel="00000000" w:rsidR="00000000" w:rsidRPr="00000000">
              <w:rPr>
                <w:rtl w:val="0"/>
              </w:rPr>
              <w:t xml:space="preserve">Similar to non-cystolithic in shape, but larger. Contains cystoliths, calcified outgrowths of the cell wall, at their base. </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rPr/>
            </w:pPr>
            <w:r w:rsidDel="00000000" w:rsidR="00000000" w:rsidRPr="00000000">
              <w:rPr>
                <w:rtl w:val="0"/>
              </w:rPr>
              <w:t xml:space="preserve">Glandular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rPr/>
            </w:pPr>
            <w:r w:rsidDel="00000000" w:rsidR="00000000" w:rsidRPr="00000000">
              <w:rPr>
                <w:rtl w:val="0"/>
              </w:rPr>
              <w:t xml:space="preserve">Bulbous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rPr/>
            </w:pPr>
            <w:r w:rsidDel="00000000" w:rsidR="00000000" w:rsidRPr="00000000">
              <w:rPr>
                <w:rtl w:val="0"/>
              </w:rPr>
              <w:t xml:space="preserve">10-30 </w:t>
            </w:r>
            <w:r w:rsidDel="00000000" w:rsidR="00000000" w:rsidRPr="00000000">
              <w:rPr>
                <w:shd w:fill="f7f7f7" w:val="clear"/>
                <w:rtl w:val="0"/>
              </w:rPr>
              <w:t xml:space="preserve">μ</w:t>
            </w: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rPr/>
            </w:pPr>
            <w:r w:rsidDel="00000000" w:rsidR="00000000" w:rsidRPr="00000000">
              <w:rPr>
                <w:rtl w:val="0"/>
              </w:rPr>
              <w:t xml:space="preserve">Diminutive trichome with secretory cells. Variable structure.</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widowControl w:val="0"/>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rPr/>
            </w:pPr>
            <w:r w:rsidDel="00000000" w:rsidR="00000000" w:rsidRPr="00000000">
              <w:rPr>
                <w:rtl w:val="0"/>
              </w:rPr>
              <w:t xml:space="preserve">Capitate sessile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rtl w:val="0"/>
              </w:rPr>
              <w:t xml:space="preserve">25-100 </w:t>
            </w:r>
            <w:r w:rsidDel="00000000" w:rsidR="00000000" w:rsidRPr="00000000">
              <w:rPr>
                <w:shd w:fill="f7f7f7" w:val="clear"/>
                <w:rtl w:val="0"/>
              </w:rPr>
              <w:t xml:space="preserve">μ</w:t>
            </w: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rtl w:val="0"/>
              </w:rPr>
              <w:t xml:space="preserve">Large glandular head with secretory cells often attached by several cells, but only one cell high. </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widowControl w:val="0"/>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rPr/>
            </w:pPr>
            <w:r w:rsidDel="00000000" w:rsidR="00000000" w:rsidRPr="00000000">
              <w:rPr>
                <w:rtl w:val="0"/>
              </w:rPr>
              <w:t xml:space="preserve">Capitate-stalked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rPr/>
            </w:pPr>
            <w:r w:rsidDel="00000000" w:rsidR="00000000" w:rsidRPr="00000000">
              <w:rPr>
                <w:shd w:fill="f7f7f7" w:val="clear"/>
                <w:rtl w:val="0"/>
              </w:rPr>
              <w:t xml:space="preserve">70-150 μ</w:t>
            </w:r>
            <w:r w:rsidDel="00000000" w:rsidR="00000000" w:rsidRPr="00000000">
              <w:rPr>
                <w:rtl w:val="0"/>
              </w:rPr>
              <w:t xml:space="preserve">m, stalk up to 200 </w:t>
            </w:r>
            <w:r w:rsidDel="00000000" w:rsidR="00000000" w:rsidRPr="00000000">
              <w:rPr>
                <w:shd w:fill="f7f7f7" w:val="clear"/>
                <w:rtl w:val="0"/>
              </w:rPr>
              <w:t xml:space="preserve">μ</w:t>
            </w: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rPr/>
            </w:pPr>
            <w:r w:rsidDel="00000000" w:rsidR="00000000" w:rsidRPr="00000000">
              <w:rPr>
                <w:rtl w:val="0"/>
              </w:rPr>
              <w:t xml:space="preserve">Large glandular head with secretory cells situated on top of a slender, multicellular stalk.</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widowControl w:val="0"/>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rPr/>
            </w:pPr>
            <w:r w:rsidDel="00000000" w:rsidR="00000000" w:rsidRPr="00000000">
              <w:rPr>
                <w:rtl w:val="0"/>
              </w:rPr>
              <w:t xml:space="preserve">Antherial Sessil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rPr/>
            </w:pPr>
            <w:r w:rsidDel="00000000" w:rsidR="00000000" w:rsidRPr="00000000">
              <w:rPr>
                <w:rtl w:val="0"/>
              </w:rPr>
              <w:t xml:space="preserve">25-100 </w:t>
            </w:r>
            <w:r w:rsidDel="00000000" w:rsidR="00000000" w:rsidRPr="00000000">
              <w:rPr>
                <w:shd w:fill="f7f7f7" w:val="clear"/>
                <w:rtl w:val="0"/>
              </w:rPr>
              <w:t xml:space="preserve">μ</w:t>
            </w: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rtl w:val="0"/>
              </w:rPr>
              <w:t xml:space="preserve">Occur only on the anthers and calyx of male flowers.</w:t>
            </w:r>
          </w:p>
        </w:tc>
      </w:tr>
    </w:tbl>
    <w:p w:rsidR="00000000" w:rsidDel="00000000" w:rsidP="00000000" w:rsidRDefault="00000000" w:rsidRPr="00000000" w14:paraId="00000025">
      <w:pPr>
        <w:ind w:firstLine="720"/>
        <w:jc w:val="center"/>
        <w:rPr/>
      </w:pPr>
      <w:r w:rsidDel="00000000" w:rsidR="00000000" w:rsidRPr="00000000">
        <w:rPr>
          <w:rtl w:val="0"/>
        </w:rPr>
      </w:r>
    </w:p>
    <w:p w:rsidR="00000000" w:rsidDel="00000000" w:rsidP="00000000" w:rsidRDefault="00000000" w:rsidRPr="00000000" w14:paraId="00000026">
      <w:pPr>
        <w:ind w:firstLine="720"/>
        <w:jc w:val="center"/>
        <w:rPr/>
      </w:pPr>
      <w:r w:rsidDel="00000000" w:rsidR="00000000" w:rsidRPr="00000000">
        <w:rPr/>
        <w:drawing>
          <wp:inline distB="0" distT="0" distL="0" distR="0">
            <wp:extent cx="5212235" cy="3797804"/>
            <wp:effectExtent b="0" l="0" r="0" t="0"/>
            <wp:docPr descr="https://lh4.googleusercontent.com/1ln6OI91AfUpPaYl_JYaEnXnhcXhjZatqZk0ZZCgsfSdcHDrq_ZtzstaO-ZPHO48n0BLII-HtHxRDsx2GxB8dH17Z9nm9FgKxzx4js6oC3sjyVBwe7fAS6w90tXoEVwsXgzS9AQ1" id="113" name="image3.png"/>
            <a:graphic>
              <a:graphicData uri="http://schemas.openxmlformats.org/drawingml/2006/picture">
                <pic:pic>
                  <pic:nvPicPr>
                    <pic:cNvPr descr="https://lh4.googleusercontent.com/1ln6OI91AfUpPaYl_JYaEnXnhcXhjZatqZk0ZZCgsfSdcHDrq_ZtzstaO-ZPHO48n0BLII-HtHxRDsx2GxB8dH17Z9nm9FgKxzx4js6oC3sjyVBwe7fAS6w90tXoEVwsXgzS9AQ1" id="0" name="image3.png"/>
                    <pic:cNvPicPr preferRelativeResize="0"/>
                  </pic:nvPicPr>
                  <pic:blipFill>
                    <a:blip r:embed="rId7"/>
                    <a:srcRect b="0" l="0" r="0" t="0"/>
                    <a:stretch>
                      <a:fillRect/>
                    </a:stretch>
                  </pic:blipFill>
                  <pic:spPr>
                    <a:xfrm>
                      <a:off x="0" y="0"/>
                      <a:ext cx="5212235" cy="379780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firstLine="720"/>
        <w:rPr/>
      </w:pPr>
      <w:r w:rsidDel="00000000" w:rsidR="00000000" w:rsidRPr="00000000">
        <w:rPr>
          <w:rtl w:val="0"/>
        </w:rPr>
        <w:t xml:space="preserve">Fig 1. Different types of trichomes Cannabis plants can produce.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plants also </w:t>
      </w:r>
      <w:r w:rsidDel="00000000" w:rsidR="00000000" w:rsidRPr="00000000">
        <w:rPr>
          <w:rtl w:val="0"/>
        </w:rPr>
        <w:t xml:space="preserve">possess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trichomes, for which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especially famous (Table </w:t>
      </w:r>
      <w:r w:rsidDel="00000000" w:rsidR="00000000" w:rsidRPr="00000000">
        <w:rPr>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Fig 1). Trichomes may serve myriad roles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increasing the boundary (humidity) layer near the leaf, shading leaves from </w:t>
      </w:r>
      <w:r w:rsidDel="00000000" w:rsidR="00000000" w:rsidRPr="00000000">
        <w:rPr>
          <w:rtl w:val="0"/>
        </w:rPr>
        <w:t xml:space="preserve">intense light,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physically detering herbivory, and secreting defensive chemicals. Each plant cell also possesses a selectively permeable plasma membrane contained within </w:t>
      </w:r>
      <w:r w:rsidDel="00000000" w:rsidR="00000000" w:rsidRPr="00000000">
        <w:rPr>
          <w:rtl w:val="0"/>
        </w:rPr>
        <w:t xml:space="preserve">a cell wall composed of lignin, cellulose, and xylan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Roots</w:t>
      </w:r>
      <w:r w:rsidDel="00000000" w:rsidR="00000000" w:rsidRPr="00000000">
        <w:rPr>
          <w:rtl w:val="0"/>
        </w:rPr>
        <w:t xml:space="preserve"> have a specialized internal barrier, the Casparian strip, that forces incoming water through to enter the symplast and pass through the plasma membrane of cells before entering the vascular tissue for transport throughout the rest of the plant body (Fig. 2).  The apoplast refers to water transport in between cells, whereas the symplast refers to water transport among cells after entering through the plasma membrane. Forcing water through the plasma membrane of cells allows the cell to exclude large molecules and organisms, unless there are specific transport channels and proteins that permit their entrance. </w:t>
      </w:r>
    </w:p>
    <w:p w:rsidR="00000000" w:rsidDel="00000000" w:rsidP="00000000" w:rsidRDefault="00000000" w:rsidRPr="00000000" w14:paraId="0000002A">
      <w:pPr>
        <w:ind w:firstLine="720"/>
        <w:jc w:val="center"/>
        <w:rPr/>
      </w:pPr>
      <w:r w:rsidDel="00000000" w:rsidR="00000000" w:rsidRPr="00000000">
        <w:rPr/>
        <w:drawing>
          <wp:inline distB="114300" distT="114300" distL="114300" distR="114300">
            <wp:extent cx="2871788" cy="1931378"/>
            <wp:effectExtent b="0" l="0" r="0" t="0"/>
            <wp:docPr id="1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871788" cy="193137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firstLine="720"/>
        <w:rPr/>
      </w:pPr>
      <w:r w:rsidDel="00000000" w:rsidR="00000000" w:rsidRPr="00000000">
        <w:rPr>
          <w:rtl w:val="0"/>
        </w:rPr>
        <w:t xml:space="preserve">Figure 19.2. Diagram of plant root depicting various types of root tissue. Note the protective casparian strip surrounding the precious vascular tissue.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most susceptible areas of an undamaged plant body to infection are the stomata. Stomata are openings that allow the exchange of gas. Necessarily, these openings are physically at high risk of exploitation by organisms (pathogens, commensals, and mutualists) that grow inside plants. Often fungi will form an </w:t>
      </w:r>
      <w:r w:rsidDel="00000000" w:rsidR="00000000" w:rsidRPr="00000000">
        <w:rPr>
          <w:rtl w:val="0"/>
        </w:rPr>
        <w:t xml:space="preserve">appressorium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directly on top of a stoma, permitting easier access by pushing between the two guard cells, </w:t>
      </w:r>
      <w:r w:rsidDel="00000000" w:rsidR="00000000" w:rsidRPr="00000000">
        <w:rPr>
          <w:rtl w:val="0"/>
        </w:rPr>
        <w:t xml:space="preserve">rather than breaking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new opening through the leaf cuticle and epidermis (Fig. </w:t>
      </w:r>
      <w:r w:rsidDel="00000000" w:rsidR="00000000" w:rsidRPr="00000000">
        <w:rPr>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Root</w:t>
      </w:r>
      <w:r w:rsidDel="00000000" w:rsidR="00000000" w:rsidRPr="00000000">
        <w:rPr>
          <w:rtl w:val="0"/>
        </w:rPr>
        <w:t xml:space="preserve">-hairs are also often targeted by microbes as a means of entry. </w:t>
      </w:r>
    </w:p>
    <w:p w:rsidR="00000000" w:rsidDel="00000000" w:rsidP="00000000" w:rsidRDefault="00000000" w:rsidRPr="00000000" w14:paraId="0000002E">
      <w:pPr>
        <w:ind w:firstLine="720"/>
        <w:rPr/>
      </w:pPr>
      <w:r w:rsidDel="00000000" w:rsidR="00000000" w:rsidRPr="00000000">
        <w:rPr/>
        <w:drawing>
          <wp:inline distB="114300" distT="114300" distL="114300" distR="114300">
            <wp:extent cx="4410879" cy="1696492"/>
            <wp:effectExtent b="0" l="0" r="0" t="0"/>
            <wp:docPr id="114"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410879" cy="169649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Figure 19.3. Fungal mycelium invading through stomata on plant </w:t>
      </w:r>
      <w:r w:rsidDel="00000000" w:rsidR="00000000" w:rsidRPr="00000000">
        <w:rPr>
          <w:rtl w:val="0"/>
        </w:rPr>
        <w:t xml:space="preserve">leaf</w:t>
      </w:r>
      <w:r w:rsidDel="00000000" w:rsidR="00000000" w:rsidRPr="00000000">
        <w:rPr>
          <w:rFonts w:ascii="Arial" w:cs="Arial" w:eastAsia="Arial" w:hAnsi="Arial"/>
          <w:sz w:val="28"/>
          <w:szCs w:val="28"/>
          <w:rtl w:val="0"/>
        </w:rPr>
        <w:t xml:space="preserve"> </w:t>
      </w:r>
      <w:r w:rsidDel="00000000" w:rsidR="00000000" w:rsidRPr="00000000">
        <w:rPr>
          <w:rtl w:val="0"/>
        </w:rPr>
        <w:t xml:space="preserve">(</w:t>
      </w:r>
      <w:r w:rsidDel="00000000" w:rsidR="00000000" w:rsidRPr="00000000">
        <w:rPr>
          <w:color w:val="1f1f1f"/>
          <w:highlight w:val="white"/>
          <w:rtl w:val="0"/>
        </w:rPr>
        <w:t xml:space="preserve">Mohammadian et al 2009)</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Chemical</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produce a variety of chemicals directly effective against pathogen attack, called secondary metabolites, a </w:t>
      </w:r>
      <w:r w:rsidDel="00000000" w:rsidR="00000000" w:rsidRPr="00000000">
        <w:rPr>
          <w:rtl w:val="0"/>
        </w:rPr>
        <w:t xml:space="preserve">catch-all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term for any molecule produced by a plant not directly involved in the primary metabolism of a plant. These may include terpenes, phenolics, alkaloids, phytoalexins, defensins, enzymes, a</w:t>
      </w:r>
      <w:r w:rsidDel="00000000" w:rsidR="00000000" w:rsidRPr="00000000">
        <w:rPr>
          <w:rtl w:val="0"/>
        </w:rPr>
        <w:t xml:space="preserve">mong others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secondary metabolites are important for plant health and survival by mediating microbial interactions and defending the plant against microbial or animal attack.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Secondary metabolites that are produced or activated only after contact with a pathogen are called </w:t>
      </w:r>
      <w:r w:rsidDel="00000000" w:rsidR="00000000" w:rsidRPr="00000000">
        <w:rPr>
          <w:i w:val="0"/>
          <w:smallCaps w:val="0"/>
          <w:strike w:val="0"/>
          <w:color w:val="000000"/>
          <w:sz w:val="24"/>
          <w:szCs w:val="24"/>
          <w:u w:val="none"/>
          <w:shd w:fill="auto" w:val="clear"/>
          <w:vertAlign w:val="baseline"/>
          <w:rtl w:val="0"/>
        </w:rPr>
        <w:t xml:space="preserve">phytoalexins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Though sometimes this term is broadened to include all plant defense chemicals, defense chemicals present pre-infection are not true phytoalexins. Recent attempts to </w:t>
      </w:r>
      <w:r w:rsidDel="00000000" w:rsidR="00000000" w:rsidRPr="00000000">
        <w:rPr>
          <w:rtl w:val="0"/>
        </w:rPr>
        <w:t xml:space="preserve">categorize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immense variety of phytoalexins and plant defense chemicals are </w:t>
      </w:r>
      <w:r w:rsidDel="00000000" w:rsidR="00000000" w:rsidRPr="00000000">
        <w:rPr>
          <w:rtl w:val="0"/>
        </w:rPr>
        <w:t xml:space="preserve">summarized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w:t>
      </w:r>
      <w:r w:rsidDel="00000000" w:rsidR="00000000" w:rsidRPr="00000000">
        <w:rPr>
          <w:rtl w:val="0"/>
        </w:rPr>
        <w:t xml:space="preserve">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tl w:val="0"/>
        </w:rPr>
        <w:t xml:space="preserve">Chemical defenses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plants involved in microbial defenses. </w:t>
      </w:r>
    </w:p>
    <w:p w:rsidR="00000000" w:rsidDel="00000000" w:rsidP="00000000" w:rsidRDefault="00000000" w:rsidRPr="00000000" w14:paraId="00000038">
      <w:pPr>
        <w:pageBreakBefore w:val="0"/>
        <w:rPr/>
      </w:pPr>
      <w:r w:rsidDel="00000000" w:rsidR="00000000" w:rsidRPr="00000000">
        <w:rPr>
          <w:rtl w:val="0"/>
        </w:rPr>
      </w:r>
    </w:p>
    <w:tbl>
      <w:tblPr>
        <w:tblStyle w:val="Table2"/>
        <w:tblW w:w="6000.0" w:type="dxa"/>
        <w:jc w:val="left"/>
        <w:tblInd w:w="-100.0" w:type="dxa"/>
        <w:tblLayout w:type="fixed"/>
        <w:tblLook w:val="0400"/>
      </w:tblPr>
      <w:tblGrid>
        <w:gridCol w:w="2670"/>
        <w:gridCol w:w="3330"/>
        <w:tblGridChange w:id="0">
          <w:tblGrid>
            <w:gridCol w:w="2670"/>
            <w:gridCol w:w="3330"/>
          </w:tblGrid>
        </w:tblGridChange>
      </w:tblGrid>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Non-Nitrogen Containing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Terpenes/Terpenoids</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Flavonoids</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Lignans</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Phenylpropanoids</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Coumarins </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Tannins</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t xml:space="preserve">Steroids</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Saponins</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t xml:space="preserve">Polyacetylenes</w:t>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Fatty acids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Nitrogen Containing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Alkaloids</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2"/>
                <w:szCs w:val="22"/>
                <w:rtl w:val="0"/>
              </w:rPr>
              <w:t xml:space="preserve">Non-protein</w:t>
            </w:r>
            <w:r w:rsidDel="00000000" w:rsidR="00000000" w:rsidRPr="00000000">
              <w:rPr>
                <w:i w:val="0"/>
                <w:smallCaps w:val="0"/>
                <w:strike w:val="0"/>
                <w:color w:val="000000"/>
                <w:sz w:val="22"/>
                <w:szCs w:val="22"/>
                <w:u w:val="none"/>
                <w:shd w:fill="auto" w:val="clear"/>
                <w:vertAlign w:val="baseline"/>
                <w:rtl w:val="0"/>
              </w:rPr>
              <w:t xml:space="preserve"> amino acids</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Amines</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Alkamides</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Lectins  </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Peptides </w:t>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2"/>
                <w:szCs w:val="22"/>
                <w:rtl w:val="0"/>
              </w:rPr>
              <w:t xml:space="preserve">Polypeptides</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Enzymes</w:t>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Defensins</w:t>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Small interfering RNAs</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Nucleic acid extracellular traps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056">
      <w:pPr>
        <w:pageBreakBefore w:val="0"/>
        <w:spacing w:after="240" w:lineRule="auto"/>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Plant Immunity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lack an adaptive immune response like those found in animals. However, plants are not helpless. They have innate abilities to respond to pest and pathogen attack by changing aspects of their physical growth and the production and distribution of their protective chemical arsenal. Following a trigger, plants are able to “induce” a whole plant immune response.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Depending on the nature of the trigger and subsequent signaling pathway (jasmonate or salicylate, respectively) such an induced state is called induced systemic resistance (ISR) or systemic acquired resistance (SAR) (</w:t>
      </w:r>
      <w:r w:rsidDel="00000000" w:rsidR="00000000" w:rsidRPr="00000000">
        <w:rPr>
          <w:rtl w:val="0"/>
        </w:rPr>
        <w:t xml:space="preserve">Wang </w:t>
      </w:r>
      <w:r w:rsidDel="00000000" w:rsidR="00000000" w:rsidRPr="00000000">
        <w:rPr>
          <w:i w:val="1"/>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2004). Both ISR and SAR prime the immune responses of the entire plant, but ISR is a milder response than SAR.  ISR is often triggered by interactions with symbiotic microbes, such as Rhizobia or mycorrhizae, whereas SAR is more often a response to pathogenic attack. </w:t>
      </w:r>
      <w:r w:rsidDel="00000000" w:rsidR="00000000" w:rsidRPr="00000000">
        <w:rPr>
          <w:rtl w:val="0"/>
        </w:rPr>
        <w:t xml:space="preserve">Through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ISR and SAR plants recognize </w:t>
      </w:r>
      <w:r w:rsidDel="00000000" w:rsidR="00000000" w:rsidRPr="00000000">
        <w:rPr>
          <w:rtl w:val="0"/>
        </w:rPr>
        <w:t xml:space="preserve">foreign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invaders via pattern triggered immunity (PTI) and effector triggered immunity (ETI) (See Table 3 for list of abbreviations)..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 19.3. Abbreviations of commonly encountered terms when discussing plant immune responses.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Induced Systemic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Systemic Acquired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Pattern Triggered Immunity (aka Basal Immunity)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Effector Triggered Immunity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Microbe-Associated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Damage-Associated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Nematode-Associated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PGPR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Plant Growth Promoting Rhizobacteria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PR-proteins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Pathogenesis-Related proteins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Reactive Oxygen Species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Resistance genes involved in ETI, most often of the nucleotide binding, leucine rich repeat (NB-LRR) or pattern recognition receptor protein (PRR) classes</w:t>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77">
      <w:pPr>
        <w:pageBreakBefore w:val="0"/>
        <w:spacing w:line="480" w:lineRule="auto"/>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Pattern triggered immunity (PTI) (aka basal immunity):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Pattern triggered immunity in plants </w:t>
      </w:r>
      <w:r w:rsidDel="00000000" w:rsidR="00000000" w:rsidRPr="00000000">
        <w:rPr>
          <w:rtl w:val="0"/>
        </w:rPr>
        <w:t xml:space="preserve">is 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evolved sensitivity to microbe-associated molecular patterns (MAMPs) and damage-associated molecular patterns (DAMPs). MAMPs are often fundamental, conserved portions of the microbial pathogen, such as essential cell wall or membrane components (i.e. lipopolysaccharide in bacteria and chitin in fungi) which cannot be altered by single gene mutations in the microbe genome. DAMPs, on the other hand, represent damaged cell machinery of the host plant itself (i.e. cell wall fragments, damaged proteins, DNA and RNA fragments). DAMPs recognition is more indirect </w:t>
      </w:r>
      <w:r w:rsidDel="00000000" w:rsidR="00000000" w:rsidRPr="00000000">
        <w:rPr>
          <w:rtl w:val="0"/>
        </w:rPr>
        <w:t xml:space="preserve">than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MAMPs. DAMPs are not under the control of the pathogen genes; they result from inevitable damage which occurs during pathogenic invasion of a host plant. </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Effector triggered immunity (ETI):</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Effector triggered immunity describes a concept that has been historically referred to as the gene-for-gene relationship.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gene-for-gene relationship is in many ways a road map (or perhaps more appropriately a treadmill) through the evolutionary history between a host and pathogen. For each gene that enables a pathogen to cause disease, there may be a corresponding gene among the host species that counteracts the gene in the pathogen and permits plant resistance.  Many of the pathogen genes which enable virulence code for metabolites called effectors (proteins), which act on the machinery (proteins) of the host plant (Fig. </w:t>
      </w:r>
      <w:r w:rsidDel="00000000" w:rsidR="00000000" w:rsidRPr="00000000">
        <w:rPr>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E">
      <w:pPr>
        <w:ind w:firstLine="720"/>
        <w:jc w:val="center"/>
        <w:rPr/>
      </w:pPr>
      <w:r w:rsidDel="00000000" w:rsidR="00000000" w:rsidRPr="00000000">
        <w:rPr/>
        <w:drawing>
          <wp:inline distB="114300" distT="114300" distL="114300" distR="114300">
            <wp:extent cx="2347913" cy="2097373"/>
            <wp:effectExtent b="0" l="0" r="0" t="0"/>
            <wp:docPr id="117" name="image2.gif"/>
            <a:graphic>
              <a:graphicData uri="http://schemas.openxmlformats.org/drawingml/2006/picture">
                <pic:pic>
                  <pic:nvPicPr>
                    <pic:cNvPr id="0" name="image2.gif"/>
                    <pic:cNvPicPr preferRelativeResize="0"/>
                  </pic:nvPicPr>
                  <pic:blipFill>
                    <a:blip r:embed="rId10"/>
                    <a:srcRect b="0" l="0" r="0" t="0"/>
                    <a:stretch>
                      <a:fillRect/>
                    </a:stretch>
                  </pic:blipFill>
                  <pic:spPr>
                    <a:xfrm>
                      <a:off x="0" y="0"/>
                      <a:ext cx="2347913" cy="2097373"/>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Figure 19.4. Diagram of plant immune system elicited by various effectors leading to increased expression of particular secondary metabolites. (Dangl et al 2013).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time a gene that confers virulence to the pathogen emerges, a selective pressure is exerted on the plant host population (natural selection). Susceptible plants are either killed or diminished in their ability to reproduce; if there are some individual plants with some form of genetic resistance they will survive and reproduce more prolifically. As a result, genes for resistance become more common (are ‘naturally selected’) in the population's gene pool. This neutralizes the ability of the pathogen variety, or race, to cause disease among most plants in the population</w:t>
      </w:r>
      <w:r w:rsidDel="00000000" w:rsidR="00000000" w:rsidRPr="00000000">
        <w:rPr>
          <w:rtl w:val="0"/>
        </w:rPr>
        <w:t xml:space="preserve">; 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ntil and unless a genetic mutation arises which somehow permits the pathogen to evade the newly common gene of plant immunity, which has now spread through the host population. When this type of evolutionary interaction occurs, a single gene in the pathogen, which would allow it to act virulently in a susceptible plant host, corresponds to a single gene in a resistant host plant which neutralizes its action; hence the term ‘gene-for-gene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2">
      <w:pPr>
        <w:spacing w:line="480" w:lineRule="auto"/>
        <w:rPr/>
      </w:pPr>
      <w:r w:rsidDel="00000000" w:rsidR="00000000" w:rsidRPr="00000000">
        <w:rPr>
          <w:rtl w:val="0"/>
        </w:rPr>
        <w:tab/>
        <w:t xml:space="preserve">A zig-zag model is often used to interpret the interplay of PTI and ETI. PTI is triggered by nearly all microbial invasions (Fig. 5). Some microbes have evolved effectors which act against PTI to permit their persistence in the plant host. If the plant host is resistant, it has R-genes to respond to the microbial effectors, neutralizing them. Microbes may evolve new, or variations of, effectors to sidestep the host plant R-genes, thus carrying on a never ending arms race. </w:t>
      </w:r>
    </w:p>
    <w:p w:rsidR="00000000" w:rsidDel="00000000" w:rsidP="00000000" w:rsidRDefault="00000000" w:rsidRPr="00000000" w14:paraId="00000083">
      <w:pPr>
        <w:spacing w:line="48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0" distT="0" distL="0" distR="0">
            <wp:extent cx="4395788" cy="2713099"/>
            <wp:effectExtent b="0" l="0" r="0" t="0"/>
            <wp:docPr descr="https://lh5.googleusercontent.com/12-Re5rckQe0ISJ3s8-1VRp7Ex4u5QYT1comMGpa33xypH9c8fSE0VPFTY2w-50SB0OQ9G2LI3aaHVdA3uYu01Z8VDGrjIPoH28wvR1DU7PXAqFR0mTG81ZVimgV1sLMbJvH56zT" id="116" name="image4.png"/>
            <a:graphic>
              <a:graphicData uri="http://schemas.openxmlformats.org/drawingml/2006/picture">
                <pic:pic>
                  <pic:nvPicPr>
                    <pic:cNvPr descr="https://lh5.googleusercontent.com/12-Re5rckQe0ISJ3s8-1VRp7Ex4u5QYT1comMGpa33xypH9c8fSE0VPFTY2w-50SB0OQ9G2LI3aaHVdA3uYu01Z8VDGrjIPoH28wvR1DU7PXAqFR0mTG81ZVimgV1sLMbJvH56zT" id="0" name="image4.png"/>
                    <pic:cNvPicPr preferRelativeResize="0"/>
                  </pic:nvPicPr>
                  <pic:blipFill>
                    <a:blip r:embed="rId11"/>
                    <a:srcRect b="0" l="0" r="0" t="15802"/>
                    <a:stretch>
                      <a:fillRect/>
                    </a:stretch>
                  </pic:blipFill>
                  <pic:spPr>
                    <a:xfrm>
                      <a:off x="0" y="0"/>
                      <a:ext cx="4395788" cy="271309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Figure 19.5 Zig zag model of plant immunity (Jones and Dangl 2006).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line="480" w:lineRule="auto"/>
        <w:rPr/>
      </w:pPr>
      <w:r w:rsidDel="00000000" w:rsidR="00000000" w:rsidRPr="00000000">
        <w:rPr>
          <w:rtl w:val="0"/>
        </w:rPr>
        <w:t xml:space="preserve">    </w:t>
        <w:tab/>
        <w:t xml:space="preserve">Because such a diverse group of molecules are able to trigger immune responses, and the type of plant response based on the trigger molecule is not always consistent with the zig-zag model, the “danger model” has been proposed with the term “danger signal” denoting all molecular triggers of plant immunity. Rather than classifying the immune response as simply PTI or ETI, it as been suggested that plant immune responses may be divided as either intracellular or extracellular, in what is called  the “spatial immunity model.”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genes conferring vertical resistance are mostly among the R-genes involved in ETI</w:t>
      </w:r>
      <w:r w:rsidDel="00000000" w:rsidR="00000000" w:rsidRPr="00000000">
        <w:rPr>
          <w:rtl w:val="0"/>
        </w:rPr>
        <w:t xml:space="preserve"> in a gene-for-gene fashion.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 major classes of R-g</w:t>
      </w:r>
      <w:r w:rsidDel="00000000" w:rsidR="00000000" w:rsidRPr="00000000">
        <w:rPr>
          <w:rtl w:val="0"/>
        </w:rPr>
        <w:t xml:space="preserve">enes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genes that code for nucleotide binding site-leucine rich repeat (NBS-LRR) proteins</w:t>
      </w:r>
      <w:r w:rsidDel="00000000" w:rsidR="00000000" w:rsidRPr="00000000">
        <w:rPr>
          <w:rtl w:val="0"/>
        </w:rPr>
        <w:t xml:space="preserve"> 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pattern recognition receptor (PRR) proteins. Some families of proteins recognizing effectors found in plants have analogues among animals.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similarity in structure and function of these protein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families is most likely the result of convergent evolution, rather than divergence from a protein present in a common ancestor of plants and mammals (Ausubel, 2005). However, the similarity is striking. If these protein families are related through descent from a common ancestor, these are in fact homologous proteins rather than unrelated analogs. </w:t>
      </w:r>
    </w:p>
    <w:p w:rsidR="00000000" w:rsidDel="00000000" w:rsidP="00000000" w:rsidRDefault="00000000" w:rsidRPr="00000000" w14:paraId="0000008A">
      <w:pPr>
        <w:pageBreakBefore w:val="0"/>
        <w:spacing w:line="480" w:lineRule="auto"/>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Systemic acquired resistance (SAR) and induced systemic resistance (ISR):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ETI and PTI are able to increase the subsequent ability of a plant to respond to pathogen attack. Depending on how the plants defenses are activated, different pathways are set in motion to increase plant resistance. Induced systemic resistance (ISR) generally occurs when PTI is activated and is mediated largely by plant hormones jasmonate and ethylene, whereas ETI is associated with the plant response, systemic acquired resistance (SAR), and is mediated primarily by salicylic acid activity (Table </w:t>
      </w:r>
      <w:r w:rsidDel="00000000" w:rsidR="00000000" w:rsidRPr="00000000">
        <w:rPr>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Table 19.4. Features of SAR and ISR</w:t>
      </w:r>
    </w:p>
    <w:tbl>
      <w:tblPr>
        <w:tblStyle w:val="Table4"/>
        <w:tblW w:w="9360.0" w:type="dxa"/>
        <w:jc w:val="left"/>
        <w:tblInd w:w="-100.0" w:type="dxa"/>
        <w:tblLayout w:type="fixed"/>
        <w:tblLook w:val="0400"/>
      </w:tblPr>
      <w:tblGrid>
        <w:gridCol w:w="5795"/>
        <w:gridCol w:w="3565"/>
        <w:tblGridChange w:id="0">
          <w:tblGrid>
            <w:gridCol w:w="5795"/>
            <w:gridCol w:w="35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rPr/>
            </w:pPr>
            <w:r w:rsidDel="00000000" w:rsidR="00000000" w:rsidRPr="00000000">
              <w:rPr>
                <w:rtl w:val="0"/>
              </w:rPr>
              <w:t xml:space="preserve">Systemic acquired resistance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rtl w:val="0"/>
              </w:rPr>
              <w:t xml:space="preserve">Induced systemic resistance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Triggered by biotic and abiotic stressors (MAMPs/DAMPs/Abiotic)</w:t>
            </w:r>
            <w:r w:rsidDel="00000000" w:rsidR="00000000" w:rsidRPr="00000000">
              <w:rPr>
                <w:rtl w:val="0"/>
              </w:rPr>
            </w:r>
          </w:p>
          <w:p w:rsidR="00000000" w:rsidDel="00000000" w:rsidP="00000000" w:rsidRDefault="00000000" w:rsidRPr="00000000" w14:paraId="00000092">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Hypersensitive response- Localized Reactive oxygen species (ROS) burst causes host cell death around area of infection</w:t>
            </w:r>
            <w:r w:rsidDel="00000000" w:rsidR="00000000" w:rsidRPr="00000000">
              <w:rPr>
                <w:rtl w:val="0"/>
              </w:rPr>
            </w:r>
          </w:p>
          <w:p w:rsidR="00000000" w:rsidDel="00000000" w:rsidP="00000000" w:rsidRDefault="00000000" w:rsidRPr="00000000" w14:paraId="00000093">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Pathogenesis-related proteins (PR-proteins)  accumulate</w:t>
            </w:r>
            <w:r w:rsidDel="00000000" w:rsidR="00000000" w:rsidRPr="00000000">
              <w:rPr>
                <w:rtl w:val="0"/>
              </w:rPr>
            </w:r>
          </w:p>
          <w:p w:rsidR="00000000" w:rsidDel="00000000" w:rsidP="00000000" w:rsidRDefault="00000000" w:rsidRPr="00000000" w14:paraId="00000094">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Callose production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Salicylic acid ‘independent’</w:t>
            </w:r>
            <w:r w:rsidDel="00000000" w:rsidR="00000000" w:rsidRPr="00000000">
              <w:rPr>
                <w:rtl w:val="0"/>
              </w:rPr>
            </w:r>
          </w:p>
          <w:p w:rsidR="00000000" w:rsidDel="00000000" w:rsidP="00000000" w:rsidRDefault="00000000" w:rsidRPr="00000000" w14:paraId="00000096">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Mediated by jasmonate/ethylene signal transduction</w:t>
            </w:r>
            <w:r w:rsidDel="00000000" w:rsidR="00000000" w:rsidRPr="00000000">
              <w:rPr>
                <w:rtl w:val="0"/>
              </w:rPr>
            </w:r>
          </w:p>
          <w:p w:rsidR="00000000" w:rsidDel="00000000" w:rsidP="00000000" w:rsidRDefault="00000000" w:rsidRPr="00000000" w14:paraId="00000097">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Triggered by biotic inducers (MAMPs)</w:t>
            </w:r>
            <w:r w:rsidDel="00000000" w:rsidR="00000000" w:rsidRPr="00000000">
              <w:rPr>
                <w:rtl w:val="0"/>
              </w:rPr>
            </w:r>
          </w:p>
          <w:p w:rsidR="00000000" w:rsidDel="00000000" w:rsidP="00000000" w:rsidRDefault="00000000" w:rsidRPr="00000000" w14:paraId="00000098">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Callose production</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induced immune responses among plants are not at all similar to the adaptive immunity of animals, which have antibody producing B-cells capable of producing novel antibodies and adding efficacious antibodies to their repertoire. Rather ISR and SAR activate and upregulate a variety of innate immune responses of which the host plant is capable. Plants in which ISR or SAR has been activated are more resistant to subsequent pathogen or pest attack throughout the entire plant body.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ISR can be induced by plant growth promoting rhizobacteria (PGPR), and was in fact discovered in systems researching these rhizobacteria (van loon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1998).  The phenotypic effect of SAR and ISR are similar in that disease occurrence and severity may be reduced. However, these pathways are activated under different conditions, by different signaling pathways, and </w:t>
      </w:r>
      <w:r w:rsidDel="00000000" w:rsidR="00000000" w:rsidRPr="00000000">
        <w:rPr>
          <w:rtl w:val="0"/>
        </w:rPr>
        <w:t xml:space="preserve">result in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 </w:t>
      </w:r>
      <w:r w:rsidDel="00000000" w:rsidR="00000000" w:rsidRPr="00000000">
        <w:rPr>
          <w:rtl w:val="0"/>
        </w:rPr>
        <w:t xml:space="preserve">effects (though there is significant crosstalk among salicylic acid, jasmonate, and ethylene in both systems)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SAR for instance is characterized by the production of pathogenesis related proteins (PR-proteins) and the hypersensitive response.  PR-proteins are a diverse group of proteins involved in plant defense (including as enzymes and defensins) that are not produced following ISR activation. The hypersensitive response refers to localized host cell death (apoptosis) induced by a burst of toxic reactive oxygen species (ROS) in cells surrounding the diseased portion of the plant. At the same time, there are also directly overlapping effects of ISR and SAR, such as the production of callose, a beta-gluca</w:t>
      </w:r>
      <w:r w:rsidDel="00000000" w:rsidR="00000000" w:rsidRPr="00000000">
        <w:rPr>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among other roles, serves to modulate the permeability of plasmodesmata. Following ISR and SAR activation, callose is produced to strengthen cell walls and limit pathogen dispersal within the plant.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Due to how plants evolved mechanisms for defending themselves against abiotic and biological damage, breeders can manipulate the genotype of plants and through traditional breeding techniques can develop genetic pools that are better equipped with chemical or physical tool to increase their chance of survival.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38392E"/>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38392E"/>
    <w:pPr>
      <w:spacing w:after="100" w:afterAutospacing="1" w:before="100" w:beforeAutospacing="1"/>
    </w:pPr>
  </w:style>
  <w:style w:type="character" w:styleId="Hyperlink">
    <w:name w:val="Hyperlink"/>
    <w:basedOn w:val="DefaultParagraphFont"/>
    <w:uiPriority w:val="99"/>
    <w:semiHidden w:val="1"/>
    <w:unhideWhenUsed w:val="1"/>
    <w:rsid w:val="0038392E"/>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gif"/><Relationship Id="rId12" Type="http://schemas.openxmlformats.org/officeDocument/2006/relationships/header" Target="head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WcJT5nFGxhoTMeyvnRnIYCszYw==">CgMxLjAyCGguZ2pkZ3hzOAByITEwZ3RIRGVRRlBqWTdJSXMwYzcyYzFDbi1taDBqVFVFZw==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2020-02-17T23:06:00Z</dcterms:created>
  <dc:creator>kyle kaszynski</dc:creator>
</cp:coreProperties>
</file>