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jc w:val="center"/>
        <w:rPr>
          <w:b w:val="1"/>
        </w:rPr>
      </w:pPr>
      <w:r w:rsidDel="00000000" w:rsidR="00000000" w:rsidRPr="00000000">
        <w:rPr>
          <w:b w:val="1"/>
          <w:rtl w:val="0"/>
        </w:rPr>
        <w:t xml:space="preserve">Introduction</w:t>
      </w:r>
    </w:p>
    <w:p w:rsidR="00000000" w:rsidDel="00000000" w:rsidP="00000000" w:rsidRDefault="00000000" w:rsidRPr="00000000" w14:paraId="00000002">
      <w:pPr>
        <w:pageBreakBefore w:val="0"/>
        <w:spacing w:line="480" w:lineRule="auto"/>
        <w:jc w:val="center"/>
        <w:rPr>
          <w:b w:val="1"/>
        </w:rPr>
      </w:pPr>
      <w:r w:rsidDel="00000000" w:rsidR="00000000" w:rsidRPr="00000000">
        <w:rPr>
          <w:rtl w:val="0"/>
        </w:rPr>
      </w:r>
    </w:p>
    <w:p w:rsidR="00000000" w:rsidDel="00000000" w:rsidP="00000000" w:rsidRDefault="00000000" w:rsidRPr="00000000" w14:paraId="00000003">
      <w:pPr>
        <w:pageBreakBefore w:val="0"/>
        <w:spacing w:line="480" w:lineRule="auto"/>
        <w:rPr>
          <w:b w:val="1"/>
        </w:rPr>
      </w:pPr>
      <w:r w:rsidDel="00000000" w:rsidR="00000000" w:rsidRPr="00000000">
        <w:rPr>
          <w:b w:val="1"/>
          <w:rtl w:val="0"/>
        </w:rPr>
        <w:t xml:space="preserve">Who this book is for:</w:t>
      </w:r>
    </w:p>
    <w:p w:rsidR="00000000" w:rsidDel="00000000" w:rsidP="00000000" w:rsidRDefault="00000000" w:rsidRPr="00000000" w14:paraId="00000004">
      <w:pPr>
        <w:pageBreakBefore w:val="0"/>
        <w:spacing w:line="480" w:lineRule="auto"/>
        <w:rPr>
          <w:color w:val="ff0000"/>
        </w:rPr>
      </w:pPr>
      <w:r w:rsidDel="00000000" w:rsidR="00000000" w:rsidRPr="00000000">
        <w:rPr>
          <w:rtl w:val="0"/>
        </w:rPr>
      </w:r>
    </w:p>
    <w:p w:rsidR="00000000" w:rsidDel="00000000" w:rsidP="00000000" w:rsidRDefault="00000000" w:rsidRPr="00000000" w14:paraId="00000005">
      <w:pPr>
        <w:pageBreakBefore w:val="0"/>
        <w:spacing w:line="480" w:lineRule="auto"/>
        <w:rPr>
          <w:color w:val="ff0000"/>
        </w:rPr>
      </w:pPr>
      <w:r w:rsidDel="00000000" w:rsidR="00000000" w:rsidRPr="00000000">
        <w:rPr>
          <w:rtl w:val="0"/>
        </w:rPr>
      </w:r>
    </w:p>
    <w:p w:rsidR="00000000" w:rsidDel="00000000" w:rsidP="00000000" w:rsidRDefault="00000000" w:rsidRPr="00000000" w14:paraId="00000006">
      <w:pPr>
        <w:pageBreakBefore w:val="0"/>
        <w:spacing w:line="480" w:lineRule="auto"/>
        <w:rPr/>
      </w:pPr>
      <w:r w:rsidDel="00000000" w:rsidR="00000000" w:rsidRPr="00000000">
        <w:rPr>
          <w:rtl w:val="0"/>
        </w:rPr>
        <w:tab/>
        <w:t xml:space="preserve">This book is intended as an introduction for farmers and Cannabis cultivators to the world of fungi, fungal biology, and Cannabis-fungal interactions. Cannabis interacts with fungi in myriad ways throughout its lifecycle and after harvest. Fungal partners provide important benefits to Cannabis plants that improve their growth, survival, and productivity. Unfortunately, the time most growers first come to recognize that fungi are living along with their Cannabis crop is when a pathogenic fungi causes a problem. A comprehensive understanding of Cannabis-fungi interactions will help growers encourage the growth of fungi that benefit their crop and are safe, while excluding and limiting the damage from those that are detrimental to their host plant or the humans who later ingest it. </w:t>
      </w:r>
    </w:p>
    <w:p w:rsidR="00000000" w:rsidDel="00000000" w:rsidP="00000000" w:rsidRDefault="00000000" w:rsidRPr="00000000" w14:paraId="00000007">
      <w:pPr>
        <w:pageBreakBefore w:val="0"/>
        <w:spacing w:line="480" w:lineRule="auto"/>
        <w:jc w:val="center"/>
        <w:rPr>
          <w:b w:val="1"/>
        </w:rPr>
      </w:pPr>
      <w:r w:rsidDel="00000000" w:rsidR="00000000" w:rsidRPr="00000000">
        <w:rPr>
          <w:rtl w:val="0"/>
        </w:rPr>
      </w:r>
    </w:p>
    <w:p w:rsidR="00000000" w:rsidDel="00000000" w:rsidP="00000000" w:rsidRDefault="00000000" w:rsidRPr="00000000" w14:paraId="00000008">
      <w:pPr>
        <w:pageBreakBefore w:val="0"/>
        <w:spacing w:line="480" w:lineRule="auto"/>
        <w:jc w:val="left"/>
        <w:rPr>
          <w:b w:val="1"/>
        </w:rPr>
      </w:pPr>
      <w:r w:rsidDel="00000000" w:rsidR="00000000" w:rsidRPr="00000000">
        <w:rPr>
          <w:b w:val="1"/>
          <w:rtl w:val="0"/>
        </w:rPr>
        <w:t xml:space="preserve">What is Cannabis?</w:t>
      </w:r>
    </w:p>
    <w:p w:rsidR="00000000" w:rsidDel="00000000" w:rsidP="00000000" w:rsidRDefault="00000000" w:rsidRPr="00000000" w14:paraId="00000009">
      <w:pPr>
        <w:pageBreakBefore w:val="0"/>
        <w:spacing w:line="480" w:lineRule="auto"/>
        <w:rPr/>
      </w:pPr>
      <w:r w:rsidDel="00000000" w:rsidR="00000000" w:rsidRPr="00000000">
        <w:rPr>
          <w:rtl w:val="0"/>
        </w:rPr>
      </w:r>
    </w:p>
    <w:p w:rsidR="00000000" w:rsidDel="00000000" w:rsidP="00000000" w:rsidRDefault="00000000" w:rsidRPr="00000000" w14:paraId="0000000A">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1. Hierarchical classification of  </w:t>
      </w: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bl>
      <w:tblPr>
        <w:tblStyle w:val="Table1"/>
        <w:tblW w:w="8805.0" w:type="dxa"/>
        <w:jc w:val="left"/>
        <w:tblInd w:w="-100.0" w:type="dxa"/>
        <w:tblLayout w:type="fixed"/>
        <w:tblLook w:val="0400"/>
      </w:tblPr>
      <w:tblGrid>
        <w:gridCol w:w="1380"/>
        <w:gridCol w:w="7425"/>
        <w:tblGridChange w:id="0">
          <w:tblGrid>
            <w:gridCol w:w="138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Anthophyta (</w:t>
            </w:r>
            <w:r w:rsidDel="00000000" w:rsidR="00000000" w:rsidRPr="00000000">
              <w:rPr>
                <w:color w:val="202122"/>
                <w:highlight w:val="white"/>
                <w:rtl w:val="0"/>
              </w:rPr>
              <w:t xml:space="preserve">Angiospermae</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Eudicot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Cannabaceae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Cannabis sativa, Cannabis sativa </w:t>
            </w:r>
            <w:r w:rsidDel="00000000" w:rsidR="00000000" w:rsidRPr="00000000">
              <w:rPr>
                <w:rFonts w:ascii="Times New Roman" w:cs="Times New Roman" w:eastAsia="Times New Roman" w:hAnsi="Times New Roman"/>
                <w:rtl w:val="0"/>
              </w:rPr>
              <w:t xml:space="preserve">sub.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var.</w:t>
            </w:r>
            <w:r w:rsidDel="00000000" w:rsidR="00000000" w:rsidRPr="00000000">
              <w:rPr>
                <w:rFonts w:ascii="Times New Roman" w:cs="Times New Roman" w:eastAsia="Times New Roman" w:hAnsi="Times New Roman"/>
                <w:i w:val="1"/>
                <w:rtl w:val="0"/>
              </w:rPr>
              <w:t xml:space="preserve"> afghanica </w:t>
            </w:r>
            <w:r w:rsidDel="00000000" w:rsidR="00000000" w:rsidRPr="00000000">
              <w:rPr>
                <w:rFonts w:ascii="Times New Roman" w:cs="Times New Roman" w:eastAsia="Times New Roman" w:hAnsi="Times New Roman"/>
                <w:rtl w:val="0"/>
              </w:rPr>
              <w:t xml:space="preserve">(“Indica”)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(“Sativa”)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ruderalis </w:t>
            </w:r>
            <w:r w:rsidDel="00000000" w:rsidR="00000000" w:rsidRPr="00000000">
              <w:rPr>
                <w:rFonts w:ascii="Times New Roman" w:cs="Times New Roman" w:eastAsia="Times New Roman" w:hAnsi="Times New Roman"/>
                <w:rtl w:val="0"/>
              </w:rPr>
              <w:t xml:space="preserve">(“Ruderalis”), </w:t>
            </w:r>
            <w:r w:rsidDel="00000000" w:rsidR="00000000" w:rsidRPr="00000000">
              <w:rPr>
                <w:rFonts w:ascii="Times New Roman" w:cs="Times New Roman" w:eastAsia="Times New Roman" w:hAnsi="Times New Roman"/>
                <w:i w:val="1"/>
                <w:rtl w:val="0"/>
              </w:rPr>
              <w:t xml:space="preserve">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himalayensis,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asperrima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Marijuana, pot, bhang, ganja, tea, mary jane, mota, electric/devils lettuce, dagga, má, wacky tobacco, weed, herb, chronic, hydro...</w:t>
            </w:r>
          </w:p>
        </w:tc>
      </w:tr>
    </w:tbl>
    <w:p w:rsidR="00000000" w:rsidDel="00000000" w:rsidP="00000000" w:rsidRDefault="00000000" w:rsidRPr="00000000" w14:paraId="0000001C">
      <w:pPr>
        <w:pageBreakBefore w:val="0"/>
        <w:spacing w:line="480" w:lineRule="auto"/>
        <w:rPr/>
      </w:pPr>
      <w:r w:rsidDel="00000000" w:rsidR="00000000" w:rsidRPr="00000000">
        <w:rPr>
          <w:rtl w:val="0"/>
        </w:rPr>
      </w:r>
    </w:p>
    <w:p w:rsidR="00000000" w:rsidDel="00000000" w:rsidP="00000000" w:rsidRDefault="00000000" w:rsidRPr="00000000" w14:paraId="0000001D">
      <w:pPr>
        <w:pageBreakBefore w:val="0"/>
        <w:spacing w:line="480" w:lineRule="auto"/>
        <w:rPr>
          <w:b w:val="1"/>
        </w:rPr>
      </w:pPr>
      <w:r w:rsidDel="00000000" w:rsidR="00000000" w:rsidRPr="00000000">
        <w:rPr>
          <w:rtl w:val="0"/>
        </w:rPr>
      </w:r>
    </w:p>
    <w:p w:rsidR="00000000" w:rsidDel="00000000" w:rsidP="00000000" w:rsidRDefault="00000000" w:rsidRPr="00000000" w14:paraId="0000001E">
      <w:pPr>
        <w:pageBreakBefore w:val="0"/>
        <w:spacing w:line="480" w:lineRule="auto"/>
        <w:rPr>
          <w:b w:val="1"/>
        </w:rPr>
      </w:pPr>
      <w:r w:rsidDel="00000000" w:rsidR="00000000" w:rsidRPr="00000000">
        <w:rPr>
          <w:rtl w:val="0"/>
        </w:rPr>
      </w:r>
    </w:p>
    <w:p w:rsidR="00000000" w:rsidDel="00000000" w:rsidP="00000000" w:rsidRDefault="00000000" w:rsidRPr="00000000" w14:paraId="0000001F">
      <w:pPr>
        <w:pageBreakBefore w:val="0"/>
        <w:spacing w:line="480" w:lineRule="auto"/>
        <w:rPr/>
      </w:pPr>
      <w:sdt>
        <w:sdtPr>
          <w:tag w:val="goog_rdk_0"/>
        </w:sdtPr>
        <w:sdtContent>
          <w:commentRangeStart w:id="0"/>
        </w:sdtContent>
      </w:sdt>
      <w:r w:rsidDel="00000000" w:rsidR="00000000" w:rsidRPr="00000000">
        <w:rPr>
          <w:rtl w:val="0"/>
        </w:rPr>
        <w:t xml:space="preserve">Cannabis </w:t>
      </w:r>
      <w:commentRangeEnd w:id="0"/>
      <w:r w:rsidDel="00000000" w:rsidR="00000000" w:rsidRPr="00000000">
        <w:commentReference w:id="0"/>
      </w:r>
      <w:r w:rsidDel="00000000" w:rsidR="00000000" w:rsidRPr="00000000">
        <w:rPr>
          <w:rtl w:val="0"/>
        </w:rPr>
        <w:t xml:space="preserve">as a species</w:t>
      </w:r>
    </w:p>
    <w:p w:rsidR="00000000" w:rsidDel="00000000" w:rsidP="00000000" w:rsidRDefault="00000000" w:rsidRPr="00000000" w14:paraId="00000020">
      <w:pPr>
        <w:pageBreakBefore w:val="0"/>
        <w:spacing w:line="480" w:lineRule="auto"/>
        <w:rPr/>
      </w:pPr>
      <w:r w:rsidDel="00000000" w:rsidR="00000000" w:rsidRPr="00000000">
        <w:rPr>
          <w:rtl w:val="0"/>
        </w:rPr>
        <w:tab/>
        <w:t xml:space="preserve">Cannabis is a flowering plant (Angiospermae a.k.a. Magnoliophyta) that has a long history of human use as a food, medicine, and inebriant. Usually distinct male and female plants bear flowers of only one sex (dioecious, meaning two houses). However, individual plants that bear both flower sexes (monecious, meaning one house) are relatively common. Consistently monecious varieties have been developed for agricultural use as fiber and crop seed cultivars. Cannabis is wind pollinated (though insect mediated transfers may play a minor role in pollination). Male plants prolifically produce pollen capable of surviving on air currents for many miles. </w:t>
      </w:r>
    </w:p>
    <w:p w:rsidR="00000000" w:rsidDel="00000000" w:rsidP="00000000" w:rsidRDefault="00000000" w:rsidRPr="00000000" w14:paraId="00000021">
      <w:pPr>
        <w:pageBreakBefore w:val="0"/>
        <w:spacing w:line="480" w:lineRule="auto"/>
        <w:rPr/>
      </w:pPr>
      <w:r w:rsidDel="00000000" w:rsidR="00000000" w:rsidRPr="00000000">
        <w:rPr>
          <w:rtl w:val="0"/>
        </w:rPr>
        <w:tab/>
        <w:t xml:space="preserve">Cannabis is a eudicot, meaning it is a member of a cohesive clade of plants that characteristically emerge from their seed with two cotyledons, a specialized embryonic leaf that is the first to grow. The leaves of Cannabis are most often palmately compound, oppositely arranged on the stem of young plants, changing to alternate as the plant matures. The flowers occur on compound inflorescences (panicales) and are much reduced, with the only visible portion being the two receptive stigmas on the pistil of each flower. The bracts and bracteoles (known incorrectly as the “calyx”) are specialized leaves of the inflorescence that bear resin rich, glandular trichomes.  These trichomes are where the majority of cannabinoids are concentrated within the plant. The calyx, the fused ring comprising the flower petals, is an inconspicuous membranous ring adherent to the fruit (if still present, this can be rubbed off of mature seed). The fruit is classified as an achene or nut (Cronquist and </w:t>
      </w:r>
      <w:sdt>
        <w:sdtPr>
          <w:tag w:val="goog_rdk_1"/>
        </w:sdtPr>
        <w:sdtContent>
          <w:commentRangeStart w:id="1"/>
        </w:sdtContent>
      </w:sdt>
      <w:r w:rsidDel="00000000" w:rsidR="00000000" w:rsidRPr="00000000">
        <w:rPr>
          <w:rtl w:val="0"/>
        </w:rPr>
        <w:t xml:space="preserve">Takhtadzhi︠a︡n</w:t>
      </w:r>
      <w:commentRangeEnd w:id="1"/>
      <w:r w:rsidDel="00000000" w:rsidR="00000000" w:rsidRPr="00000000">
        <w:commentReference w:id="1"/>
      </w:r>
      <w:r w:rsidDel="00000000" w:rsidR="00000000" w:rsidRPr="00000000">
        <w:rPr>
          <w:rtl w:val="0"/>
        </w:rPr>
        <w:t xml:space="preserve">, 1981)  The two stigmas, the receptive parts of each pistil, arise from two fused carpels that together form a unilocular ovary. </w:t>
      </w:r>
    </w:p>
    <w:p w:rsidR="00000000" w:rsidDel="00000000" w:rsidP="00000000" w:rsidRDefault="00000000" w:rsidRPr="00000000" w14:paraId="00000022">
      <w:pPr>
        <w:pageBreakBefore w:val="0"/>
        <w:spacing w:line="480" w:lineRule="auto"/>
        <w:rPr/>
      </w:pPr>
      <w:r w:rsidDel="00000000" w:rsidR="00000000" w:rsidRPr="00000000">
        <w:rPr>
          <w:rtl w:val="0"/>
        </w:rPr>
      </w:r>
    </w:p>
    <w:p w:rsidR="00000000" w:rsidDel="00000000" w:rsidP="00000000" w:rsidRDefault="00000000" w:rsidRPr="00000000" w14:paraId="00000023">
      <w:pPr>
        <w:pageBreakBefore w:val="0"/>
        <w:spacing w:line="480" w:lineRule="auto"/>
        <w:rPr>
          <w:b w:val="1"/>
        </w:rPr>
      </w:pPr>
      <w:r w:rsidDel="00000000" w:rsidR="00000000" w:rsidRPr="00000000">
        <w:rPr>
          <w:rtl w:val="0"/>
        </w:rPr>
      </w:r>
    </w:p>
    <w:p w:rsidR="00000000" w:rsidDel="00000000" w:rsidP="00000000" w:rsidRDefault="00000000" w:rsidRPr="00000000" w14:paraId="00000024">
      <w:pPr>
        <w:pageBreakBefore w:val="0"/>
        <w:spacing w:line="480" w:lineRule="auto"/>
        <w:rPr>
          <w:b w:val="1"/>
        </w:rPr>
      </w:pPr>
      <w:r w:rsidDel="00000000" w:rsidR="00000000" w:rsidRPr="00000000">
        <w:rPr>
          <w:b w:val="1"/>
          <w:rtl w:val="0"/>
        </w:rPr>
        <w:t xml:space="preserve">This book:</w:t>
      </w:r>
    </w:p>
    <w:p w:rsidR="00000000" w:rsidDel="00000000" w:rsidP="00000000" w:rsidRDefault="00000000" w:rsidRPr="00000000" w14:paraId="00000025">
      <w:pPr>
        <w:pageBreakBefore w:val="0"/>
        <w:spacing w:line="480" w:lineRule="auto"/>
        <w:rPr>
          <w:b w:val="1"/>
        </w:rPr>
      </w:pPr>
      <w:r w:rsidDel="00000000" w:rsidR="00000000" w:rsidRPr="00000000">
        <w:rPr>
          <w:rtl w:val="0"/>
        </w:rPr>
      </w:r>
    </w:p>
    <w:p w:rsidR="00000000" w:rsidDel="00000000" w:rsidP="00000000" w:rsidRDefault="00000000" w:rsidRPr="00000000" w14:paraId="00000026">
      <w:pPr>
        <w:pageBreakBefore w:val="0"/>
        <w:spacing w:line="480" w:lineRule="auto"/>
        <w:rPr/>
      </w:pPr>
      <w:r w:rsidDel="00000000" w:rsidR="00000000" w:rsidRPr="00000000">
        <w:rPr>
          <w:rtl w:val="0"/>
        </w:rPr>
        <w:tab/>
        <w:t xml:space="preserve">This book is divided into 4 sections. Section 1 Is primarily focused on fungal biology and how fungi grow and reproduce. Then in section 2 we describe the mutualistic relationship between Cannabis and fungi, including mycorrhizae, soil fungi  and fungal endophytes. Section 3 shifts focus and details many of the fungal pathogens that infect Cannabis plants. We end in section 4 by describing different methods for defending plants against fungal pathogens via breeding, strain selection, foliar treatments and more.</w:t>
      </w:r>
    </w:p>
    <w:p w:rsidR="00000000" w:rsidDel="00000000" w:rsidP="00000000" w:rsidRDefault="00000000" w:rsidRPr="00000000" w14:paraId="00000027">
      <w:pPr>
        <w:pageBreakBefore w:val="0"/>
        <w:spacing w:line="480" w:lineRule="auto"/>
        <w:rPr/>
      </w:pPr>
      <w:r w:rsidDel="00000000" w:rsidR="00000000" w:rsidRPr="00000000">
        <w:rPr>
          <w:rtl w:val="0"/>
        </w:rPr>
      </w:r>
    </w:p>
    <w:p w:rsidR="00000000" w:rsidDel="00000000" w:rsidP="00000000" w:rsidRDefault="00000000" w:rsidRPr="00000000" w14:paraId="00000028">
      <w:pPr>
        <w:pageBreakBefore w:val="0"/>
        <w:spacing w:line="480" w:lineRule="auto"/>
        <w:rPr/>
      </w:pPr>
      <w:r w:rsidDel="00000000" w:rsidR="00000000" w:rsidRPr="00000000">
        <w:rPr>
          <w:rtl w:val="0"/>
        </w:rPr>
      </w:r>
    </w:p>
    <w:p w:rsidR="00000000" w:rsidDel="00000000" w:rsidP="00000000" w:rsidRDefault="00000000" w:rsidRPr="00000000" w14:paraId="00000029">
      <w:pPr>
        <w:pageBreakBefore w:val="0"/>
        <w:spacing w:line="480" w:lineRule="auto"/>
        <w:rPr/>
      </w:pPr>
      <w:r w:rsidDel="00000000" w:rsidR="00000000" w:rsidRPr="00000000">
        <w:rPr>
          <w:rtl w:val="0"/>
        </w:rPr>
      </w:r>
    </w:p>
    <w:sdt>
      <w:sdtPr>
        <w:lock w:val="contentLocked"/>
        <w:tag w:val="goog_rdk_2"/>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480" w:lineRule="auto"/>
                  <w:jc w:val="center"/>
                  <w:rPr/>
                </w:pPr>
                <w:r w:rsidDel="00000000" w:rsidR="00000000" w:rsidRPr="00000000">
                  <w:rPr>
                    <w:rtl w:val="0"/>
                  </w:rPr>
                  <w:t xml:space="preserve">Mycobiome</w:t>
                </w:r>
              </w:p>
              <w:p w:rsidR="00000000" w:rsidDel="00000000" w:rsidP="00000000" w:rsidRDefault="00000000" w:rsidRPr="00000000" w14:paraId="0000002B">
                <w:pPr>
                  <w:spacing w:line="480" w:lineRule="auto"/>
                  <w:jc w:val="center"/>
                  <w:rPr/>
                </w:pPr>
                <w:r w:rsidDel="00000000" w:rsidR="00000000" w:rsidRPr="00000000">
                  <w:rPr>
                    <w:rtl w:val="0"/>
                  </w:rPr>
                </w:r>
              </w:p>
              <w:p w:rsidR="00000000" w:rsidDel="00000000" w:rsidP="00000000" w:rsidRDefault="00000000" w:rsidRPr="00000000" w14:paraId="0000002C">
                <w:pPr>
                  <w:spacing w:line="480" w:lineRule="auto"/>
                  <w:jc w:val="center"/>
                  <w:rPr/>
                </w:pP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t xml:space="preserve">The entire community of fungi that live inside the plant endophytically, on the surface of plant tissues or epiphytes and pathogenic fungi that cause disease to the plant is called the mycobiome. The phytobiome (or microbiome of the plant) would include these fungi as well as bacteria, viruses and archaea organisms in and on the plant.</w:t>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t xml:space="preserve">This community of microorganisms, especially fungi, is understudied in the Cannabis industry but has been well researched in other crops. Studies have shown that the mycobiome can increase plant resistance to abiotic and biotic stresses, can influence plant secondary metabolite production and may also produce novel fungal metabolites that can alter plant growth (Gwinn et al 2023).</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t xml:space="preserve">The mycobiome is likely to change over the course of the plant's life and is directly influenced by environmental conditions, such as temperature and humidity, fungicidal applications, and plant genetics (Punja et al 23). Wei </w:t>
                </w:r>
                <w:r w:rsidDel="00000000" w:rsidR="00000000" w:rsidRPr="00000000">
                  <w:rPr>
                    <w:i w:val="1"/>
                    <w:rtl w:val="0"/>
                  </w:rPr>
                  <w:t xml:space="preserve">et al.</w:t>
                </w:r>
                <w:r w:rsidDel="00000000" w:rsidR="00000000" w:rsidRPr="00000000">
                  <w:rPr>
                    <w:rtl w:val="0"/>
                  </w:rPr>
                  <w:t xml:space="preserve"> reported that the microbiome of the plant is most abundant and diverse in the rhizosphere and decreases in diversity and concentration as you move up the plant into the flower tissue (Wei </w:t>
                </w:r>
                <w:r w:rsidDel="00000000" w:rsidR="00000000" w:rsidRPr="00000000">
                  <w:rPr>
                    <w:i w:val="1"/>
                    <w:rtl w:val="0"/>
                  </w:rPr>
                  <w:t xml:space="preserve">et al. </w:t>
                </w:r>
                <w:r w:rsidDel="00000000" w:rsidR="00000000" w:rsidRPr="00000000">
                  <w:rPr>
                    <w:rtl w:val="0"/>
                  </w:rPr>
                  <w:t xml:space="preserve">2021).</w:t>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t xml:space="preserve">The plants’ fungal community can be acquired vertically from parent to offspring or horizontally from the environment while the plant is growing. Some of these organisms are systemic and can travel from one plant organ to another, typically utilizing the plant's vascular system. Others are restricted to specific parts of the plant and do now move through plant tissue, also known as having compartment niches.</w:t>
                </w:r>
              </w:p>
            </w:tc>
          </w:tr>
        </w:tbl>
      </w:sdtContent>
    </w:sdt>
    <w:p w:rsidR="00000000" w:rsidDel="00000000" w:rsidP="00000000" w:rsidRDefault="00000000" w:rsidRPr="00000000" w14:paraId="00000034">
      <w:pPr>
        <w:pageBreakBefore w:val="0"/>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ndon Potter" w:id="0" w:date="2024-10-17T23:27:14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small section on Cannabaceae and relatives celtis humulus</w:t>
      </w:r>
    </w:p>
  </w:comment>
  <w:comment w:author="Brandon Potter" w:id="1" w:date="2020-07-17T03:55:43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https://www.google.com/books/edition/An_Integrated_System_of_Classification_o/EB6qflbmcrwC?hl=en&amp;gbpv=0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5" w15:done="0"/>
  <w15:commentEx w15:paraId="000000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OPGB6MrAnqrRpd8kky4goRlLFw==">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