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color w:val="000000"/>
          <w:rtl w:val="0"/>
        </w:rPr>
        <w:t xml:space="preserve">Chapter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2">
      <w:pPr>
        <w:pageBreakBefore w:val="0"/>
        <w:jc w:val="center"/>
        <w:rPr>
          <w:b w:val="1"/>
          <w:color w:val="000000"/>
        </w:rPr>
      </w:pPr>
      <w:bookmarkStart w:colFirst="0" w:colLast="0" w:name="_heading=h.gjdgxs" w:id="0"/>
      <w:bookmarkEnd w:id="0"/>
      <w:r w:rsidDel="00000000" w:rsidR="00000000" w:rsidRPr="00000000">
        <w:rPr>
          <w:b w:val="1"/>
          <w:color w:val="000000"/>
          <w:rtl w:val="0"/>
        </w:rPr>
        <w:t xml:space="preserve">Fungal Taxonomy and Systematics</w:t>
      </w:r>
    </w:p>
    <w:p w:rsidR="00000000" w:rsidDel="00000000" w:rsidP="00000000" w:rsidRDefault="00000000" w:rsidRPr="00000000" w14:paraId="00000003">
      <w:pPr>
        <w:pageBreakBefore w:val="0"/>
        <w:jc w:val="center"/>
        <w:rPr>
          <w:b w:val="1"/>
        </w:rPr>
      </w:pPr>
      <w:bookmarkStart w:colFirst="0" w:colLast="0" w:name="_heading=h.g9cg95p1yxq7" w:id="1"/>
      <w:bookmarkEnd w:id="1"/>
      <w:r w:rsidDel="00000000" w:rsidR="00000000" w:rsidRPr="00000000">
        <w:rPr>
          <w:rtl w:val="0"/>
        </w:rPr>
      </w:r>
    </w:p>
    <w:p w:rsidR="00000000" w:rsidDel="00000000" w:rsidP="00000000" w:rsidRDefault="00000000" w:rsidRPr="00000000" w14:paraId="00000004">
      <w:pPr>
        <w:pageBreakBefore w:val="0"/>
        <w:spacing w:line="480" w:lineRule="auto"/>
        <w:jc w:val="left"/>
        <w:rPr/>
      </w:pPr>
      <w:bookmarkStart w:colFirst="0" w:colLast="0" w:name="_heading=h.xc5tmnyqsl1c" w:id="2"/>
      <w:bookmarkEnd w:id="2"/>
      <w:r w:rsidDel="00000000" w:rsidR="00000000" w:rsidRPr="00000000">
        <w:rPr>
          <w:b w:val="1"/>
          <w:rtl w:val="0"/>
        </w:rPr>
        <w:tab/>
      </w:r>
      <w:r w:rsidDel="00000000" w:rsidR="00000000" w:rsidRPr="00000000">
        <w:rPr>
          <w:rtl w:val="0"/>
        </w:rPr>
        <w:t xml:space="preserve">Taxonomy and systematics refer to the naming and relative relationship of any biological organism. Here we discuss how fungi are classified,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pageBreakBefore w:val="0"/>
        <w:spacing w:line="480" w:lineRule="auto"/>
        <w:ind w:firstLine="720"/>
        <w:rPr/>
      </w:pPr>
      <w:r w:rsidDel="00000000" w:rsidR="00000000" w:rsidRPr="00000000">
        <w:rPr>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highlight w:val="white"/>
          <w:rtl w:val="0"/>
        </w:rPr>
        <w:t xml:space="preserve">Homo sapiens</w:t>
      </w:r>
      <w:r w:rsidDel="00000000" w:rsidR="00000000" w:rsidRPr="00000000">
        <w:rPr>
          <w:highlight w:val="white"/>
          <w:rtl w:val="0"/>
        </w:rPr>
        <w:t xml:space="preserve"> (Fig. 5.1).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2"/>
          <w:szCs w:val="22"/>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i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i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i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i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i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i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i w:val="1"/>
                <w:sz w:val="18"/>
                <w:szCs w:val="18"/>
                <w:rtl w:val="0"/>
              </w:rPr>
              <w:t xml:space="preserve">Glomus</w:t>
            </w:r>
            <w:r w:rsidDel="00000000" w:rsidR="00000000" w:rsidRPr="00000000">
              <w:rPr>
                <w:rtl w:val="0"/>
              </w:rPr>
            </w:r>
          </w:p>
          <w:p w:rsidR="00000000" w:rsidDel="00000000" w:rsidP="00000000" w:rsidRDefault="00000000" w:rsidRPr="00000000" w14:paraId="00000036">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sz w:val="18"/>
                <w:szCs w:val="18"/>
                <w:rtl w:val="0"/>
              </w:rPr>
              <w:t xml:space="preserve">tenue</w:t>
            </w:r>
            <w:r w:rsidDel="00000000" w:rsidR="00000000" w:rsidRPr="00000000">
              <w:rPr>
                <w:rtl w:val="0"/>
              </w:rPr>
            </w:r>
          </w:p>
          <w:p w:rsidR="00000000" w:rsidDel="00000000" w:rsidP="00000000" w:rsidRDefault="00000000" w:rsidRPr="00000000" w14:paraId="00000038">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i w:val="1"/>
                <w:sz w:val="18"/>
                <w:szCs w:val="18"/>
                <w:rtl w:val="0"/>
              </w:rPr>
              <w:t xml:space="preserve">Trichoderma</w:t>
            </w:r>
            <w:r w:rsidDel="00000000" w:rsidR="00000000" w:rsidRPr="00000000">
              <w:rPr>
                <w:rtl w:val="0"/>
              </w:rPr>
            </w:r>
          </w:p>
          <w:p w:rsidR="00000000" w:rsidDel="00000000" w:rsidP="00000000" w:rsidRDefault="00000000" w:rsidRPr="00000000" w14:paraId="0000003A">
            <w:pPr>
              <w:rPr/>
            </w:pPr>
            <w:r w:rsidDel="00000000" w:rsidR="00000000" w:rsidRPr="00000000">
              <w:rPr>
                <w:i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i w:val="1"/>
                <w:sz w:val="18"/>
                <w:szCs w:val="18"/>
                <w:rtl w:val="0"/>
              </w:rPr>
              <w:t xml:space="preserve">Botrytis</w:t>
            </w:r>
            <w:r w:rsidDel="00000000" w:rsidR="00000000" w:rsidRPr="00000000">
              <w:rPr>
                <w:rtl w:val="0"/>
              </w:rPr>
            </w:r>
          </w:p>
          <w:p w:rsidR="00000000" w:rsidDel="00000000" w:rsidP="00000000" w:rsidRDefault="00000000" w:rsidRPr="00000000" w14:paraId="0000003C">
            <w:pPr>
              <w:rPr/>
            </w:pPr>
            <w:r w:rsidDel="00000000" w:rsidR="00000000" w:rsidRPr="00000000">
              <w:rPr>
                <w:i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40">
            <w:pPr>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highlight w:val="white"/>
          <w:rtl w:val="0"/>
        </w:rPr>
        <w:t xml:space="preserve">Classification has generally been rooted in a concept of the ‘verticle’ transmission of heritable traits from parent to offspring, with lineages diverging over time as evolution imposes separations among populations of living beings. However, genes do not </w:t>
      </w:r>
      <w:r w:rsidDel="00000000" w:rsidR="00000000" w:rsidRPr="00000000">
        <w:rPr>
          <w:i w:val="1"/>
          <w:highlight w:val="white"/>
          <w:rtl w:val="0"/>
        </w:rPr>
        <w:t xml:space="preserve">only </w:t>
      </w:r>
      <w:r w:rsidDel="00000000" w:rsidR="00000000" w:rsidRPr="00000000">
        <w:rPr>
          <w:highlight w:val="white"/>
          <w:rtl w:val="0"/>
        </w:rPr>
        <w:t xml:space="preserve">move from parent to offspring. Genes may also move sideways during an individual's lifetime, or ‘horizontally’, and do not necessarily originate from a relative or even member of their own species. </w:t>
      </w:r>
      <w:r w:rsidDel="00000000" w:rsidR="00000000" w:rsidRPr="00000000">
        <w:rPr>
          <w:highlight w:val="white"/>
          <w:rtl w:val="0"/>
        </w:rPr>
        <w:t xml:space="preserve">The result is a tree of life that has many fused branches which depart and recombine over time. For this reason, some modern biologists eschew the tree analogy for something more akin to a web (Doolittle, 2000). </w:t>
      </w:r>
      <w:r w:rsidDel="00000000" w:rsidR="00000000" w:rsidRPr="00000000">
        <w:rPr>
          <w:highlight w:val="white"/>
          <w:rtl w:val="0"/>
        </w:rPr>
        <w:t xml:space="preserve"> Horizontal gene transfer is particularly common </w:t>
      </w:r>
      <w:r w:rsidDel="00000000" w:rsidR="00000000" w:rsidRPr="00000000">
        <w:rPr>
          <w:highlight w:val="white"/>
          <w:rtl w:val="0"/>
        </w:rPr>
        <w:t xml:space="preserve">at the ‘base’ of the tree among the prokaryotes. However the fused branches are evident today in eukaryotic organisms as well -all of whose cells are composed of previous free living bacteria ( mitochondria, chloroplasts) that are now entrapped in a derived archaea (the now eukaryotic cell). The nuclear genome of eukaryotes as well as its organelle genomes may also be mixed with a melange of individual genes and gene cassettes from other bacteria, archea, and viruses. Horizontal gene transfer is still commonplace among microbes, but also even occurs among the more derived eukaryotic species to this day. For instance the genes involved in psilocybin synthesis, usually present as a 20 Kb cassette, likely moved among diverse fungi via horizontal gene transfer (Reynolds et al, 2018).</w:t>
      </w:r>
      <w:r w:rsidDel="00000000" w:rsidR="00000000" w:rsidRPr="00000000">
        <w:rPr>
          <w:highlight w:val="white"/>
          <w:rtl w:val="0"/>
        </w:rPr>
        <w:t xml:space="preserve"> The nuclear genome among humans is also no less than 8 percent viral in ancestry, with some of the genes critical to our identity as mammals being viral in origin, including genes which organize the growth of placental cells during pregnancy. </w:t>
      </w:r>
      <w:r w:rsidDel="00000000" w:rsidR="00000000" w:rsidRPr="00000000">
        <w:rPr>
          <w:rtl w:val="0"/>
        </w:rPr>
      </w:r>
    </w:p>
    <w:p w:rsidR="00000000" w:rsidDel="00000000" w:rsidP="00000000" w:rsidRDefault="00000000" w:rsidRPr="00000000" w14:paraId="00000046">
      <w:pPr>
        <w:pageBreakBefore w:val="0"/>
        <w:spacing w:line="480" w:lineRule="auto"/>
        <w:ind w:firstLine="720"/>
        <w:rPr>
          <w:highlight w:val="white"/>
        </w:rPr>
      </w:pPr>
      <w:r w:rsidDel="00000000" w:rsidR="00000000" w:rsidRPr="00000000">
        <w:rPr>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7">
      <w:pPr>
        <w:pageBreakBefore w:val="0"/>
        <w:spacing w:line="480" w:lineRule="auto"/>
        <w:ind w:firstLine="720"/>
        <w:rPr/>
      </w:pPr>
      <w:r w:rsidDel="00000000" w:rsidR="00000000" w:rsidRPr="00000000">
        <w:rPr>
          <w:color w:val="000000"/>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w:t>
      </w:r>
      <w:r w:rsidDel="00000000" w:rsidR="00000000" w:rsidRPr="00000000">
        <w:rPr>
          <w:highlight w:val="white"/>
          <w:rtl w:val="0"/>
        </w:rPr>
        <w:t xml:space="preserve">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8">
      <w:pPr>
        <w:pageBreakBefore w:val="0"/>
        <w:spacing w:line="480" w:lineRule="auto"/>
        <w:ind w:firstLine="720"/>
        <w:rPr>
          <w:color w:val="000000"/>
          <w:highlight w:val="white"/>
        </w:rPr>
      </w:pPr>
      <w:r w:rsidDel="00000000" w:rsidR="00000000" w:rsidRPr="00000000">
        <w:rPr>
          <w:color w:val="000000"/>
          <w:highlight w:val="white"/>
          <w:rtl w:val="0"/>
        </w:rPr>
        <w:t xml:space="preserve">The scientific names of species, known as their specific epithet, consists of the two most  restricted levels of the categorical titles mentioned: genus and species. This naming system is referred to as binomial </w:t>
      </w:r>
      <w:r w:rsidDel="00000000" w:rsidR="00000000" w:rsidRPr="00000000">
        <w:rPr>
          <w:highlight w:val="white"/>
          <w:rtl w:val="0"/>
        </w:rPr>
        <w:t xml:space="preserve">nomenclature</w:t>
      </w:r>
      <w:r w:rsidDel="00000000" w:rsidR="00000000" w:rsidRPr="00000000">
        <w:rPr>
          <w:color w:val="000000"/>
          <w:highlight w:val="white"/>
          <w:rtl w:val="0"/>
        </w:rPr>
        <w:t xml:space="preserve"> and was pioneered by Carl Linnaeus</w:t>
      </w:r>
      <w:r w:rsidDel="00000000" w:rsidR="00000000" w:rsidRPr="00000000">
        <w:rPr>
          <w:highlight w:val="white"/>
          <w:rtl w:val="0"/>
        </w:rPr>
        <w:t xml:space="preserve">; the same person who</w:t>
      </w:r>
      <w:r w:rsidDel="00000000" w:rsidR="00000000" w:rsidRPr="00000000">
        <w:rPr>
          <w:color w:val="000000"/>
          <w:highlight w:val="white"/>
          <w:rtl w:val="0"/>
        </w:rPr>
        <w:t xml:space="preserve">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w:t>
      </w:r>
      <w:r w:rsidDel="00000000" w:rsidR="00000000" w:rsidRPr="00000000">
        <w:rPr>
          <w:highlight w:val="white"/>
          <w:rtl w:val="0"/>
        </w:rPr>
        <w:t xml:space="preserve">Therefore</w:t>
      </w:r>
      <w:r w:rsidDel="00000000" w:rsidR="00000000" w:rsidRPr="00000000">
        <w:rPr>
          <w:color w:val="000000"/>
          <w:highlight w:val="white"/>
          <w:rtl w:val="0"/>
        </w:rPr>
        <w:t xml:space="preserve">, Linnaeus's classification system was a taxonomy, concerned only with the naming of organisms</w:t>
      </w:r>
      <w:r w:rsidDel="00000000" w:rsidR="00000000" w:rsidRPr="00000000">
        <w:rPr>
          <w:highlight w:val="white"/>
          <w:rtl w:val="0"/>
        </w:rPr>
        <w:t xml:space="preserve">, while </w:t>
      </w:r>
      <w:r w:rsidDel="00000000" w:rsidR="00000000" w:rsidRPr="00000000">
        <w:rPr>
          <w:color w:val="000000"/>
          <w:highlight w:val="white"/>
          <w:rtl w:val="0"/>
        </w:rPr>
        <w:t xml:space="preserve">grouping </w:t>
      </w:r>
      <w:r w:rsidDel="00000000" w:rsidR="00000000" w:rsidRPr="00000000">
        <w:rPr>
          <w:highlight w:val="white"/>
          <w:rtl w:val="0"/>
        </w:rPr>
        <w:t xml:space="preserve">together those</w:t>
      </w:r>
      <w:r w:rsidDel="00000000" w:rsidR="00000000" w:rsidRPr="00000000">
        <w:rPr>
          <w:color w:val="000000"/>
          <w:highlight w:val="white"/>
          <w:rtl w:val="0"/>
        </w:rPr>
        <w:t xml:space="preserve"> that appeared similar for eas</w:t>
      </w:r>
      <w:r w:rsidDel="00000000" w:rsidR="00000000" w:rsidRPr="00000000">
        <w:rPr>
          <w:highlight w:val="white"/>
          <w:rtl w:val="0"/>
        </w:rPr>
        <w:t xml:space="preserve">e of categorization</w:t>
      </w:r>
      <w:r w:rsidDel="00000000" w:rsidR="00000000" w:rsidRPr="00000000">
        <w:rPr>
          <w:color w:val="000000"/>
          <w:highlight w:val="white"/>
          <w:rtl w:val="0"/>
        </w:rPr>
        <w:t xml:space="preserve">. </w:t>
      </w:r>
    </w:p>
    <w:p w:rsidR="00000000" w:rsidDel="00000000" w:rsidP="00000000" w:rsidRDefault="00000000" w:rsidRPr="00000000" w14:paraId="00000049">
      <w:pPr>
        <w:pageBreakBefore w:val="0"/>
        <w:spacing w:line="480" w:lineRule="auto"/>
        <w:ind w:firstLine="720"/>
        <w:rPr/>
      </w:pPr>
      <w:r w:rsidDel="00000000" w:rsidR="00000000" w:rsidRPr="00000000">
        <w:rPr>
          <w:color w:val="000000"/>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w:t>
      </w:r>
      <w:r w:rsidDel="00000000" w:rsidR="00000000" w:rsidRPr="00000000">
        <w:rPr>
          <w:highlight w:val="white"/>
          <w:rtl w:val="0"/>
        </w:rPr>
        <w:t xml:space="preserve">has resulted in the field of </w:t>
      </w:r>
      <w:r w:rsidDel="00000000" w:rsidR="00000000" w:rsidRPr="00000000">
        <w:rPr>
          <w:color w:val="000000"/>
          <w:highlight w:val="white"/>
          <w:rtl w:val="0"/>
        </w:rPr>
        <w:t xml:space="preserve">systematics.</w:t>
      </w:r>
      <w:r w:rsidDel="00000000" w:rsidR="00000000" w:rsidRPr="00000000">
        <w:rPr>
          <w:rtl w:val="0"/>
        </w:rPr>
      </w:r>
    </w:p>
    <w:p w:rsidR="00000000" w:rsidDel="00000000" w:rsidP="00000000" w:rsidRDefault="00000000" w:rsidRPr="00000000" w14:paraId="0000004A">
      <w:pPr>
        <w:pageBreakBefore w:val="0"/>
        <w:rPr>
          <w:color w:val="000000"/>
          <w:highlight w:val="white"/>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114300" distT="114300" distL="114300" distR="114300">
            <wp:extent cx="4610100" cy="3309565"/>
            <wp:effectExtent b="0" l="0" r="0" t="0"/>
            <wp:docPr id="18" name="image2.png"/>
            <a:graphic>
              <a:graphicData uri="http://schemas.openxmlformats.org/drawingml/2006/picture">
                <pic:pic>
                  <pic:nvPicPr>
                    <pic:cNvPr id="0" name="image2.png"/>
                    <pic:cNvPicPr preferRelativeResize="0"/>
                  </pic:nvPicPr>
                  <pic:blipFill>
                    <a:blip r:embed="rId7"/>
                    <a:srcRect b="2398" l="12339" r="10096"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sz w:val="22"/>
          <w:szCs w:val="22"/>
          <w:highlight w:val="white"/>
          <w:rtl w:val="0"/>
        </w:rPr>
        <w:t xml:space="preserve">    </w:t>
      </w:r>
      <w:r w:rsidDel="00000000" w:rsidR="00000000" w:rsidRPr="00000000">
        <w:rPr>
          <w:rtl w:val="0"/>
        </w:rPr>
      </w:r>
    </w:p>
    <w:p w:rsidR="00000000" w:rsidDel="00000000" w:rsidP="00000000" w:rsidRDefault="00000000" w:rsidRPr="00000000" w14:paraId="0000004D">
      <w:pPr>
        <w:rPr/>
      </w:pPr>
      <w:r w:rsidDel="00000000" w:rsidR="00000000" w:rsidRPr="00000000">
        <w:rPr>
          <w:highlight w:val="white"/>
          <w:rtl w:val="0"/>
        </w:rPr>
        <w:t xml:space="preserve">Figure 5.1. Example of a basic tree of life.</w: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spacing w:line="480" w:lineRule="auto"/>
        <w:ind w:firstLine="720"/>
        <w:rPr/>
      </w:pPr>
      <w:r w:rsidDel="00000000" w:rsidR="00000000" w:rsidRPr="00000000">
        <w:rPr>
          <w:color w:val="000000"/>
          <w:highlight w:val="white"/>
          <w:rtl w:val="0"/>
        </w:rPr>
        <w:t xml:space="preserve">Depending on wh</w:t>
      </w:r>
      <w:r w:rsidDel="00000000" w:rsidR="00000000" w:rsidRPr="00000000">
        <w:rPr>
          <w:highlight w:val="white"/>
          <w:rtl w:val="0"/>
        </w:rPr>
        <w:t xml:space="preserve">ich classification scheme </w:t>
      </w:r>
      <w:r w:rsidDel="00000000" w:rsidR="00000000" w:rsidRPr="00000000">
        <w:rPr>
          <w:color w:val="000000"/>
          <w:highlight w:val="white"/>
          <w:rtl w:val="0"/>
        </w:rPr>
        <w:t xml:space="preserve">you read, there are 5-</w:t>
      </w:r>
      <w:r w:rsidDel="00000000" w:rsidR="00000000" w:rsidRPr="00000000">
        <w:rPr>
          <w:highlight w:val="white"/>
          <w:rtl w:val="0"/>
        </w:rPr>
        <w:t xml:space="preserve">18</w:t>
      </w:r>
      <w:r w:rsidDel="00000000" w:rsidR="00000000" w:rsidRPr="00000000">
        <w:rPr>
          <w:color w:val="000000"/>
          <w:highlight w:val="white"/>
          <w:rtl w:val="0"/>
        </w:rPr>
        <w:t xml:space="preserve"> phyla in the </w:t>
      </w:r>
      <w:r w:rsidDel="00000000" w:rsidR="00000000" w:rsidRPr="00000000">
        <w:rPr>
          <w:highlight w:val="white"/>
          <w:rtl w:val="0"/>
        </w:rPr>
        <w:t xml:space="preserve">K</w:t>
      </w:r>
      <w:r w:rsidDel="00000000" w:rsidR="00000000" w:rsidRPr="00000000">
        <w:rPr>
          <w:color w:val="000000"/>
          <w:highlight w:val="white"/>
          <w:rtl w:val="0"/>
        </w:rPr>
        <w:t xml:space="preserve">ingdom fungi. </w:t>
      </w:r>
      <w:r w:rsidDel="00000000" w:rsidR="00000000" w:rsidRPr="00000000">
        <w:rPr>
          <w:highlight w:val="white"/>
          <w:rtl w:val="0"/>
        </w:rPr>
        <w:t xml:space="preserve">For our discussions, these include</w:t>
      </w:r>
      <w:r w:rsidDel="00000000" w:rsidR="00000000" w:rsidRPr="00000000">
        <w:rPr>
          <w:color w:val="000000"/>
          <w:highlight w:val="white"/>
          <w:rtl w:val="0"/>
        </w:rPr>
        <w:t xml:space="preserve"> </w:t>
      </w:r>
      <w:r w:rsidDel="00000000" w:rsidR="00000000" w:rsidRPr="00000000">
        <w:rPr>
          <w:highlight w:val="white"/>
          <w:rtl w:val="0"/>
        </w:rPr>
        <w:t xml:space="preserve">Basidiomycota, </w:t>
      </w:r>
      <w:r w:rsidDel="00000000" w:rsidR="00000000" w:rsidRPr="00000000">
        <w:rPr>
          <w:color w:val="000000"/>
          <w:highlight w:val="white"/>
          <w:rtl w:val="0"/>
        </w:rPr>
        <w:t xml:space="preserve">the club fungi</w:t>
      </w:r>
      <w:r w:rsidDel="00000000" w:rsidR="00000000" w:rsidRPr="00000000">
        <w:rPr>
          <w:highlight w:val="white"/>
          <w:rtl w:val="0"/>
        </w:rPr>
        <w:t xml:space="preserve">;</w:t>
      </w:r>
      <w:r w:rsidDel="00000000" w:rsidR="00000000" w:rsidRPr="00000000">
        <w:rPr>
          <w:color w:val="000000"/>
          <w:highlight w:val="white"/>
          <w:rtl w:val="0"/>
        </w:rPr>
        <w:t xml:space="preserve"> </w:t>
      </w:r>
      <w:r w:rsidDel="00000000" w:rsidR="00000000" w:rsidRPr="00000000">
        <w:rPr>
          <w:highlight w:val="white"/>
          <w:rtl w:val="0"/>
        </w:rPr>
        <w:t xml:space="preserve">Ascomycota, </w:t>
      </w:r>
      <w:r w:rsidDel="00000000" w:rsidR="00000000" w:rsidRPr="00000000">
        <w:rPr>
          <w:color w:val="000000"/>
          <w:highlight w:val="white"/>
          <w:rtl w:val="0"/>
        </w:rPr>
        <w:t xml:space="preserve">the sac fung</w:t>
      </w:r>
      <w:r w:rsidDel="00000000" w:rsidR="00000000" w:rsidRPr="00000000">
        <w:rPr>
          <w:highlight w:val="white"/>
          <w:rtl w:val="0"/>
        </w:rPr>
        <w:t xml:space="preserve">i; Mucoromycota (formerly ‘Glomeromycota’ and ‘Zygomycota’);  Chytridiomycota, the mobile ‘little pot’ fungi; and finally the Microsporidia, unicellular parasites formerly thought to be non-fungi protists</w:t>
      </w:r>
      <w:r w:rsidDel="00000000" w:rsidR="00000000" w:rsidRPr="00000000">
        <w:rPr>
          <w:color w:val="000000"/>
          <w:highlight w:val="white"/>
          <w:rtl w:val="0"/>
        </w:rPr>
        <w:t xml:space="preserve">. </w:t>
      </w:r>
      <w:r w:rsidDel="00000000" w:rsidR="00000000" w:rsidRPr="00000000">
        <w:rPr>
          <w:highlight w:val="white"/>
          <w:rtl w:val="0"/>
        </w:rPr>
        <w:t xml:space="preserve">The ‘Zygomycota’ have been discovered to be a polyphyletic grouping (not descended from an immediate common ancestor) and is no longer formally recognized as a phylum (</w:t>
      </w:r>
      <w:r w:rsidDel="00000000" w:rsidR="00000000" w:rsidRPr="00000000">
        <w:rPr>
          <w:sz w:val="22"/>
          <w:szCs w:val="22"/>
          <w:highlight w:val="white"/>
          <w:rtl w:val="0"/>
        </w:rPr>
        <w:t xml:space="preserve">Hibbet et al 2007, Spatafora 2016, Tedersoo et al. 2018)</w:t>
      </w:r>
      <w:r w:rsidDel="00000000" w:rsidR="00000000" w:rsidRPr="00000000">
        <w:rPr>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50">
      <w:pPr>
        <w:pageBreakBefore w:val="0"/>
        <w:spacing w:line="480" w:lineRule="auto"/>
        <w:ind w:firstLine="720"/>
        <w:rPr/>
      </w:pPr>
      <w:r w:rsidDel="00000000" w:rsidR="00000000" w:rsidRPr="00000000">
        <w:rPr>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p>
    <w:p w:rsidR="00000000" w:rsidDel="00000000" w:rsidP="00000000" w:rsidRDefault="00000000" w:rsidRPr="00000000" w14:paraId="00000051">
      <w:pPr>
        <w:pageBreakBefore w:val="0"/>
        <w:spacing w:line="480" w:lineRule="auto"/>
        <w:ind w:firstLine="720"/>
        <w:rPr>
          <w:highlight w:val="white"/>
        </w:rPr>
      </w:pPr>
      <w:r w:rsidDel="00000000" w:rsidR="00000000" w:rsidRPr="00000000">
        <w:rPr>
          <w:color w:val="000000"/>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w:t>
      </w:r>
      <w:r w:rsidDel="00000000" w:rsidR="00000000" w:rsidRPr="00000000">
        <w:rPr>
          <w:highlight w:val="white"/>
          <w:rtl w:val="0"/>
        </w:rPr>
        <w:t xml:space="preserve">r techniques themselves develop over time as our understanding increases, as does our understanding of how to interpret the resulting data. I</w:t>
      </w:r>
      <w:r w:rsidDel="00000000" w:rsidR="00000000" w:rsidRPr="00000000">
        <w:rPr>
          <w:color w:val="000000"/>
          <w:highlight w:val="white"/>
          <w:rtl w:val="0"/>
        </w:rPr>
        <w:t xml:space="preserve">t is important to remember that </w:t>
      </w:r>
      <w:r w:rsidDel="00000000" w:rsidR="00000000" w:rsidRPr="00000000">
        <w:rPr>
          <w:highlight w:val="white"/>
          <w:rtl w:val="0"/>
        </w:rPr>
        <w:t xml:space="preserve">these classification</w:t>
      </w:r>
      <w:r w:rsidDel="00000000" w:rsidR="00000000" w:rsidRPr="00000000">
        <w:rPr>
          <w:color w:val="000000"/>
          <w:highlight w:val="white"/>
          <w:rtl w:val="0"/>
        </w:rPr>
        <w:t xml:space="preserve"> systems are our best current understanding of these organisms</w:t>
      </w:r>
      <w:r w:rsidDel="00000000" w:rsidR="00000000" w:rsidRPr="00000000">
        <w:rPr>
          <w:highlight w:val="white"/>
          <w:rtl w:val="0"/>
        </w:rPr>
        <w:t xml:space="preserve">’</w:t>
      </w:r>
      <w:r w:rsidDel="00000000" w:rsidR="00000000" w:rsidRPr="00000000">
        <w:rPr>
          <w:color w:val="000000"/>
          <w:highlight w:val="white"/>
          <w:rtl w:val="0"/>
        </w:rPr>
        <w:t xml:space="preserve"> relatedness in nature. </w:t>
      </w:r>
      <w:r w:rsidDel="00000000" w:rsidR="00000000" w:rsidRPr="00000000">
        <w:rPr>
          <w:highlight w:val="white"/>
          <w:rtl w:val="0"/>
        </w:rPr>
        <w:t xml:space="preserve">Current classifications are not sacrosanct. The names of species and our understanding of their placement on the tangled tree of life still change frequently. </w:t>
      </w:r>
    </w:p>
    <w:p w:rsidR="00000000" w:rsidDel="00000000" w:rsidP="00000000" w:rsidRDefault="00000000" w:rsidRPr="00000000" w14:paraId="00000052">
      <w:pPr>
        <w:spacing w:line="480" w:lineRule="auto"/>
        <w:ind w:firstLine="720"/>
        <w:rPr>
          <w:highlight w:val="white"/>
        </w:rPr>
      </w:pPr>
      <w:r w:rsidDel="00000000" w:rsidR="00000000" w:rsidRPr="00000000">
        <w:rPr>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w:t>
      </w:r>
      <w:r w:rsidDel="00000000" w:rsidR="00000000" w:rsidRPr="00000000">
        <w:rPr>
          <w:highlight w:val="white"/>
          <w:rtl w:val="0"/>
        </w:rPr>
        <w:t xml:space="preserve">convergent evolution</w:t>
      </w:r>
      <w:r w:rsidDel="00000000" w:rsidR="00000000" w:rsidRPr="00000000">
        <w:rPr>
          <w:highlight w:val="white"/>
          <w:rtl w:val="0"/>
        </w:rPr>
        <w:t xml:space="preserve">, a process where similar forms have arisen independently as a consequence of selection for a shared function.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053">
      <w:pPr>
        <w:pageBreakBefore w:val="0"/>
        <w:spacing w:line="480" w:lineRule="auto"/>
        <w:ind w:firstLine="720"/>
        <w:rPr>
          <w:highlight w:val="white"/>
        </w:rPr>
      </w:pPr>
      <w:r w:rsidDel="00000000" w:rsidR="00000000" w:rsidRPr="00000000">
        <w:rPr>
          <w:color w:val="000000"/>
          <w:highlight w:val="white"/>
          <w:rtl w:val="0"/>
        </w:rPr>
        <w:t xml:space="preserve">With that in mind, we must accept that some fungi that we now know by certain names may be given a new name in the upcoming years. </w:t>
      </w:r>
      <w:r w:rsidDel="00000000" w:rsidR="00000000" w:rsidRPr="00000000">
        <w:rPr>
          <w:highlight w:val="white"/>
          <w:rtl w:val="0"/>
        </w:rPr>
        <w:t xml:space="preserve">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highlight w:val="white"/>
          <w:rtl w:val="0"/>
        </w:rPr>
        <w:t xml:space="preserve">Rhizophagus irregularis</w:t>
      </w:r>
      <w:r w:rsidDel="00000000" w:rsidR="00000000" w:rsidRPr="00000000">
        <w:rPr>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highlight w:val="white"/>
          <w:rtl w:val="0"/>
        </w:rPr>
        <w:t xml:space="preserve">Glomus intraradices</w:t>
      </w:r>
      <w:r w:rsidDel="00000000" w:rsidR="00000000" w:rsidRPr="00000000">
        <w:rPr>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4">
      <w:pPr>
        <w:pageBreakBefore w:val="0"/>
        <w:spacing w:line="480" w:lineRule="auto"/>
        <w:ind w:firstLine="720"/>
        <w:rPr>
          <w:highlight w:val="white"/>
        </w:rPr>
      </w:pPr>
      <w:r w:rsidDel="00000000" w:rsidR="00000000" w:rsidRPr="00000000">
        <w:rPr>
          <w:highlight w:val="white"/>
          <w:rtl w:val="0"/>
        </w:rPr>
        <w:t xml:space="preserve">The two phyla to which </w:t>
      </w:r>
      <w:r w:rsidDel="00000000" w:rsidR="00000000" w:rsidRPr="00000000">
        <w:rPr>
          <w:i w:val="1"/>
          <w:highlight w:val="white"/>
          <w:rtl w:val="0"/>
        </w:rPr>
        <w:t xml:space="preserve">all </w:t>
      </w:r>
      <w:r w:rsidDel="00000000" w:rsidR="00000000" w:rsidRPr="00000000">
        <w:rPr>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055">
      <w:pPr>
        <w:pageBreakBefore w:val="0"/>
        <w:spacing w:line="480" w:lineRule="auto"/>
        <w:ind w:firstLine="720"/>
        <w:rPr/>
      </w:pPr>
      <w:r w:rsidDel="00000000" w:rsidR="00000000" w:rsidRPr="00000000">
        <w:rPr>
          <w:rtl w:val="0"/>
        </w:rPr>
      </w:r>
    </w:p>
    <w:p w:rsidR="00000000" w:rsidDel="00000000" w:rsidP="00000000" w:rsidRDefault="00000000" w:rsidRPr="00000000" w14:paraId="00000056">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57">
      <w:pPr>
        <w:pageBreakBefore w:val="0"/>
        <w:spacing w:line="480" w:lineRule="auto"/>
        <w:ind w:firstLine="720"/>
        <w:rPr>
          <w:color w:val="000000"/>
        </w:rPr>
      </w:pPr>
      <w:r w:rsidDel="00000000" w:rsidR="00000000" w:rsidRPr="00000000">
        <w:rPr>
          <w:color w:val="000000"/>
          <w:rtl w:val="0"/>
        </w:rPr>
        <w:t xml:space="preserve">The fungi </w:t>
      </w:r>
      <w:r w:rsidDel="00000000" w:rsidR="00000000" w:rsidRPr="00000000">
        <w:rPr>
          <w:rtl w:val="0"/>
        </w:rPr>
        <w:t xml:space="preserve">of</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oncern to</w:t>
      </w:r>
      <w:r w:rsidDel="00000000" w:rsidR="00000000" w:rsidRPr="00000000">
        <w:rPr>
          <w:rtl w:val="0"/>
        </w:rPr>
        <w:t xml:space="preserve"> farmers</w:t>
      </w:r>
      <w:r w:rsidDel="00000000" w:rsidR="00000000" w:rsidRPr="00000000">
        <w:rPr>
          <w:color w:val="000000"/>
          <w:rtl w:val="0"/>
        </w:rPr>
        <w:t xml:space="preserve"> within Basidiomycota are primarily saprophytic fungi that degrade organic material and aid in nutrient cycling. These are often</w:t>
      </w:r>
      <w:r w:rsidDel="00000000" w:rsidR="00000000" w:rsidRPr="00000000">
        <w:rPr>
          <w:rtl w:val="0"/>
        </w:rPr>
        <w:t xml:space="preserve">, but not always,</w:t>
      </w:r>
      <w:r w:rsidDel="00000000" w:rsidR="00000000" w:rsidRPr="00000000">
        <w:rPr>
          <w:color w:val="000000"/>
          <w:rtl w:val="0"/>
        </w:rPr>
        <w:t xml:space="preserve"> mushroom-producing fungi. They can break down woody plant material from leftover crop residues and also herbaceous material. </w:t>
      </w:r>
      <w:r w:rsidDel="00000000" w:rsidR="00000000" w:rsidRPr="00000000">
        <w:rPr>
          <w:rtl w:val="0"/>
        </w:rPr>
        <w:t xml:space="preserve">Basidiomycota</w:t>
      </w:r>
      <w:r w:rsidDel="00000000" w:rsidR="00000000" w:rsidRPr="00000000">
        <w:rPr>
          <w:color w:val="000000"/>
          <w:rtl w:val="0"/>
        </w:rPr>
        <w:t xml:space="preserve"> are infrequent plant pathogens, though some</w:t>
      </w:r>
      <w:r w:rsidDel="00000000" w:rsidR="00000000" w:rsidRPr="00000000">
        <w:rPr>
          <w:rtl w:val="0"/>
        </w:rPr>
        <w:t xml:space="preserve"> are of concern to Cannabis farmers. The basidiomycete genera </w:t>
      </w:r>
      <w:r w:rsidDel="00000000" w:rsidR="00000000" w:rsidRPr="00000000">
        <w:rPr>
          <w:i w:val="1"/>
          <w:rtl w:val="0"/>
        </w:rPr>
        <w:t xml:space="preserve">Rhizoctonia</w:t>
      </w:r>
      <w:r w:rsidDel="00000000" w:rsidR="00000000" w:rsidRPr="00000000">
        <w:rPr>
          <w:rtl w:val="0"/>
        </w:rPr>
        <w:t xml:space="preserve"> contains species that frequently cause root diseases. The infrequently encountered rust fungi, </w:t>
      </w:r>
      <w:r w:rsidDel="00000000" w:rsidR="00000000" w:rsidRPr="00000000">
        <w:rPr>
          <w:i w:val="1"/>
          <w:rtl w:val="0"/>
        </w:rPr>
        <w:t xml:space="preserve">Aecidium cannabis</w:t>
      </w:r>
      <w:r w:rsidDel="00000000" w:rsidR="00000000" w:rsidRPr="00000000">
        <w:rPr>
          <w:rtl w:val="0"/>
        </w:rPr>
        <w:t xml:space="preserve">, is also a basidiomycete.</w:t>
      </w:r>
      <w:r w:rsidDel="00000000" w:rsidR="00000000" w:rsidRPr="00000000">
        <w:rPr>
          <w:rtl w:val="0"/>
        </w:rPr>
      </w:r>
    </w:p>
    <w:p w:rsidR="00000000" w:rsidDel="00000000" w:rsidP="00000000" w:rsidRDefault="00000000" w:rsidRPr="00000000" w14:paraId="00000058">
      <w:pPr>
        <w:pageBreakBefore w:val="0"/>
        <w:spacing w:line="480" w:lineRule="auto"/>
        <w:ind w:firstLine="720"/>
        <w:rPr/>
      </w:pPr>
      <w:r w:rsidDel="00000000" w:rsidR="00000000" w:rsidRPr="00000000">
        <w:rPr>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059">
      <w:pPr>
        <w:pageBreakBefore w:val="0"/>
        <w:spacing w:line="480" w:lineRule="auto"/>
        <w:ind w:firstLine="720"/>
        <w:rPr/>
      </w:pPr>
      <w:r w:rsidDel="00000000" w:rsidR="00000000" w:rsidRPr="00000000">
        <w:rPr>
          <w:rtl w:val="0"/>
        </w:rPr>
      </w:r>
    </w:p>
    <w:p w:rsidR="00000000" w:rsidDel="00000000" w:rsidP="00000000" w:rsidRDefault="00000000" w:rsidRPr="00000000" w14:paraId="0000005A">
      <w:pPr>
        <w:pageBreakBefore w:val="0"/>
        <w:spacing w:line="480" w:lineRule="auto"/>
        <w:rPr/>
      </w:pPr>
      <w:r w:rsidDel="00000000" w:rsidR="00000000" w:rsidRPr="00000000">
        <w:rPr>
          <w:rtl w:val="0"/>
        </w:rPr>
        <w:t xml:space="preserve">Ascomycota</w:t>
      </w:r>
    </w:p>
    <w:p w:rsidR="00000000" w:rsidDel="00000000" w:rsidP="00000000" w:rsidRDefault="00000000" w:rsidRPr="00000000" w14:paraId="0000005B">
      <w:pPr>
        <w:pageBreakBefore w:val="0"/>
        <w:spacing w:line="480" w:lineRule="auto"/>
        <w:ind w:firstLine="720"/>
        <w:rPr/>
      </w:pPr>
      <w:r w:rsidDel="00000000" w:rsidR="00000000" w:rsidRPr="00000000">
        <w:rPr>
          <w:rtl w:val="0"/>
        </w:rPr>
        <w:t xml:space="preserve">These include many mushroom-producing species, as well as most of the mold fungi. Many of these organisms are filamentous molds important in agriculture. Fungi such as </w:t>
      </w:r>
      <w:r w:rsidDel="00000000" w:rsidR="00000000" w:rsidRPr="00000000">
        <w:rPr>
          <w:i w:val="1"/>
          <w:rtl w:val="0"/>
        </w:rPr>
        <w:t xml:space="preserve">Trichoderma</w:t>
      </w:r>
      <w:r w:rsidDel="00000000" w:rsidR="00000000" w:rsidRPr="00000000">
        <w:rPr>
          <w:rtl w:val="0"/>
        </w:rPr>
        <w:t xml:space="preserve">, </w:t>
      </w:r>
      <w:r w:rsidDel="00000000" w:rsidR="00000000" w:rsidRPr="00000000">
        <w:rPr>
          <w:i w:val="1"/>
          <w:rtl w:val="0"/>
        </w:rPr>
        <w:t xml:space="preserve">Aspergillus</w:t>
      </w:r>
      <w:r w:rsidDel="00000000" w:rsidR="00000000" w:rsidRPr="00000000">
        <w:rPr>
          <w:rtl w:val="0"/>
        </w:rPr>
        <w:t xml:space="preserve">,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are all fungi belonging to this phylum. They will be found in most soils where any amount of organic matter is present. </w:t>
        <w:tab/>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Ascomycota have interior-borne, sexual spores produced in asci which are then discharged at maturity. Their hyphae is septate and they may live ectomycorrhizal, saprobic, and/or pathogenic lifestyles. Many “moldy” fungi rarely or never undergo sexual reproduction. Most asexual reproduction occurs via microscopic structures, which is one reason they often go unnoticed by the casual observer. </w:t>
      </w:r>
    </w:p>
    <w:p w:rsidR="00000000" w:rsidDel="00000000" w:rsidP="00000000" w:rsidRDefault="00000000" w:rsidRPr="00000000" w14:paraId="0000005D">
      <w:pPr>
        <w:pageBreakBefore w:val="0"/>
        <w:spacing w:line="480" w:lineRule="auto"/>
        <w:jc w:val="center"/>
        <w:rPr/>
      </w:pPr>
      <w:r w:rsidDel="00000000" w:rsidR="00000000" w:rsidRPr="00000000">
        <w:rPr>
          <w:rtl w:val="0"/>
        </w:rPr>
      </w:r>
    </w:p>
    <w:p w:rsidR="00000000" w:rsidDel="00000000" w:rsidP="00000000" w:rsidRDefault="00000000" w:rsidRPr="00000000" w14:paraId="0000005E">
      <w:pPr>
        <w:pageBreakBefore w:val="0"/>
        <w:spacing w:line="480" w:lineRule="auto"/>
        <w:jc w:val="left"/>
        <w:rPr/>
      </w:pPr>
      <w:r w:rsidDel="00000000" w:rsidR="00000000" w:rsidRPr="00000000">
        <w:rPr>
          <w:rtl w:val="0"/>
        </w:rPr>
        <w:t xml:space="preserve">Glomeromycotina</w:t>
      </w:r>
    </w:p>
    <w:p w:rsidR="00000000" w:rsidDel="00000000" w:rsidP="00000000" w:rsidRDefault="00000000" w:rsidRPr="00000000" w14:paraId="0000005F">
      <w:pPr>
        <w:pageBreakBefore w:val="0"/>
        <w:spacing w:line="480" w:lineRule="auto"/>
        <w:rPr/>
      </w:pPr>
      <w:r w:rsidDel="00000000" w:rsidR="00000000" w:rsidRPr="00000000">
        <w:rPr>
          <w:color w:val="ff0000"/>
          <w:rtl w:val="0"/>
        </w:rPr>
        <w:tab/>
      </w:r>
      <w:r w:rsidDel="00000000" w:rsidR="00000000" w:rsidRPr="00000000">
        <w:rPr>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rtl w:val="0"/>
        </w:rPr>
        <w:t xml:space="preserve">Cannabis </w:t>
      </w:r>
      <w:r w:rsidDel="00000000" w:rsidR="00000000" w:rsidRPr="00000000">
        <w:rPr>
          <w:rtl w:val="0"/>
        </w:rPr>
        <w:t xml:space="preserve">farmers include </w:t>
      </w:r>
      <w:r w:rsidDel="00000000" w:rsidR="00000000" w:rsidRPr="00000000">
        <w:rPr>
          <w:i w:val="1"/>
          <w:rtl w:val="0"/>
        </w:rPr>
        <w:t xml:space="preserve">Rhizophagus intraradices</w:t>
      </w:r>
      <w:r w:rsidDel="00000000" w:rsidR="00000000" w:rsidRPr="00000000">
        <w:rPr>
          <w:rtl w:val="0"/>
        </w:rPr>
        <w:t xml:space="preserve"> and </w:t>
      </w:r>
      <w:r w:rsidDel="00000000" w:rsidR="00000000" w:rsidRPr="00000000">
        <w:rPr>
          <w:i w:val="1"/>
          <w:rtl w:val="0"/>
        </w:rPr>
        <w:t xml:space="preserve">Funneliformis mossea</w:t>
      </w:r>
      <w:r w:rsidDel="00000000" w:rsidR="00000000" w:rsidRPr="00000000">
        <w:rPr>
          <w:rtl w:val="0"/>
        </w:rPr>
        <w:t xml:space="preserve"> (formerly </w:t>
      </w:r>
      <w:r w:rsidDel="00000000" w:rsidR="00000000" w:rsidRPr="00000000">
        <w:rPr>
          <w:i w:val="1"/>
          <w:rtl w:val="0"/>
        </w:rPr>
        <w:t xml:space="preserve">Glomus intraradices</w:t>
      </w:r>
      <w:r w:rsidDel="00000000" w:rsidR="00000000" w:rsidRPr="00000000">
        <w:rPr>
          <w:rtl w:val="0"/>
        </w:rPr>
        <w:t xml:space="preserve"> and </w:t>
      </w:r>
      <w:r w:rsidDel="00000000" w:rsidR="00000000" w:rsidRPr="00000000">
        <w:rPr>
          <w:i w:val="1"/>
          <w:rtl w:val="0"/>
        </w:rPr>
        <w:t xml:space="preserve">Glomus mosseae</w:t>
      </w:r>
      <w:r w:rsidDel="00000000" w:rsidR="00000000" w:rsidRPr="00000000">
        <w:rPr>
          <w:rtl w:val="0"/>
        </w:rPr>
        <w:t xml:space="preserve">, respectively). All Glomeromycotina form arbuscular mycorrhizas. This is a growth form in which the fungus invades plant roots, even passing through cell walls (but not cell membranes) to form highly branched arbuscules (fig. 5.3).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060">
      <w:pPr>
        <w:pageBreakBefore w:val="0"/>
        <w:spacing w:line="480" w:lineRule="auto"/>
        <w:ind w:firstLine="720"/>
        <w:rPr/>
      </w:pPr>
      <w:r w:rsidDel="00000000" w:rsidR="00000000" w:rsidRPr="00000000">
        <w:rPr>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(Brendett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rtl w:val="0"/>
        </w:rPr>
        <w:t xml:space="preserve">Cannabis</w:t>
      </w:r>
      <w:r w:rsidDel="00000000" w:rsidR="00000000" w:rsidRPr="00000000">
        <w:rPr>
          <w:rtl w:val="0"/>
        </w:rPr>
        <w:t xml:space="preserve">.  However, the newly described  Mucoromycotina Fine Root Endophytes likely form such associations with </w:t>
      </w:r>
      <w:r w:rsidDel="00000000" w:rsidR="00000000" w:rsidRPr="00000000">
        <w:rPr>
          <w:i w:val="1"/>
          <w:rtl w:val="0"/>
        </w:rPr>
        <w:t xml:space="preserve">Cannabis</w:t>
      </w:r>
      <w:r w:rsidDel="00000000" w:rsidR="00000000" w:rsidRPr="00000000">
        <w:rPr>
          <w:rtl w:val="0"/>
        </w:rPr>
        <w:t xml:space="preserve"> though this has not yet been formally described. </w:t>
      </w:r>
    </w:p>
    <w:p w:rsidR="00000000" w:rsidDel="00000000" w:rsidP="00000000" w:rsidRDefault="00000000" w:rsidRPr="00000000" w14:paraId="00000061">
      <w:pPr>
        <w:pageBreakBefore w:val="0"/>
        <w:spacing w:line="480" w:lineRule="auto"/>
        <w:rPr/>
      </w:pPr>
      <w:r w:rsidDel="00000000" w:rsidR="00000000" w:rsidRPr="00000000">
        <w:rPr>
          <w:rtl w:val="0"/>
        </w:rPr>
        <w:tab/>
        <w:t xml:space="preserve">Glomeromycota have coenocytic hyphae and reproduce asexually via spores. Oftentimes these large spores bundle close to each other in the soil in a structure called sporocarps.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062">
      <w:pPr>
        <w:pageBreakBefore w:val="0"/>
        <w:spacing w:line="480" w:lineRule="auto"/>
        <w:rPr/>
      </w:pPr>
      <w:r w:rsidDel="00000000" w:rsidR="00000000" w:rsidRPr="00000000">
        <w:rPr>
          <w:rtl w:val="0"/>
        </w:rPr>
      </w:r>
    </w:p>
    <w:p w:rsidR="00000000" w:rsidDel="00000000" w:rsidP="00000000" w:rsidRDefault="00000000" w:rsidRPr="00000000" w14:paraId="00000063">
      <w:pPr>
        <w:pageBreakBefore w:val="0"/>
        <w:spacing w:line="480" w:lineRule="auto"/>
        <w:rPr/>
      </w:pPr>
      <w:r w:rsidDel="00000000" w:rsidR="00000000" w:rsidRPr="00000000">
        <w:rPr>
          <w:rtl w:val="0"/>
        </w:rPr>
        <w:t xml:space="preserve">‘Zygomycota’ (now the Mucoromycota and Zoopagomycota)</w:t>
      </w:r>
    </w:p>
    <w:p w:rsidR="00000000" w:rsidDel="00000000" w:rsidP="00000000" w:rsidRDefault="00000000" w:rsidRPr="00000000" w14:paraId="00000064">
      <w:pPr>
        <w:pageBreakBefore w:val="0"/>
        <w:spacing w:line="240" w:lineRule="auto"/>
        <w:jc w:val="center"/>
        <w:rPr/>
      </w:pPr>
      <w:r w:rsidDel="00000000" w:rsidR="00000000" w:rsidRPr="00000000">
        <w:rPr>
          <w:rtl w:val="0"/>
        </w:rPr>
      </w:r>
    </w:p>
    <w:p w:rsidR="00000000" w:rsidDel="00000000" w:rsidP="00000000" w:rsidRDefault="00000000" w:rsidRPr="00000000" w14:paraId="00000065">
      <w:pPr>
        <w:pageBreakBefore w:val="0"/>
        <w:spacing w:line="480" w:lineRule="auto"/>
        <w:rPr/>
      </w:pPr>
      <w:r w:rsidDel="00000000" w:rsidR="00000000" w:rsidRPr="00000000">
        <w:rPr>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Mucoromycota in the current classification.</w:t>
      </w:r>
    </w:p>
    <w:p w:rsidR="00000000" w:rsidDel="00000000" w:rsidP="00000000" w:rsidRDefault="00000000" w:rsidRPr="00000000" w14:paraId="00000066">
      <w:pPr>
        <w:pageBreakBefore w:val="0"/>
        <w:spacing w:line="480" w:lineRule="auto"/>
        <w:ind w:firstLine="720"/>
        <w:rPr>
          <w:i w:val="1"/>
        </w:rPr>
      </w:pPr>
      <w:r w:rsidDel="00000000" w:rsidR="00000000" w:rsidRPr="00000000">
        <w:rPr>
          <w:rtl w:val="0"/>
        </w:rPr>
        <w:t xml:space="preserve">Mucoromycota are important saprophytes common in soils, occasional plant and animal pathogens, and also form both endophytic and mycorrhizal relationships with plants. Common bread mold, and the dog-poop fungus </w:t>
      </w:r>
      <w:r w:rsidDel="00000000" w:rsidR="00000000" w:rsidRPr="00000000">
        <w:rPr>
          <w:i w:val="1"/>
          <w:rtl w:val="0"/>
        </w:rPr>
        <w:t xml:space="preserve">Pilobolus</w:t>
      </w:r>
      <w:r w:rsidDel="00000000" w:rsidR="00000000" w:rsidRPr="00000000">
        <w:rPr>
          <w:rtl w:val="0"/>
        </w:rPr>
        <w:t xml:space="preserve">, belong to this phylum. Mucoromycota are common soil saprophytes. Non-ascomycetous molds are mostly members of the Mucoromycota.</w:t>
      </w:r>
      <w:r w:rsidDel="00000000" w:rsidR="00000000" w:rsidRPr="00000000">
        <w:rPr>
          <w:i w:val="1"/>
          <w:rtl w:val="0"/>
        </w:rPr>
        <w:t xml:space="preserve"> </w:t>
      </w:r>
    </w:p>
    <w:p w:rsidR="00000000" w:rsidDel="00000000" w:rsidP="00000000" w:rsidRDefault="00000000" w:rsidRPr="00000000" w14:paraId="00000067">
      <w:pPr>
        <w:pageBreakBefore w:val="0"/>
        <w:spacing w:line="480" w:lineRule="auto"/>
        <w:ind w:firstLine="720"/>
        <w:rPr>
          <w:i w:val="1"/>
        </w:rPr>
      </w:pPr>
      <w:r w:rsidDel="00000000" w:rsidR="00000000" w:rsidRPr="00000000">
        <w:rPr>
          <w:rtl w:val="0"/>
        </w:rPr>
        <w:t xml:space="preserve">The primary agricultural impacts of Mucoromycota plant pathogens occur on the fruit of caneberries and strawberries caused by fungi in the genera </w:t>
      </w:r>
      <w:r w:rsidDel="00000000" w:rsidR="00000000" w:rsidRPr="00000000">
        <w:rPr>
          <w:i w:val="1"/>
          <w:rtl w:val="0"/>
        </w:rPr>
        <w:t xml:space="preserve">Mucor </w:t>
      </w:r>
      <w:r w:rsidDel="00000000" w:rsidR="00000000" w:rsidRPr="00000000">
        <w:rPr>
          <w:rtl w:val="0"/>
        </w:rPr>
        <w:t xml:space="preserve">and </w:t>
      </w:r>
      <w:r w:rsidDel="00000000" w:rsidR="00000000" w:rsidRPr="00000000">
        <w:rPr>
          <w:i w:val="1"/>
          <w:rtl w:val="0"/>
        </w:rPr>
        <w:t xml:space="preserve">Rhizopus</w:t>
      </w:r>
      <w:r w:rsidDel="00000000" w:rsidR="00000000" w:rsidRPr="00000000">
        <w:rPr>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2020). As human and animal pathogens, severe mucormycosis may cause severe disfiguring necrotrophic disease and death (Danion et al, 2015); Affected </w:t>
      </w:r>
      <w:r w:rsidDel="00000000" w:rsidR="00000000" w:rsidRPr="00000000">
        <w:rPr>
          <w:i w:val="1"/>
          <w:rtl w:val="0"/>
        </w:rPr>
        <w:t xml:space="preserve">Cannabis</w:t>
      </w:r>
      <w:r w:rsidDel="00000000" w:rsidR="00000000" w:rsidRPr="00000000">
        <w:rPr>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068">
      <w:pPr>
        <w:pageBreakBefore w:val="0"/>
        <w:spacing w:line="480" w:lineRule="auto"/>
        <w:ind w:firstLine="720"/>
        <w:rPr/>
      </w:pPr>
      <w:r w:rsidDel="00000000" w:rsidR="00000000" w:rsidRPr="00000000">
        <w:rPr>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pests, such as </w:t>
      </w:r>
      <w:r w:rsidDel="00000000" w:rsidR="00000000" w:rsidRPr="00000000">
        <w:rPr>
          <w:i w:val="1"/>
          <w:rtl w:val="0"/>
        </w:rPr>
        <w:t xml:space="preserve">Pandora neoaphidis</w:t>
      </w:r>
      <w:r w:rsidDel="00000000" w:rsidR="00000000" w:rsidRPr="00000000">
        <w:rPr>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069">
      <w:pPr>
        <w:pageBreakBefore w:val="0"/>
        <w:spacing w:line="480" w:lineRule="auto"/>
        <w:rPr/>
      </w:pPr>
      <w:r w:rsidDel="00000000" w:rsidR="00000000" w:rsidRPr="00000000">
        <w:rPr>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06A">
      <w:pPr>
        <w:pageBreakBefore w:val="0"/>
        <w:spacing w:line="480" w:lineRule="auto"/>
        <w:ind w:firstLine="720"/>
        <w:rPr/>
      </w:pPr>
      <w:r w:rsidDel="00000000" w:rsidR="00000000" w:rsidRPr="00000000">
        <w:rPr>
          <w:rtl w:val="0"/>
        </w:rPr>
      </w:r>
    </w:p>
    <w:p w:rsidR="00000000" w:rsidDel="00000000" w:rsidP="00000000" w:rsidRDefault="00000000" w:rsidRPr="00000000" w14:paraId="0000006B">
      <w:pPr>
        <w:pageBreakBefore w:val="0"/>
        <w:spacing w:line="480" w:lineRule="auto"/>
        <w:ind w:left="0" w:firstLine="0"/>
        <w:rPr/>
      </w:pPr>
      <w:r w:rsidDel="00000000" w:rsidR="00000000" w:rsidRPr="00000000">
        <w:rPr>
          <w:rtl w:val="0"/>
        </w:rPr>
        <w:t xml:space="preserve">Chytridiomycota </w:t>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Chytridiomycota are aquatic fungi, including within the films of moisture found in soils, that are parasitic or saprobic. The chytrids represent a basal fungal taxa that have retained the ancestral opisthokont zoospore mobility. Zoospores are single cells with a single, posterior flagella- the same basic morphology as human, opisthokont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Parasitic chytrids may attack microscopic organisms, such as algae and protists, however, some animals and plants are also affected. </w:t>
      </w:r>
      <w:r w:rsidDel="00000000" w:rsidR="00000000" w:rsidRPr="00000000">
        <w:rPr>
          <w:i w:val="1"/>
          <w:rtl w:val="0"/>
        </w:rPr>
        <w:t xml:space="preserve">Batrachochytrium dendrobatidis</w:t>
      </w:r>
      <w:r w:rsidDel="00000000" w:rsidR="00000000" w:rsidRPr="00000000">
        <w:rPr>
          <w:rtl w:val="0"/>
        </w:rPr>
        <w:t xml:space="preserve"> (Berger et al. 1998), and </w:t>
      </w:r>
      <w:r w:rsidDel="00000000" w:rsidR="00000000" w:rsidRPr="00000000">
        <w:rPr>
          <w:i w:val="1"/>
          <w:rtl w:val="0"/>
        </w:rPr>
        <w:t xml:space="preserve">B. salamandrivorans</w:t>
      </w:r>
      <w:r w:rsidDel="00000000" w:rsidR="00000000" w:rsidRPr="00000000">
        <w:rPr>
          <w:rtl w:val="0"/>
        </w:rPr>
        <w:t xml:space="preserve"> (Martel et al, 2013) affect amphibians. The spread around the world of </w:t>
      </w:r>
      <w:r w:rsidDel="00000000" w:rsidR="00000000" w:rsidRPr="00000000">
        <w:rPr>
          <w:i w:val="1"/>
          <w:rtl w:val="0"/>
        </w:rPr>
        <w:t xml:space="preserve">B. dendrobatidis</w:t>
      </w:r>
      <w:r w:rsidDel="00000000" w:rsidR="00000000" w:rsidRPr="00000000">
        <w:rPr>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rtl w:val="0"/>
        </w:rPr>
        <w:t xml:space="preserve">Synchytrium endobioticum.</w:t>
      </w:r>
      <w:r w:rsidDel="00000000" w:rsidR="00000000" w:rsidRPr="00000000">
        <w:rPr>
          <w:rtl w:val="0"/>
        </w:rPr>
        <w:t xml:space="preserv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No chytrids have been reported to cause disease among </w:t>
      </w:r>
      <w:r w:rsidDel="00000000" w:rsidR="00000000" w:rsidRPr="00000000">
        <w:rPr>
          <w:i w:val="1"/>
          <w:rtl w:val="0"/>
        </w:rPr>
        <w:t xml:space="preserve">Cannabis</w:t>
      </w:r>
      <w:r w:rsidDel="00000000" w:rsidR="00000000" w:rsidRPr="00000000">
        <w:rPr>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rtl w:val="0"/>
        </w:rPr>
        <w:t xml:space="preserve">Cannabis </w:t>
      </w:r>
      <w:r w:rsidDel="00000000" w:rsidR="00000000" w:rsidRPr="00000000">
        <w:rPr>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rtl w:val="0"/>
        </w:rPr>
        <w:t xml:space="preserve">Rhizophlyctis, </w:t>
      </w:r>
      <w:r w:rsidDel="00000000" w:rsidR="00000000" w:rsidRPr="00000000">
        <w:rPr>
          <w:rtl w:val="0"/>
        </w:rPr>
        <w:t xml:space="preserve">generally considered to be soil dwelling, was identified using molecular techniques on dispensary </w:t>
      </w:r>
      <w:r w:rsidDel="00000000" w:rsidR="00000000" w:rsidRPr="00000000">
        <w:rPr>
          <w:i w:val="1"/>
          <w:rtl w:val="0"/>
        </w:rPr>
        <w:t xml:space="preserve">Cannabis</w:t>
      </w:r>
      <w:r w:rsidDel="00000000" w:rsidR="00000000" w:rsidRPr="00000000">
        <w:rPr>
          <w:rtl w:val="0"/>
        </w:rPr>
        <w:t xml:space="preserve"> flower (Thompson et al, 2016). There may be unknown symbiosis among chytrid species and </w:t>
      </w:r>
      <w:r w:rsidDel="00000000" w:rsidR="00000000" w:rsidRPr="00000000">
        <w:rPr>
          <w:i w:val="1"/>
          <w:rtl w:val="0"/>
        </w:rPr>
        <w:t xml:space="preserve">Cannabis</w:t>
      </w:r>
      <w:r w:rsidDel="00000000" w:rsidR="00000000" w:rsidRPr="00000000">
        <w:rPr>
          <w:rtl w:val="0"/>
        </w:rPr>
        <w:t xml:space="preserve"> occuring in the aerial parts of the plant, or this was a result of soil contamination of the final product.</w:t>
      </w:r>
    </w:p>
    <w:p w:rsidR="00000000" w:rsidDel="00000000" w:rsidP="00000000" w:rsidRDefault="00000000" w:rsidRPr="00000000" w14:paraId="0000006F">
      <w:pPr>
        <w:pageBreakBefore w:val="0"/>
        <w:spacing w:line="480" w:lineRule="auto"/>
        <w:ind w:firstLine="720"/>
        <w:rPr/>
      </w:pPr>
      <w:r w:rsidDel="00000000" w:rsidR="00000000" w:rsidRPr="00000000">
        <w:rPr>
          <w:rtl w:val="0"/>
        </w:rPr>
      </w:r>
    </w:p>
    <w:p w:rsidR="00000000" w:rsidDel="00000000" w:rsidP="00000000" w:rsidRDefault="00000000" w:rsidRPr="00000000" w14:paraId="00000070">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71">
      <w:pPr>
        <w:pageBreakBefore w:val="0"/>
        <w:spacing w:line="480" w:lineRule="auto"/>
        <w:ind w:left="0" w:firstLine="720"/>
        <w:rPr/>
      </w:pPr>
      <w:r w:rsidDel="00000000" w:rsidR="00000000" w:rsidRPr="00000000">
        <w:rPr>
          <w:rtl w:val="0"/>
        </w:rPr>
        <w:t xml:space="preserve">Microsporidia are unicellular parasites that reproduce within the cell of its host. Once classified within the defunct phylum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072">
      <w:pPr>
        <w:pageBreakBefore w:val="0"/>
        <w:spacing w:line="480" w:lineRule="auto"/>
        <w:ind w:left="0" w:firstLine="720"/>
        <w:rPr/>
      </w:pPr>
      <w:r w:rsidDel="00000000" w:rsidR="00000000" w:rsidRPr="00000000">
        <w:rPr>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073">
      <w:pPr>
        <w:pageBreakBefore w:val="0"/>
        <w:spacing w:line="480" w:lineRule="auto"/>
        <w:ind w:left="0" w:firstLine="720"/>
        <w:rPr>
          <w:color w:val="ff0000"/>
        </w:rPr>
      </w:pPr>
      <w:r w:rsidDel="00000000" w:rsidR="00000000" w:rsidRPr="00000000">
        <w:rPr>
          <w:color w:val="ff0000"/>
          <w:rtl w:val="0"/>
        </w:rPr>
        <w:t xml:space="preserve"> </w:t>
      </w:r>
    </w:p>
    <w:p w:rsidR="00000000" w:rsidDel="00000000" w:rsidP="00000000" w:rsidRDefault="00000000" w:rsidRPr="00000000" w14:paraId="00000074">
      <w:pPr>
        <w:pageBreakBefore w:val="0"/>
        <w:spacing w:line="480" w:lineRule="auto"/>
        <w:ind w:left="0" w:firstLine="0"/>
        <w:rPr/>
      </w:pPr>
      <w:r w:rsidDel="00000000" w:rsidR="00000000" w:rsidRPr="00000000">
        <w:rPr>
          <w:rtl w:val="0"/>
        </w:rPr>
        <w:t xml:space="preserve">‘Deuteromycota’</w:t>
      </w:r>
    </w:p>
    <w:p w:rsidR="00000000" w:rsidDel="00000000" w:rsidP="00000000" w:rsidRDefault="00000000" w:rsidRPr="00000000" w14:paraId="00000075">
      <w:pPr>
        <w:pageBreakBefore w:val="0"/>
        <w:spacing w:line="480" w:lineRule="auto"/>
        <w:ind w:left="0" w:firstLine="0"/>
        <w:rPr/>
      </w:pPr>
      <w:r w:rsidDel="00000000" w:rsidR="00000000" w:rsidRPr="00000000">
        <w:rPr>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rtl w:val="0"/>
        </w:rPr>
        <w:t xml:space="preserve">in vitro</w:t>
      </w:r>
      <w:r w:rsidDel="00000000" w:rsidR="00000000" w:rsidRPr="00000000">
        <w:rPr>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76">
      <w:pPr>
        <w:pageBreakBefore w:val="0"/>
        <w:spacing w:line="480" w:lineRule="auto"/>
        <w:ind w:left="0" w:firstLine="720"/>
        <w:rPr/>
      </w:pPr>
      <w:r w:rsidDel="00000000" w:rsidR="00000000" w:rsidRPr="00000000">
        <w:rPr>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77">
      <w:pPr>
        <w:pageBreakBefore w:val="0"/>
        <w:spacing w:line="480" w:lineRule="auto"/>
        <w:ind w:left="0" w:firstLine="720"/>
        <w:rPr/>
      </w:pPr>
      <w:r w:rsidDel="00000000" w:rsidR="00000000" w:rsidRPr="00000000">
        <w:rPr>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78">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79">
      <w:pPr>
        <w:pageBreakBefore w:val="0"/>
        <w:spacing w:line="480" w:lineRule="auto"/>
        <w:rPr/>
      </w:pPr>
      <w:r w:rsidDel="00000000" w:rsidR="00000000" w:rsidRPr="00000000">
        <w:rPr>
          <w:rtl w:val="0"/>
        </w:rPr>
        <w:t xml:space="preserve">The Non-Fungi</w:t>
      </w:r>
    </w:p>
    <w:p w:rsidR="00000000" w:rsidDel="00000000" w:rsidP="00000000" w:rsidRDefault="00000000" w:rsidRPr="00000000" w14:paraId="0000007A">
      <w:pPr>
        <w:pageBreakBefore w:val="0"/>
        <w:spacing w:line="480" w:lineRule="auto"/>
        <w:ind w:left="0" w:firstLine="0"/>
        <w:rPr/>
      </w:pPr>
      <w:r w:rsidDel="00000000" w:rsidR="00000000" w:rsidRPr="00000000">
        <w:rPr>
          <w:rtl w:val="0"/>
        </w:rPr>
        <w:t xml:space="preserve">Oomycota </w:t>
      </w:r>
    </w:p>
    <w:p w:rsidR="00000000" w:rsidDel="00000000" w:rsidP="00000000" w:rsidRDefault="00000000" w:rsidRPr="00000000" w14:paraId="0000007B">
      <w:pPr>
        <w:pageBreakBefore w:val="0"/>
        <w:spacing w:line="480" w:lineRule="auto"/>
        <w:rPr/>
      </w:pPr>
      <w:r w:rsidDel="00000000" w:rsidR="00000000" w:rsidRPr="00000000">
        <w:rPr>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07C">
      <w:pPr>
        <w:pageBreakBefore w:val="0"/>
        <w:spacing w:line="480" w:lineRule="auto"/>
        <w:ind w:firstLine="720"/>
        <w:rPr/>
      </w:pPr>
      <w:r w:rsidDel="00000000" w:rsidR="00000000" w:rsidRPr="00000000">
        <w:rPr>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rtl w:val="0"/>
        </w:rPr>
        <w:t xml:space="preserve">Cannabis</w:t>
      </w:r>
      <w:r w:rsidDel="00000000" w:rsidR="00000000" w:rsidRPr="00000000">
        <w:rPr>
          <w:rtl w:val="0"/>
        </w:rPr>
        <w:t xml:space="preserve">, including </w:t>
      </w:r>
      <w:r w:rsidDel="00000000" w:rsidR="00000000" w:rsidRPr="00000000">
        <w:rPr>
          <w:i w:val="1"/>
          <w:rtl w:val="0"/>
        </w:rPr>
        <w:t xml:space="preserve">Pythium </w:t>
      </w:r>
      <w:r w:rsidDel="00000000" w:rsidR="00000000" w:rsidRPr="00000000">
        <w:rPr>
          <w:rtl w:val="0"/>
        </w:rPr>
        <w:t xml:space="preserve">species, a common cause of damping off. Other Oomycetes are hyperparasites of plant pathogens. For instance, </w:t>
      </w:r>
      <w:r w:rsidDel="00000000" w:rsidR="00000000" w:rsidRPr="00000000">
        <w:rPr>
          <w:i w:val="1"/>
          <w:rtl w:val="0"/>
        </w:rPr>
        <w:t xml:space="preserve">Pythium oligandrum</w:t>
      </w:r>
      <w:r w:rsidDel="00000000" w:rsidR="00000000" w:rsidRPr="00000000">
        <w:rPr>
          <w:rtl w:val="0"/>
        </w:rPr>
        <w:t xml:space="preserve"> has recently been licensed for use as a biocontrol agent active against a wide range of soil-borne fungal and oomycete pathogens, including </w:t>
      </w:r>
      <w:r w:rsidDel="00000000" w:rsidR="00000000" w:rsidRPr="00000000">
        <w:rPr>
          <w:i w:val="1"/>
          <w:rtl w:val="0"/>
        </w:rPr>
        <w:t xml:space="preserve">Rhizoctonia solani, Sclerotinia sclerotiorum, Botrytis cinerea, </w:t>
      </w:r>
      <w:r w:rsidDel="00000000" w:rsidR="00000000" w:rsidRPr="00000000">
        <w:rPr>
          <w:rtl w:val="0"/>
        </w:rPr>
        <w:t xml:space="preserve">and  species of </w:t>
      </w:r>
      <w:r w:rsidDel="00000000" w:rsidR="00000000" w:rsidRPr="00000000">
        <w:rPr>
          <w:i w:val="1"/>
          <w:rtl w:val="0"/>
        </w:rPr>
        <w:t xml:space="preserve">Fusarium, Phoma, Pythium, Alternaria, </w:t>
      </w:r>
      <w:r w:rsidDel="00000000" w:rsidR="00000000" w:rsidRPr="00000000">
        <w:rPr>
          <w:rtl w:val="0"/>
        </w:rPr>
        <w:t xml:space="preserve">and </w:t>
      </w:r>
      <w:r w:rsidDel="00000000" w:rsidR="00000000" w:rsidRPr="00000000">
        <w:rPr>
          <w:i w:val="1"/>
          <w:rtl w:val="0"/>
        </w:rPr>
        <w:t xml:space="preserve">Verticillium</w:t>
      </w:r>
      <w:r w:rsidDel="00000000" w:rsidR="00000000" w:rsidRPr="00000000">
        <w:rPr>
          <w:rtl w:val="0"/>
        </w:rPr>
        <w:t xml:space="preserve"> (EPA fact sheet).</w:t>
      </w:r>
    </w:p>
    <w:p w:rsidR="00000000" w:rsidDel="00000000" w:rsidP="00000000" w:rsidRDefault="00000000" w:rsidRPr="00000000" w14:paraId="0000007D">
      <w:pPr>
        <w:pageBreakBefore w:val="0"/>
        <w:spacing w:line="480" w:lineRule="auto"/>
        <w:ind w:left="0" w:firstLine="0"/>
        <w:rPr/>
      </w:pPr>
      <w:r w:rsidDel="00000000" w:rsidR="00000000" w:rsidRPr="00000000">
        <w:rPr>
          <w:rtl w:val="0"/>
        </w:rPr>
      </w:r>
    </w:p>
    <w:p w:rsidR="00000000" w:rsidDel="00000000" w:rsidP="00000000" w:rsidRDefault="00000000" w:rsidRPr="00000000" w14:paraId="0000007E">
      <w:pPr>
        <w:pageBreakBefore w:val="0"/>
        <w:spacing w:line="480" w:lineRule="auto"/>
        <w:ind w:left="0" w:firstLine="0"/>
        <w:rPr/>
      </w:pPr>
      <w:r w:rsidDel="00000000" w:rsidR="00000000" w:rsidRPr="00000000">
        <w:rPr>
          <w:rtl w:val="0"/>
        </w:rPr>
        <w:t xml:space="preserve">Actinobacteria</w:t>
      </w:r>
    </w:p>
    <w:p w:rsidR="00000000" w:rsidDel="00000000" w:rsidP="00000000" w:rsidRDefault="00000000" w:rsidRPr="00000000" w14:paraId="0000007F">
      <w:pPr>
        <w:pageBreakBefore w:val="0"/>
        <w:spacing w:line="240" w:lineRule="auto"/>
        <w:ind w:left="0" w:firstLine="0"/>
        <w:jc w:val="center"/>
        <w:rPr/>
      </w:pPr>
      <w:r w:rsidDel="00000000" w:rsidR="00000000" w:rsidRPr="00000000">
        <w:rPr>
          <w:rtl w:val="0"/>
        </w:rPr>
      </w:r>
    </w:p>
    <w:p w:rsidR="00000000" w:rsidDel="00000000" w:rsidP="00000000" w:rsidRDefault="00000000" w:rsidRPr="00000000" w14:paraId="00000080">
      <w:pPr>
        <w:pageBreakBefore w:val="0"/>
        <w:spacing w:line="480" w:lineRule="auto"/>
        <w:ind w:firstLine="720"/>
        <w:rPr/>
      </w:pPr>
      <w:r w:rsidDel="00000000" w:rsidR="00000000" w:rsidRPr="00000000">
        <w:rPr>
          <w:rtl w:val="0"/>
        </w:rPr>
        <w:t xml:space="preserve">The actinobacteria are gram positive bacteria. These are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081">
      <w:pPr>
        <w:pageBreakBefore w:val="0"/>
        <w:spacing w:line="480" w:lineRule="auto"/>
        <w:ind w:firstLine="720"/>
        <w:rPr/>
      </w:pPr>
      <w:r w:rsidDel="00000000" w:rsidR="00000000" w:rsidRPr="00000000">
        <w:rPr>
          <w:rtl w:val="0"/>
        </w:rPr>
        <w:t xml:space="preserve">Actinobacteria include the important agricultural genus </w:t>
      </w:r>
      <w:r w:rsidDel="00000000" w:rsidR="00000000" w:rsidRPr="00000000">
        <w:rPr>
          <w:i w:val="1"/>
          <w:rtl w:val="0"/>
        </w:rPr>
        <w:t xml:space="preserve">Streptomyces</w:t>
      </w:r>
      <w:r w:rsidDel="00000000" w:rsidR="00000000" w:rsidRPr="00000000">
        <w:rPr>
          <w:rtl w:val="0"/>
        </w:rPr>
        <w:t xml:space="preserve"> and nitrogen fixing genera, including </w:t>
      </w:r>
      <w:r w:rsidDel="00000000" w:rsidR="00000000" w:rsidRPr="00000000">
        <w:rPr>
          <w:i w:val="1"/>
          <w:rtl w:val="0"/>
        </w:rPr>
        <w:t xml:space="preserve">Frankia</w:t>
      </w:r>
      <w:r w:rsidDel="00000000" w:rsidR="00000000" w:rsidRPr="00000000">
        <w:rPr>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082">
      <w:pPr>
        <w:pageBreakBefore w:val="0"/>
        <w:spacing w:line="480" w:lineRule="auto"/>
        <w:ind w:left="0" w:firstLine="0"/>
        <w:rPr/>
      </w:pPr>
      <w:r w:rsidDel="00000000" w:rsidR="00000000" w:rsidRPr="00000000">
        <w:rPr>
          <w:rtl w:val="0"/>
        </w:rPr>
        <w:t xml:space="preserve">Taxonomy, Existence, and Sex</w:t>
      </w:r>
    </w:p>
    <w:p w:rsidR="00000000" w:rsidDel="00000000" w:rsidP="00000000" w:rsidRDefault="00000000" w:rsidRPr="00000000" w14:paraId="00000083">
      <w:pPr>
        <w:pageBreakBefore w:val="0"/>
        <w:spacing w:line="480" w:lineRule="auto"/>
        <w:ind w:left="0" w:firstLine="720"/>
        <w:rPr/>
      </w:pPr>
      <w:r w:rsidDel="00000000" w:rsidR="00000000" w:rsidRPr="00000000">
        <w:rPr>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084">
      <w:pPr>
        <w:pageBreakBefore w:val="0"/>
        <w:spacing w:line="480" w:lineRule="auto"/>
        <w:ind w:left="0" w:firstLine="720"/>
        <w:rPr/>
      </w:pPr>
      <w:r w:rsidDel="00000000" w:rsidR="00000000" w:rsidRPr="00000000">
        <w:rPr>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085">
      <w:pPr>
        <w:pageBreakBefore w:val="0"/>
        <w:spacing w:line="480" w:lineRule="auto"/>
        <w:ind w:left="0" w:firstLine="0"/>
        <w:rPr/>
      </w:pPr>
      <w:r w:rsidDel="00000000" w:rsidR="00000000" w:rsidRPr="00000000">
        <w:rPr>
          <w:rtl w:val="0"/>
        </w:rPr>
      </w:r>
    </w:p>
    <w:p w:rsidR="00000000" w:rsidDel="00000000" w:rsidP="00000000" w:rsidRDefault="00000000" w:rsidRPr="00000000" w14:paraId="00000086">
      <w:pPr>
        <w:pageBreakBefore w:val="0"/>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Taxonomy and classification is important to show how related different organisms are to each other</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Fungi are eukaryotic organisms closer related to animals than to plants</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5 major phyla in kingdom fungi are Basisiomycota, Ascomycota, Glomeromycota, Zygomycota, and Chytridiomycota</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Fungal taxonomy is in a state of constant flux</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Water molds and slime molds are not true fungi</w:t>
      </w:r>
    </w:p>
    <w:p w:rsidR="00000000" w:rsidDel="00000000" w:rsidP="00000000" w:rsidRDefault="00000000" w:rsidRPr="00000000" w14:paraId="0000008C">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8D">
      <w:pPr>
        <w:pageBreakBefore w:val="0"/>
        <w:spacing w:line="480" w:lineRule="auto"/>
        <w:ind w:left="0" w:firstLine="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color w:val="000000"/>
          <w:sz w:val="22"/>
          <w:szCs w:val="22"/>
        </w:rPr>
        <w:drawing>
          <wp:inline distB="0" distT="0" distL="0" distR="0">
            <wp:extent cx="1574800" cy="8851900"/>
            <wp:effectExtent b="0" l="0" r="0" t="0"/>
            <wp:docPr descr="https://lh6.googleusercontent.com/dw4oghyRgb2RKGiqSmEF6K6Tuf_BG1wLiDcIjePiUOTK-7AvTepp3jQJhdJ9Hq3kM-JDlha9nuSnzH1LgcCEgY8DcbA7itH96JJ8EqLCA1sqvgM6nKoRh02QE72LLMS1sjzxE7up" id="19" name="image1.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1.png"/>
                    <pic:cNvPicPr preferRelativeResize="0"/>
                  </pic:nvPicPr>
                  <pic:blipFill>
                    <a:blip r:embed="rId8"/>
                    <a:srcRect b="0" l="0" r="0" t="0"/>
                    <a:stretch>
                      <a:fillRect/>
                    </a:stretch>
                  </pic:blipFill>
                  <pic:spPr>
                    <a:xfrm>
                      <a:off x="0" y="0"/>
                      <a:ext cx="1574800" cy="88519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660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kDHUaxujncqnjgUl0y1H5DcfQ==">CgMxLjAyCGguZ2pkZ3hzMg5oLmc5Y2c5NXAxeXhxNzIOaC54YzV0bW55cXNsMWM4AHIhMU1UQ3VRQ25hMFIyenNPX3M0ZG9NRUZnaFBCS3RIdFg1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2020-02-17T22:54:00Z</dcterms:created>
  <dc:creator>kyle kaszynski</dc:creator>
</cp:coreProperties>
</file>