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02">
      <w:pPr>
        <w:spacing w:line="240" w:lineRule="auto"/>
        <w:ind w:firstLine="720"/>
        <w:jc w:val="cente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03">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 (Botrytis cinerea) Life cycle diagram</w:t>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05">
      <w:pPr>
        <w:spacing w:line="240" w:lineRule="auto"/>
        <w:ind w:firstLine="720"/>
        <w:jc w:val="cente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e36c0a"/>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3262" cy="349522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63262" cy="3495229"/>
                    </a:xfrm>
                    <a:prstGeom prst="rect"/>
                    <a:ln/>
                  </pic:spPr>
                </pic:pic>
              </a:graphicData>
            </a:graphic>
          </wp:inline>
        </w:drawing>
      </w:r>
      <w:hyperlink r:id="rId7">
        <w:r w:rsidDel="00000000" w:rsidR="00000000" w:rsidRPr="00000000">
          <w:rPr>
            <w:rFonts w:ascii="Times New Roman" w:cs="Times New Roman" w:eastAsia="Times New Roman" w:hAnsi="Times New Roman"/>
            <w:sz w:val="24"/>
            <w:szCs w:val="24"/>
            <w:u w:val="single"/>
            <w:rtl w:val="0"/>
          </w:rPr>
          <w:t xml:space="preserve">Mohannad Mahmoud</w:t>
        </w:r>
      </w:hyperlink>
      <w:r w:rsidDel="00000000" w:rsidR="00000000" w:rsidRPr="00000000">
        <w:rPr>
          <w:rFonts w:ascii="Times New Roman" w:cs="Times New Roman" w:eastAsia="Times New Roman" w:hAnsi="Times New Roman"/>
          <w:sz w:val="24"/>
          <w:szCs w:val="24"/>
          <w:rtl w:val="0"/>
        </w:rPr>
        <w:t xml:space="preserve"> et al 2023</w:t>
      </w:r>
      <w:r w:rsidDel="00000000" w:rsidR="00000000" w:rsidRPr="00000000">
        <w:rPr>
          <w:rtl w:val="0"/>
        </w:rPr>
      </w:r>
    </w:p>
    <w:p w:rsidR="00000000" w:rsidDel="00000000" w:rsidP="00000000" w:rsidRDefault="00000000" w:rsidRPr="00000000" w14:paraId="00000007">
      <w:pPr>
        <w:spacing w:line="240" w:lineRule="auto"/>
        <w:ind w:firstLine="720"/>
        <w:jc w:val="cente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25800" cy="2336800"/>
            <wp:effectExtent b="0" l="0" r="0" t="0"/>
            <wp:docPr descr="https://lh3.googleusercontent.com/bnp34czbovohTgcmHd8_XhmfMu6pX4Mfu-ZGiRllgX4gTHH15AOadvdwcWIKes1UF3wfmvcQTvCWteYg0eb7sy2-Y2UQ0mplR23MwxtJFLZSOYsacxX6Z7l_3mR0QNqvS04eNBew" id="2" name="image1.png"/>
            <a:graphic>
              <a:graphicData uri="http://schemas.openxmlformats.org/drawingml/2006/picture">
                <pic:pic>
                  <pic:nvPicPr>
                    <pic:cNvPr descr="https://lh3.googleusercontent.com/bnp34czbovohTgcmHd8_XhmfMu6pX4Mfu-ZGiRllgX4gTHH15AOadvdwcWIKes1UF3wfmvcQTvCWteYg0eb7sy2-Y2UQ0mplR23MwxtJFLZSOYsacxX6Z7l_3mR0QNqvS04eNBew" id="0" name="image1.png"/>
                    <pic:cNvPicPr preferRelativeResize="0"/>
                  </pic:nvPicPr>
                  <pic:blipFill>
                    <a:blip r:embed="rId8"/>
                    <a:srcRect b="0" l="0" r="0" t="0"/>
                    <a:stretch>
                      <a:fillRect/>
                    </a:stretch>
                  </pic:blipFill>
                  <pic:spPr>
                    <a:xfrm>
                      <a:off x="0" y="0"/>
                      <a:ext cx="3225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13.4. </w:t>
      </w:r>
      <w:r w:rsidDel="00000000" w:rsidR="00000000" w:rsidRPr="00000000">
        <w:rPr>
          <w:rFonts w:ascii="Times New Roman" w:cs="Times New Roman" w:eastAsia="Times New Roman" w:hAnsi="Times New Roman"/>
          <w:i w:val="1"/>
          <w:iCs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asexual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reproduction showing the conidiophores that bear all of the conidiospores (conidia 40x).</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36c0a"/>
          <w:sz w:val="24"/>
          <w:szCs w:val="24"/>
        </w:rPr>
        <w:drawing>
          <wp:inline distB="0" distT="0" distL="0" distR="0">
            <wp:extent cx="4776788" cy="3696324"/>
            <wp:effectExtent b="0" l="0" r="0" t="0"/>
            <wp:docPr descr="mage result for botrytis cinerea life cycle diagram" id="3" name="image3.png"/>
            <a:graphic>
              <a:graphicData uri="http://schemas.openxmlformats.org/drawingml/2006/picture">
                <pic:pic>
                  <pic:nvPicPr>
                    <pic:cNvPr descr="mage result for botrytis cinerea life cycle diagram" id="0" name="image3.png"/>
                    <pic:cNvPicPr preferRelativeResize="0"/>
                  </pic:nvPicPr>
                  <pic:blipFill>
                    <a:blip r:embed="rId9"/>
                    <a:srcRect b="0" l="0" r="0" t="0"/>
                    <a:stretch>
                      <a:fillRect/>
                    </a:stretch>
                  </pic:blipFill>
                  <pic:spPr>
                    <a:xfrm>
                      <a:off x="0" y="0"/>
                      <a:ext cx="4776788" cy="369632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cycle of Botrytis cinerea, the fungus that causes gray mold, includes the following stages: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160" w:line="330" w:lineRule="auto"/>
        <w:ind w:left="180" w:hanging="63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Spore production</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right="100" w:hanging="63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When conditions are humid and cool, spores are produced on moldy fruit, plant debris, or sclerotia. These spores are spread by wind and water. </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hanging="63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hanging="63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Infection</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hanging="63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Spores germinate when they land on a host plant's leaves or stem and have access to moisture and nutrients. The spore secretes enzymes to break down the plant's waxy outer layer, called the cuticle, and then forms an infection peg that enters the plant tissue.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hanging="63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Sclerotia</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right="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fungus survives as small black resting structures called sclerotia in infected plant debris or soil. Sclerotia can also overwinter. </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80" w:right="10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27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Conidia</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 the spring, sclerotia germinate and produce conidia, which are asexual spores. Conidia are spread by wind and rain. </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Infection</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When conditions are right, conidia infect flowers, fruit, or leaf tissues. Infected tissues soften and rot due to the fungus releasing necrotrophic enzymes, killing surrounding plant tissue, then the fungus produces more conidia. </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Dispersal</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Conidia are spread by wind and splashing water. </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Repeat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300" w:before="0" w:beforeAutospacing="0" w:line="330" w:lineRule="auto"/>
        <w:ind w:left="3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cycle repeats, with infected tissues producing more conidia that spread and infect other plants. </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0029">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Scerotium</w:t>
      </w:r>
    </w:p>
    <w:p w:rsidR="00000000" w:rsidDel="00000000" w:rsidP="00000000" w:rsidRDefault="00000000" w:rsidRPr="00000000" w14:paraId="0000002A">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Mycelium</w:t>
      </w:r>
    </w:p>
    <w:p w:rsidR="00000000" w:rsidDel="00000000" w:rsidP="00000000" w:rsidRDefault="00000000" w:rsidRPr="00000000" w14:paraId="0000002B">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Conidiophore</w:t>
      </w:r>
    </w:p>
    <w:p w:rsidR="00000000" w:rsidDel="00000000" w:rsidP="00000000" w:rsidRDefault="00000000" w:rsidRPr="00000000" w14:paraId="0000002C">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Ascospore</w:t>
      </w:r>
    </w:p>
    <w:p w:rsidR="00000000" w:rsidDel="00000000" w:rsidP="00000000" w:rsidRDefault="00000000" w:rsidRPr="00000000" w14:paraId="0000002D">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Conidia</w:t>
      </w:r>
    </w:p>
    <w:p w:rsidR="00000000" w:rsidDel="00000000" w:rsidP="00000000" w:rsidRDefault="00000000" w:rsidRPr="00000000" w14:paraId="0000002E">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Aporthecia</w:t>
      </w:r>
    </w:p>
    <w:p w:rsidR="00000000" w:rsidDel="00000000" w:rsidP="00000000" w:rsidRDefault="00000000" w:rsidRPr="00000000" w14:paraId="0000002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Cannabis flower infected with mycelium</w:t>
      </w:r>
    </w:p>
    <w:p w:rsidR="00000000" w:rsidDel="00000000" w:rsidP="00000000" w:rsidRDefault="00000000" w:rsidRPr="00000000" w14:paraId="00000030">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Penetration of plant tissue with appresoria</w:t>
      </w:r>
    </w:p>
    <w:p w:rsidR="00000000" w:rsidDel="00000000" w:rsidP="00000000" w:rsidRDefault="00000000" w:rsidRPr="00000000" w14:paraId="00000031">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Infection cushion</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firstLine="720"/>
        <w:jc w:val="center"/>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living endophytically is likely fulfilling this role as a latent saprobe; colonizing healthy tissue to gain first dibs in exploiting it as a food resource once it becomes weakened or begins to senesce.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often seedborne, usually passed on the outside of the seed coat. Though internal seed infestations have been demonstrated in other plant species, and are likely to occur among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seeds, internal infections are usually a minor source of seed borne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among crops (du Toit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2004).</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also able to kill germinating seeds and very young seedlings. Disease at this stage may partly be a function of inoculum density or environmental stressors. Surface sterilization kills the vast majority of seedborne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inocula, protecting young seedlings during the short window of susceptibility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induced damping-off (Sowley et al, 2010). Even if some internally infested seed results in cryptic, systemic infection, these individuals will likely not have any differences in the final amount of disease compared with plants that become infected after germination (Shaw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2016).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fungus can reproduce via sexual and asexual methods. Asexual reproduction consists of the mycelium producing large amounts of clonal spores, called conidia, on specialized hyphal structures, called conidiophores (Fig. 4). These conidia (conidiospores) will be genetically identical to the mycelium that produced them. </w:t>
      </w: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compatible mating type is nearby, both mycelia will release signals and the two will fuse, anastomize and exchange nuclei. The teleomorph (sexual state)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has a different binomial name, </w:t>
      </w:r>
      <w:r w:rsidDel="00000000" w:rsidR="00000000" w:rsidRPr="00000000">
        <w:rPr>
          <w:rFonts w:ascii="Times New Roman" w:cs="Times New Roman" w:eastAsia="Times New Roman" w:hAnsi="Times New Roman"/>
          <w:i w:val="1"/>
          <w:iCs w:val="1"/>
          <w:sz w:val="24"/>
          <w:szCs w:val="24"/>
          <w:rtl w:val="0"/>
        </w:rPr>
        <w:t xml:space="preserve">Botryotinia fuckeliana</w:t>
      </w:r>
      <w:r w:rsidDel="00000000" w:rsidR="00000000" w:rsidRPr="00000000">
        <w:rPr>
          <w:rFonts w:ascii="Times New Roman" w:cs="Times New Roman" w:eastAsia="Times New Roman" w:hAnsi="Times New Roman"/>
          <w:sz w:val="24"/>
          <w:szCs w:val="24"/>
          <w:rtl w:val="0"/>
        </w:rPr>
        <w:t xml:space="preserve">. Because the anamorph was named first and is ubiquitous, whereas the sexual state is rare,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takes precedence.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of the Ascomycota,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forms a specialized ascocarp, called an apothecium, which has an exposed hymenium (spore producing tissue) on its upper surface. When the ascospores are mature, the ascus will burst, releasing the spores into the wind. Formation of the</w:t>
      </w:r>
      <w:r w:rsidDel="00000000" w:rsidR="00000000" w:rsidRPr="00000000">
        <w:rPr>
          <w:rFonts w:ascii="Times New Roman" w:cs="Times New Roman" w:eastAsia="Times New Roman" w:hAnsi="Times New Roman"/>
          <w:i w:val="1"/>
          <w:iCs w:val="1"/>
          <w:sz w:val="24"/>
          <w:szCs w:val="24"/>
          <w:rtl w:val="0"/>
        </w:rPr>
        <w:t xml:space="preserve"> Botryotinia fuckeliana</w:t>
      </w:r>
      <w:r w:rsidDel="00000000" w:rsidR="00000000" w:rsidRPr="00000000">
        <w:rPr>
          <w:rFonts w:ascii="Times New Roman" w:cs="Times New Roman" w:eastAsia="Times New Roman" w:hAnsi="Times New Roman"/>
          <w:sz w:val="24"/>
          <w:szCs w:val="24"/>
          <w:rtl w:val="0"/>
        </w:rPr>
        <w:t xml:space="preserve"> ascocarp (sexual fruiting body) occurs directly from sclerotia (Fig 5) formed to survive stressful environmental conditions and is rarely encountered by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ef0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dnsciencepub.com/doi/10.1139/cjb-2022-0139#con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