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40" w:lineRule="auto"/>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02">
      <w:pPr>
        <w:spacing w:line="240" w:lineRule="auto"/>
        <w:jc w:val="center"/>
        <w:rPr>
          <w:rFonts w:ascii="Times New Roman" w:cs="Times New Roman" w:eastAsia="Times New Roman" w:hAnsi="Times New Roman"/>
          <w:sz w:val="24"/>
          <w:szCs w:val="24"/>
        </w:rPr>
      </w:pPr>
      <w:r w:rsidDel="00000000" w:rsidR="00000000" w:rsidRPr="00000000">
        <w:rPr>
          <w:b w:val="1"/>
          <w:bCs w:val="1"/>
          <w:rtl w:val="0"/>
        </w:rPr>
        <w:t xml:space="preserve">Chapter 8</w:t>
      </w:r>
      <w:r w:rsidDel="00000000" w:rsidR="00000000" w:rsidRPr="00000000">
        <w:rPr>
          <w:rtl w:val="0"/>
        </w:rPr>
      </w:r>
    </w:p>
    <w:p w:rsidR="00000000" w:rsidDel="00000000" w:rsidP="00000000" w:rsidRDefault="00000000" w:rsidRPr="00000000" w14:paraId="00000003">
      <w:pPr>
        <w:spacing w:line="240" w:lineRule="auto"/>
        <w:jc w:val="center"/>
        <w:rPr>
          <w:rFonts w:ascii="Times New Roman" w:cs="Times New Roman" w:eastAsia="Times New Roman" w:hAnsi="Times New Roman"/>
          <w:sz w:val="24"/>
          <w:szCs w:val="24"/>
        </w:rPr>
      </w:pPr>
      <w:bookmarkStart w:colFirst="0" w:colLast="0" w:name="_gjdgxs" w:id="0"/>
      <w:bookmarkEnd w:id="0"/>
      <w:r w:rsidDel="00000000" w:rsidR="00000000" w:rsidRPr="00000000">
        <w:rPr>
          <w:b w:val="1"/>
          <w:bCs w:val="1"/>
          <w:rtl w:val="0"/>
        </w:rPr>
        <w:t xml:space="preserve">Endophytes</w:t>
      </w:r>
      <w:r w:rsidDel="00000000" w:rsidR="00000000" w:rsidRPr="00000000">
        <w:rPr>
          <w:rtl w:val="0"/>
        </w:rPr>
      </w:r>
    </w:p>
    <w:p w:rsidR="00000000" w:rsidDel="00000000" w:rsidP="00000000" w:rsidRDefault="00000000" w:rsidRPr="00000000" w14:paraId="00000004">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5">
      <w:pPr>
        <w:spacing w:line="240" w:lineRule="auto"/>
        <w:rPr>
          <w:rFonts w:ascii="Times New Roman" w:cs="Times New Roman" w:eastAsia="Times New Roman" w:hAnsi="Times New Roman"/>
          <w:sz w:val="24"/>
          <w:szCs w:val="24"/>
        </w:rPr>
      </w:pPr>
      <w:r w:rsidDel="00000000" w:rsidR="00000000" w:rsidRPr="00000000">
        <w:rPr>
          <w:b w:val="1"/>
          <w:bCs w:val="1"/>
          <w:rtl w:val="0"/>
        </w:rPr>
        <w:t xml:space="preserve">Introduction</w:t>
      </w:r>
      <w:r w:rsidDel="00000000" w:rsidR="00000000" w:rsidRPr="00000000">
        <w:rPr>
          <w:rtl w:val="0"/>
        </w:rPr>
      </w:r>
    </w:p>
    <w:p w:rsidR="00000000" w:rsidDel="00000000" w:rsidP="00000000" w:rsidRDefault="00000000" w:rsidRPr="00000000" w14:paraId="00000006">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7">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Since the existence of endophytes was first noted by Henry Anton De Barry over 150 years ago, there have been various debates about what constitutes a true endophyte (1866). A commonly accepted definition is that of Petrini: “all organisms inhabiting plant organs that, at some point in their life, can colonize internal plant tissues without causing apparent harm to the host” (1991). However, nature is prone to resisting the human compulsion of its classification into parts. Many plant-associated mutualists are close relatives of pathogenic species, with role switching frequently occurring over evolutionary time. Certain microbe-plant associations may vary from mutualist to pathogen, depending on the context of environmental and biological circumstances within which they occur.</w:t>
      </w:r>
    </w:p>
    <w:p w:rsidR="00000000" w:rsidDel="00000000" w:rsidP="00000000" w:rsidRDefault="00000000" w:rsidRPr="00000000" w14:paraId="00000008">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Endophytes are a diverse group of unrelated organisms typified by their ability to reside inside the bodies of apparently healthy host plants. Species among archaea, bacteria, and fungi are all able to live endophytically within plants. Some endophytes are extremely host specific, associating only with a specific plant species or even race of plant species. Whereas others are generalists, capable of living within a diversity of host plant species. </w:t>
      </w:r>
    </w:p>
    <w:p w:rsidR="00000000" w:rsidDel="00000000" w:rsidP="00000000" w:rsidRDefault="00000000" w:rsidRPr="00000000" w14:paraId="00000009">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Endophytes occur ubiquitously within nearly all plants and in all regions within a plant body, including inter- and intra-cellularly within roots, stems, barks, leaves, flowers and seeds. Often, different tissue types (leaf, petiole, stem, bark, ect) harbor different groups of specialized symbionts. This means that a </w:t>
      </w:r>
      <w:r w:rsidDel="00000000" w:rsidR="00000000" w:rsidRPr="00000000">
        <w:rPr>
          <w:rFonts w:ascii="Times New Roman" w:cs="Times New Roman" w:eastAsia="Times New Roman" w:hAnsi="Times New Roman"/>
          <w:i w:val="1"/>
          <w:iCs w:val="1"/>
          <w:sz w:val="24"/>
          <w:szCs w:val="24"/>
          <w:rtl w:val="0"/>
        </w:rPr>
        <w:t xml:space="preserve">Cannabis</w:t>
      </w:r>
      <w:r w:rsidDel="00000000" w:rsidR="00000000" w:rsidRPr="00000000">
        <w:rPr>
          <w:rFonts w:ascii="Times New Roman" w:cs="Times New Roman" w:eastAsia="Times New Roman" w:hAnsi="Times New Roman"/>
          <w:sz w:val="24"/>
          <w:szCs w:val="24"/>
          <w:rtl w:val="0"/>
        </w:rPr>
        <w:t xml:space="preserve"> plant is nearly always colonized with many different fungal species. Many endophytes specialize in particular tissues of a plant, or may exist systematically throughout the entire plant body.  To add to this complexity, fungal endophytes may host intracellular prokaryotic endosymbionts themselves. Furthermore, any of these symbiont layers may host viruses and viroids, and each of these levels have a role in altering the expressed phenotype of the host plant (Márquez et al., 2007). </w:t>
      </w:r>
    </w:p>
    <w:p w:rsidR="00000000" w:rsidDel="00000000" w:rsidP="00000000" w:rsidRDefault="00000000" w:rsidRPr="00000000" w14:paraId="0000000A">
      <w:pPr>
        <w:spacing w:line="48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color w:val="b45f06"/>
          <w:sz w:val="24"/>
          <w:szCs w:val="24"/>
          <w:rtl w:val="0"/>
        </w:rPr>
        <w:t xml:space="preserve">    </w:t>
        <w:tab/>
      </w:r>
      <w:r w:rsidDel="00000000" w:rsidR="00000000" w:rsidRPr="00000000">
        <w:rPr>
          <w:rFonts w:ascii="Times New Roman" w:cs="Times New Roman" w:eastAsia="Times New Roman" w:hAnsi="Times New Roman"/>
          <w:sz w:val="24"/>
          <w:szCs w:val="24"/>
          <w:rtl w:val="0"/>
        </w:rPr>
        <w:t xml:space="preserve">Endophytic fungi may be transmitted to new host plants vertically (seed borne) or horizontally (environmentally acquired). Seed borne endophytes are usually highly specialized symbionts that form extensive, systemic infections, and are more likely to be host plant species specific (Rodriguez </w:t>
      </w:r>
      <w:r w:rsidDel="00000000" w:rsidR="00000000" w:rsidRPr="00000000">
        <w:rPr>
          <w:rFonts w:ascii="Times New Roman" w:cs="Times New Roman" w:eastAsia="Times New Roman" w:hAnsi="Times New Roman"/>
          <w:i w:val="1"/>
          <w:iCs w:val="1"/>
          <w:sz w:val="24"/>
          <w:szCs w:val="24"/>
          <w:rtl w:val="0"/>
        </w:rPr>
        <w:t xml:space="preserve">et al. </w:t>
      </w:r>
      <w:r w:rsidDel="00000000" w:rsidR="00000000" w:rsidRPr="00000000">
        <w:rPr>
          <w:rFonts w:ascii="Times New Roman" w:cs="Times New Roman" w:eastAsia="Times New Roman" w:hAnsi="Times New Roman"/>
          <w:sz w:val="24"/>
          <w:szCs w:val="24"/>
          <w:rtl w:val="0"/>
        </w:rPr>
        <w:t xml:space="preserve">2008). Common examples of such endophytes are the Claviceptacean endophytes of grasses.</w:t>
      </w:r>
      <w:r w:rsidDel="00000000" w:rsidR="00000000" w:rsidRPr="00000000">
        <w:rPr>
          <w:rFonts w:ascii="Times New Roman" w:cs="Times New Roman" w:eastAsia="Times New Roman" w:hAnsi="Times New Roman"/>
          <w:i w:val="1"/>
          <w:iCs w:val="1"/>
          <w:sz w:val="24"/>
          <w:szCs w:val="24"/>
          <w:rtl w:val="0"/>
        </w:rPr>
        <w:t xml:space="preserve"> </w:t>
      </w:r>
    </w:p>
    <w:p w:rsidR="00000000" w:rsidDel="00000000" w:rsidP="00000000" w:rsidRDefault="00000000" w:rsidRPr="00000000" w14:paraId="0000000B">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Host Infection by Endophytes</w:t>
      </w:r>
    </w:p>
    <w:p w:rsidR="00000000" w:rsidDel="00000000" w:rsidP="00000000" w:rsidRDefault="00000000" w:rsidRPr="00000000" w14:paraId="0000000C">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Endophytes can be vertically transmitted from parent to offspring, remaining within the host plants' tissues across generations without ever being exposed to the external environment. However, this process occurs along a continuum. While more specialized endophytes may have lost the ability to produce reproductive propagules and spread horizontally among plant populations, other endophytes can be both vertically transmitted and capable of producing spores that enable horizontal infection of new host lineages. For instance, </w:t>
      </w:r>
      <w:r w:rsidDel="00000000" w:rsidR="00000000" w:rsidRPr="00000000">
        <w:rPr>
          <w:rFonts w:ascii="Times New Roman" w:cs="Times New Roman" w:eastAsia="Times New Roman" w:hAnsi="Times New Roman"/>
          <w:i w:val="1"/>
          <w:iCs w:val="1"/>
          <w:sz w:val="24"/>
          <w:szCs w:val="24"/>
          <w:rtl w:val="0"/>
        </w:rPr>
        <w:t xml:space="preserve">Claviceps purpurea</w:t>
      </w:r>
      <w:r w:rsidDel="00000000" w:rsidR="00000000" w:rsidRPr="00000000">
        <w:rPr>
          <w:rFonts w:ascii="Times New Roman" w:cs="Times New Roman" w:eastAsia="Times New Roman" w:hAnsi="Times New Roman"/>
          <w:sz w:val="24"/>
          <w:szCs w:val="24"/>
          <w:rtl w:val="0"/>
        </w:rPr>
        <w:t xml:space="preserve"> still causes its grass host to abort some seeds, replacing them with fungal sclerotia that can produce ascospores for horizontal spread. In contrast, the grass endophyte </w:t>
      </w:r>
      <w:r w:rsidDel="00000000" w:rsidR="00000000" w:rsidRPr="00000000">
        <w:rPr>
          <w:rFonts w:ascii="Times New Roman" w:cs="Times New Roman" w:eastAsia="Times New Roman" w:hAnsi="Times New Roman"/>
          <w:i w:val="1"/>
          <w:iCs w:val="1"/>
          <w:sz w:val="24"/>
          <w:szCs w:val="24"/>
          <w:rtl w:val="0"/>
        </w:rPr>
        <w:t xml:space="preserve">Epichloë</w:t>
      </w:r>
      <w:r w:rsidDel="00000000" w:rsidR="00000000" w:rsidRPr="00000000">
        <w:rPr>
          <w:rFonts w:ascii="Times New Roman" w:cs="Times New Roman" w:eastAsia="Times New Roman" w:hAnsi="Times New Roman"/>
          <w:sz w:val="24"/>
          <w:szCs w:val="24"/>
          <w:rtl w:val="0"/>
        </w:rPr>
        <w:t xml:space="preserve"> has lost the ability to disperse via spores and does not induce seed abortion in its host (Schardl et al., 2004).</w:t>
      </w:r>
    </w:p>
    <w:p w:rsidR="00000000" w:rsidDel="00000000" w:rsidP="00000000" w:rsidRDefault="00000000" w:rsidRPr="00000000" w14:paraId="0000000D">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Endophytes that spread horizontally must first be dispersed into the environment and find a suitable host to infect. Once a propagule lands on a suitable plant, it must overcome the plant’s physical defenses to gain entry. These defenses include barriers such as dead bark tissue, the waxy cuticle, and the cell wall, which can be bypassed in various ways. If a spore or growing hyphae encounters wounded tissue, entry can occur more easily. Otherwise, if the spore lands on healthy plant tissue, it must form specialized structures called appressoria to penetrate the plant.</w:t>
      </w:r>
    </w:p>
    <w:p w:rsidR="00000000" w:rsidDel="00000000" w:rsidP="00000000" w:rsidRDefault="00000000" w:rsidRPr="00000000" w14:paraId="0000000E">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 appressorium forms after spore germination or from mature hyphae. These are specialized hyphal structures that release exoenzymes onto the plant surface, weakening the cuticle and cell wall beneath. Appressoria typically develop over natural weak points in the plant, such as stomata or the junctions of epidermal cells. Simultaneously, high turgor pressure builds within the appressorium, focusing on the developing penetration peg, a hyphal outgrowth. The fungus successfully infects its host when the penetration peg breaks through the plant's defenses, allowing the fungus to establish itself. Pathogenic fungi employ the same mechanisms to invade the plant and trigger similar plant defense responses.</w:t>
      </w:r>
    </w:p>
    <w:p w:rsidR="00000000" w:rsidDel="00000000" w:rsidP="00000000" w:rsidRDefault="00000000" w:rsidRPr="00000000" w14:paraId="0000000F">
      <w:pPr>
        <w:spacing w:after="240" w:before="240" w:line="48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Evolution and Ecology</w:t>
      </w:r>
    </w:p>
    <w:p w:rsidR="00000000" w:rsidDel="00000000" w:rsidP="00000000" w:rsidRDefault="00000000" w:rsidRPr="00000000" w14:paraId="00000010">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endophytic relationships between fungi and plants likely began early, possibly coinciding with the initial invasion of land by plants (Krings et al., 2012). Fossil evidence of endophytic fungi has been discovered, and the coevolution of endophytes and their plant hosts can be inferred from the correlation between the phylogenies of extant endophyte lineages and their respective plant host taxa (Fig. 3, Krings et al., 2007; Sieber, 2007).</w:t>
      </w:r>
    </w:p>
    <w:p w:rsidR="00000000" w:rsidDel="00000000" w:rsidP="00000000" w:rsidRDefault="00000000" w:rsidRPr="00000000" w14:paraId="00000011">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long evolutionary history of specialized endophytes and their plant hosts generally prevents these fungi from acting as devastating pathogens. However, endophytes exist on a continuum from pathogens to mutualists, with many pathogens closely related to commensal or mutualistic endophytes. Frequent role switching between mutualist and pathogenic states has occurred throughout evolutionary history (Sieber, 2007). This close relationship between pathogens and mutualist symbionts is a common feature of plant-microbe interactions. In some cases, this role switch can be controlled by a single gene. Interestingly, inoculating susceptible plants with non-pathogenic strains of harmful pathogens can even serve as biocontrol, helping to prevent plant diseases (Punja, 2018).</w:t>
      </w:r>
    </w:p>
    <w:p w:rsidR="00000000" w:rsidDel="00000000" w:rsidP="00000000" w:rsidRDefault="00000000" w:rsidRPr="00000000" w14:paraId="00000012">
      <w:pPr>
        <w:spacing w:after="24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Cannabis endophytes</w:t>
      </w:r>
      <w:r w:rsidDel="00000000" w:rsidR="00000000" w:rsidRPr="00000000">
        <w:rPr>
          <w:rtl w:val="0"/>
        </w:rPr>
      </w:r>
    </w:p>
    <w:p w:rsidR="00000000" w:rsidDel="00000000" w:rsidP="00000000" w:rsidRDefault="00000000" w:rsidRPr="00000000" w14:paraId="00000014">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Table 1.  Characteristics pertaining to the 4 classes of endophytes (Adapted from Rodriguez et al.)</w:t>
      </w:r>
    </w:p>
    <w:p w:rsidR="00000000" w:rsidDel="00000000" w:rsidP="00000000" w:rsidRDefault="00000000" w:rsidRPr="00000000" w14:paraId="00000015">
      <w:pPr>
        <w:spacing w:line="240" w:lineRule="auto"/>
        <w:ind w:firstLine="720"/>
        <w:rPr>
          <w:rFonts w:ascii="Times New Roman" w:cs="Times New Roman" w:eastAsia="Times New Roman" w:hAnsi="Times New Roman"/>
          <w:sz w:val="24"/>
          <w:szCs w:val="24"/>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6">
            <w:pPr>
              <w:widowControl w:val="0"/>
              <w:spacing w:line="240" w:lineRule="auto"/>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7">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Clavicipitaceous</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18">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Nonclavicipitaceous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Class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C">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Host range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Narrow</w:t>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Broad</w:t>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widowControl w:val="0"/>
              <w:spacing w:line="240" w:lineRule="auto"/>
              <w:jc w:val="center"/>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Broad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Tissues colonized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Shoot and Rhizome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Shoot, root, and Rhizome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Shoot</w:t>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Root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A">
            <w:pPr>
              <w:widowControl w:val="0"/>
              <w:spacing w:line="24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in planta</w:t>
            </w:r>
            <w:r w:rsidDel="00000000" w:rsidR="00000000" w:rsidRPr="00000000">
              <w:rPr>
                <w:rFonts w:ascii="Times New Roman" w:cs="Times New Roman" w:eastAsia="Times New Roman" w:hAnsi="Times New Roman"/>
                <w:sz w:val="24"/>
                <w:szCs w:val="24"/>
                <w:rtl w:val="0"/>
              </w:rPr>
              <w:t xml:space="preserve"> colonization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Extensive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Extensive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limited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Extensive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in planta</w:t>
            </w:r>
            <w:r w:rsidDel="00000000" w:rsidR="00000000" w:rsidRPr="00000000">
              <w:rPr>
                <w:rFonts w:ascii="Times New Roman" w:cs="Times New Roman" w:eastAsia="Times New Roman" w:hAnsi="Times New Roman"/>
                <w:sz w:val="24"/>
                <w:szCs w:val="24"/>
                <w:rtl w:val="0"/>
              </w:rPr>
              <w:t xml:space="preserve"> species diversity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Low</w:t>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Low</w:t>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High</w:t>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Unknown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Transmission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Vertical and Horizontal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Vertical and Horizontal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Horizontal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Horizontal</w:t>
            </w:r>
          </w:p>
        </w:tc>
      </w:tr>
    </w:tbl>
    <w:p w:rsidR="00000000" w:rsidDel="00000000" w:rsidP="00000000" w:rsidRDefault="00000000" w:rsidRPr="00000000" w14:paraId="00000039">
      <w:pPr>
        <w:spacing w:line="24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A">
      <w:pPr>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Cannabis Endophytes</w:t>
      </w:r>
    </w:p>
    <w:p w:rsidR="00000000" w:rsidDel="00000000" w:rsidP="00000000" w:rsidRDefault="00000000" w:rsidRPr="00000000" w14:paraId="0000003B">
      <w:pP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Endophytes in Cannabis are primarily dominated by horizontally transmitted, taxonomically diverse fungi that must be acquired from ambient inocula during a plant’s lifetime. Consequently, the local inocula significantly influences the endophyte population within a Cannabis plant. When practices like spraying compost tea or applying fungal inoculants are used, some of these organisms may enter the plant tissue through wounds, stomata, or via appressoria, potentially establishing endophytic relationships. Commercial products often include putative Cannabis endophytes, such as various </w:t>
      </w:r>
      <w:r w:rsidDel="00000000" w:rsidR="00000000" w:rsidRPr="00000000">
        <w:rPr>
          <w:rFonts w:ascii="Times New Roman" w:cs="Times New Roman" w:eastAsia="Times New Roman" w:hAnsi="Times New Roman"/>
          <w:i w:val="1"/>
          <w:iCs w:val="1"/>
          <w:sz w:val="24"/>
          <w:szCs w:val="24"/>
          <w:rtl w:val="0"/>
        </w:rPr>
        <w:t xml:space="preserve">Trichoderma</w:t>
      </w:r>
      <w:r w:rsidDel="00000000" w:rsidR="00000000" w:rsidRPr="00000000">
        <w:rPr>
          <w:rFonts w:ascii="Times New Roman" w:cs="Times New Roman" w:eastAsia="Times New Roman" w:hAnsi="Times New Roman"/>
          <w:sz w:val="24"/>
          <w:szCs w:val="24"/>
          <w:rtl w:val="0"/>
        </w:rPr>
        <w:t xml:space="preserve"> species and </w:t>
      </w:r>
      <w:r w:rsidDel="00000000" w:rsidR="00000000" w:rsidRPr="00000000">
        <w:rPr>
          <w:rFonts w:ascii="Times New Roman" w:cs="Times New Roman" w:eastAsia="Times New Roman" w:hAnsi="Times New Roman"/>
          <w:i w:val="1"/>
          <w:iCs w:val="1"/>
          <w:sz w:val="24"/>
          <w:szCs w:val="24"/>
          <w:rtl w:val="0"/>
        </w:rPr>
        <w:t xml:space="preserve">Beauveria bassiana</w:t>
      </w:r>
      <w:r w:rsidDel="00000000" w:rsidR="00000000" w:rsidRPr="00000000">
        <w:rPr>
          <w:rFonts w:ascii="Times New Roman" w:cs="Times New Roman" w:eastAsia="Times New Roman" w:hAnsi="Times New Roman"/>
          <w:sz w:val="24"/>
          <w:szCs w:val="24"/>
          <w:rtl w:val="0"/>
        </w:rPr>
        <w:t xml:space="preserve">. These fungi may form extensive infections within the plant, with some capable of vertical transmission through seeds. However, seed-transmitted fungi are more often transferred on the seed coat rather than within the plant’s tissues.</w:t>
      </w:r>
    </w:p>
    <w:p w:rsidR="00000000" w:rsidDel="00000000" w:rsidP="00000000" w:rsidRDefault="00000000" w:rsidRPr="00000000" w14:paraId="0000003C">
      <w:pP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Bacterial endophytes, unlike fungi, are known to be vertically transmitted in Cannabis, passing from parent to offspring within the plant embryo. These bacterial endophytes show great potential for plant growth promotion, especially considering their role in rhizophagy. As our understanding of these bacteria’s functions evolves, they could be refined for use as biofertilizers.</w:t>
      </w:r>
    </w:p>
    <w:p w:rsidR="00000000" w:rsidDel="00000000" w:rsidP="00000000" w:rsidRDefault="00000000" w:rsidRPr="00000000" w14:paraId="0000003D">
      <w:pP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ecology of Cannabis endophytes in cultivated settings is complicated by the crop's illicit nature, at least historically. In regions with long-standing wild populations of Cannabis or large-scale cultivation, Cannabis-specialized endophytes may have developed and persisted. Studies have shown that the endophyte populations found within Cannabis tissues vary significantly based on the geographical origin of the plants sampled (Taghinasab and Jabaji, 2020). Mutually beneficial symbioses typically emerge when the host plant and its fungal partner co-evolve over generations under favorable conditions, improving the fitness and reproductive success of both organisms. If these conditions persist, the partnership could even become obligatory under certain circumstances.</w:t>
      </w:r>
    </w:p>
    <w:p w:rsidR="00000000" w:rsidDel="00000000" w:rsidP="00000000" w:rsidRDefault="00000000" w:rsidRPr="00000000" w14:paraId="0000003E">
      <w:pP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Some Cannabis endophytes are capable of being passed from the parent plant to its offspring. This transmission can occur through the seed, either within the seed body or on the seed surface. Bacterial endophytes involved in the rhizophagy cycle are known to be passed within the plant embryo (Verma and White, 2019). When these microorganisms are on the seed surface, they must persist through seed dormancy, waiting for the seedling to emerge and begin infection. Surface-harbored microorganisms are susceptible to treatments such as bleach or </w:t>
      </w:r>
      <w:r w:rsidDel="00000000" w:rsidR="00000000" w:rsidRPr="00000000">
        <w:rPr>
          <w:rFonts w:ascii="Times New Roman" w:cs="Times New Roman" w:eastAsia="Times New Roman" w:hAnsi="Times New Roman"/>
          <w:i w:val="1"/>
          <w:iCs w:val="1"/>
          <w:sz w:val="24"/>
          <w:szCs w:val="24"/>
          <w:rtl w:val="0"/>
        </w:rPr>
        <w:t xml:space="preserve">Trichoderma</w:t>
      </w:r>
      <w:r w:rsidDel="00000000" w:rsidR="00000000" w:rsidRPr="00000000">
        <w:rPr>
          <w:rFonts w:ascii="Times New Roman" w:cs="Times New Roman" w:eastAsia="Times New Roman" w:hAnsi="Times New Roman"/>
          <w:sz w:val="24"/>
          <w:szCs w:val="24"/>
          <w:rtl w:val="0"/>
        </w:rPr>
        <w:t xml:space="preserve"> before germination, which can reduce seedling losses due to pathogens like </w:t>
      </w:r>
      <w:r w:rsidDel="00000000" w:rsidR="00000000" w:rsidRPr="00000000">
        <w:rPr>
          <w:rFonts w:ascii="Times New Roman" w:cs="Times New Roman" w:eastAsia="Times New Roman" w:hAnsi="Times New Roman"/>
          <w:i w:val="1"/>
          <w:iCs w:val="1"/>
          <w:sz w:val="24"/>
          <w:szCs w:val="24"/>
          <w:rtl w:val="0"/>
        </w:rPr>
        <w:t xml:space="preserve">Botrytis cinerea</w:t>
      </w:r>
      <w:r w:rsidDel="00000000" w:rsidR="00000000" w:rsidRPr="00000000">
        <w:rPr>
          <w:rFonts w:ascii="Times New Roman" w:cs="Times New Roman" w:eastAsia="Times New Roman" w:hAnsi="Times New Roman"/>
          <w:sz w:val="24"/>
          <w:szCs w:val="24"/>
          <w:rtl w:val="0"/>
        </w:rPr>
        <w:t xml:space="preserve">. Other treatments, such as heat treatment or systemic fungicides, may also be used to manage internal transmission of antifungal compounds.</w:t>
      </w:r>
    </w:p>
    <w:p w:rsidR="00000000" w:rsidDel="00000000" w:rsidP="00000000" w:rsidRDefault="00000000" w:rsidRPr="00000000" w14:paraId="0000003F">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Table 2. Endophytes of Cannabis reported in the literature. </w:t>
      </w:r>
    </w:p>
    <w:p w:rsidR="00000000" w:rsidDel="00000000" w:rsidP="00000000" w:rsidRDefault="00000000" w:rsidRPr="00000000" w14:paraId="00000040">
      <w:pPr>
        <w:spacing w:line="240" w:lineRule="auto"/>
        <w:rPr>
          <w:rFonts w:ascii="Times New Roman" w:cs="Times New Roman" w:eastAsia="Times New Roman" w:hAnsi="Times New Roman"/>
          <w:sz w:val="24"/>
          <w:szCs w:val="24"/>
        </w:rPr>
      </w:pP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1">
            <w:pPr>
              <w:widowControl w:val="0"/>
              <w:spacing w:line="24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Aspergillus niger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4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Pathogen antagonist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3">
            <w:pPr>
              <w:widowControl w:val="0"/>
              <w:spacing w:line="24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Alternaria alternata</w:t>
            </w:r>
          </w:p>
        </w:tc>
        <w:tc>
          <w:tcPr>
            <w:shd w:fill="auto" w:val="clear"/>
            <w:tcMar>
              <w:top w:w="100.0" w:type="dxa"/>
              <w:left w:w="100.0" w:type="dxa"/>
              <w:bottom w:w="100.0" w:type="dxa"/>
              <w:right w:w="100.0" w:type="dxa"/>
            </w:tcMar>
            <w:vAlign w:val="top"/>
          </w:tcPr>
          <w:p w:rsidR="00000000" w:rsidDel="00000000" w:rsidP="00000000" w:rsidRDefault="00000000" w:rsidRPr="00000000" w14:paraId="0000004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Pathogen antagonist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5">
            <w:pPr>
              <w:widowControl w:val="0"/>
              <w:spacing w:line="24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Paecilomyces lilacinus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Pathogen antagonist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7">
            <w:pPr>
              <w:widowControl w:val="0"/>
              <w:spacing w:line="24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Penicillium copticola</w:t>
            </w:r>
          </w:p>
        </w:tc>
        <w:tc>
          <w:tcPr>
            <w:shd w:fill="auto" w:val="clear"/>
            <w:tcMar>
              <w:top w:w="100.0" w:type="dxa"/>
              <w:left w:w="100.0" w:type="dxa"/>
              <w:bottom w:w="100.0" w:type="dxa"/>
              <w:right w:w="100.0" w:type="dxa"/>
            </w:tcMar>
            <w:vAlign w:val="top"/>
          </w:tcPr>
          <w:p w:rsidR="00000000" w:rsidDel="00000000" w:rsidP="00000000" w:rsidRDefault="00000000" w:rsidRPr="00000000" w14:paraId="0000004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Pathogen antagonist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9">
            <w:pPr>
              <w:widowControl w:val="0"/>
              <w:spacing w:line="24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Aureobasidium pullans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Pathogen antagonist</w:t>
            </w:r>
          </w:p>
        </w:tc>
      </w:tr>
    </w:tbl>
    <w:p w:rsidR="00000000" w:rsidDel="00000000" w:rsidP="00000000" w:rsidRDefault="00000000" w:rsidRPr="00000000" w14:paraId="0000004B">
      <w:pPr>
        <w:spacing w:after="24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C">
      <w:pPr>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Characteristics of Mutualistic Endophytes</w:t>
      </w:r>
    </w:p>
    <w:p w:rsidR="00000000" w:rsidDel="00000000" w:rsidP="00000000" w:rsidRDefault="00000000" w:rsidRPr="00000000" w14:paraId="0000004D">
      <w:pP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nature of the relationship between a host and its endophyte is not solely determined by the species involved but also by a variety of abiotic and biotic factors (Partida-Martínez and Heil, 2011). For example, an endophyte that enhances host fitness by reducing predation or pathogen damage may not provide benefits when these stressors are absent. However, mutualistic endophytes, which consistently benefit the host across various conditions, share some important characteristics.</w:t>
      </w:r>
    </w:p>
    <w:p w:rsidR="00000000" w:rsidDel="00000000" w:rsidP="00000000" w:rsidRDefault="00000000" w:rsidRPr="00000000" w14:paraId="0000004E">
      <w:pPr>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Pathogen Protection</w:t>
      </w:r>
    </w:p>
    <w:p w:rsidR="00000000" w:rsidDel="00000000" w:rsidP="00000000" w:rsidRDefault="00000000" w:rsidRPr="00000000" w14:paraId="0000004F">
      <w:pP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One of the key benefits of mutualistic endophytes is pathogen protection. These endophytes can protect their host through several mechanisms, such as:</w:t>
      </w:r>
    </w:p>
    <w:p w:rsidR="00000000" w:rsidDel="00000000" w:rsidP="00000000" w:rsidRDefault="00000000" w:rsidRPr="00000000" w14:paraId="00000050">
      <w:pPr>
        <w:numPr>
          <w:ilvl w:val="0"/>
          <w:numId w:val="2"/>
        </w:numPr>
        <w:spacing w:after="0" w:afterAutospacing="0" w:before="24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Modulating the host's immune system</w:t>
      </w:r>
    </w:p>
    <w:p w:rsidR="00000000" w:rsidDel="00000000" w:rsidP="00000000" w:rsidRDefault="00000000" w:rsidRPr="00000000" w14:paraId="00000051">
      <w:pPr>
        <w:numPr>
          <w:ilvl w:val="0"/>
          <w:numId w:val="2"/>
        </w:numPr>
        <w:spacing w:after="0" w:afterAutospacing="0" w:before="0" w:beforeAutospacing="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Promoting plant growth</w:t>
      </w:r>
    </w:p>
    <w:p w:rsidR="00000000" w:rsidDel="00000000" w:rsidP="00000000" w:rsidRDefault="00000000" w:rsidRPr="00000000" w14:paraId="00000052">
      <w:pPr>
        <w:numPr>
          <w:ilvl w:val="0"/>
          <w:numId w:val="2"/>
        </w:numPr>
        <w:spacing w:after="0" w:afterAutospacing="0" w:before="0" w:beforeAutospacing="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Producing secondary metabolites with antimicrobial properties</w:t>
      </w:r>
    </w:p>
    <w:p w:rsidR="00000000" w:rsidDel="00000000" w:rsidP="00000000" w:rsidRDefault="00000000" w:rsidRPr="00000000" w14:paraId="00000053">
      <w:pPr>
        <w:numPr>
          <w:ilvl w:val="0"/>
          <w:numId w:val="2"/>
        </w:numPr>
        <w:spacing w:after="0" w:afterAutospacing="0" w:before="0" w:beforeAutospacing="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Occupying ecological niches that pathogens would otherwise occupy</w:t>
      </w:r>
    </w:p>
    <w:p w:rsidR="00000000" w:rsidDel="00000000" w:rsidP="00000000" w:rsidRDefault="00000000" w:rsidRPr="00000000" w14:paraId="00000054">
      <w:pPr>
        <w:numPr>
          <w:ilvl w:val="0"/>
          <w:numId w:val="2"/>
        </w:numPr>
        <w:spacing w:after="240" w:before="0" w:beforeAutospacing="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Directly antagonizing pathogens (Gao et al., 2010)</w:t>
      </w:r>
    </w:p>
    <w:p w:rsidR="00000000" w:rsidDel="00000000" w:rsidP="00000000" w:rsidRDefault="00000000" w:rsidRPr="00000000" w14:paraId="00000055">
      <w:pP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addition to these direct interactions, endophytes may help protect their hosts indirectly. For example, Lehtonen et al. (2006) demonstrated that endophyte-infected plants experienced less viral infection, likely due to reduced herbivory by aphid vectors of the virus. In crops like Cannabis, plants infected with mutualistic endophytes may have enhanced disease resistance compared to uninfected plants.</w:t>
      </w:r>
    </w:p>
    <w:p w:rsidR="00000000" w:rsidDel="00000000" w:rsidP="00000000" w:rsidRDefault="00000000" w:rsidRPr="00000000" w14:paraId="00000056">
      <w:pP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By promoting natural populations of protective endophytes and developing effective application methods, growers have the potential to improve crop health and reduce reliance on synthetic pesticides. These practices could lead to more sustainable, resilient agricultural systems.</w:t>
      </w:r>
    </w:p>
    <w:p w:rsidR="00000000" w:rsidDel="00000000" w:rsidP="00000000" w:rsidRDefault="00000000" w:rsidRPr="00000000" w14:paraId="00000057">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Table 3. Mechanism and mode of action induced by endophytic partners.</w:t>
      </w:r>
      <w:r w:rsidDel="00000000" w:rsidR="00000000" w:rsidRPr="00000000">
        <w:rPr>
          <w:rtl w:val="0"/>
        </w:rPr>
      </w:r>
    </w:p>
    <w:tbl>
      <w:tblPr>
        <w:tblStyle w:val="Table3"/>
        <w:tblW w:w="9340.0" w:type="dxa"/>
        <w:jc w:val="left"/>
        <w:tblInd w:w="-100.0" w:type="dxa"/>
        <w:tblLayout w:type="fixed"/>
        <w:tblLook w:val="0400"/>
      </w:tblPr>
      <w:tblGrid>
        <w:gridCol w:w="2010"/>
        <w:gridCol w:w="7330"/>
        <w:tblGridChange w:id="0">
          <w:tblGrid>
            <w:gridCol w:w="2010"/>
            <w:gridCol w:w="7330"/>
          </w:tblGrid>
        </w:tblGridChange>
      </w:tblGrid>
      <w:tr>
        <w:trPr>
          <w:cantSplit w:val="0"/>
          <w:tblHeader w:val="0"/>
        </w:trPr>
        <w:tc>
          <w:tcPr>
            <w:tcBorders>
              <w:top w:color="000000" w:space="0" w:sz="8" w:val="single"/>
              <w:left w:color="000000" w:space="0" w:sz="8" w:val="single"/>
              <w:bottom w:color="000000" w:space="0" w:sz="1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58">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u w:val="single"/>
                <w:rtl w:val="0"/>
              </w:rPr>
              <w:t xml:space="preserve">Mechanism</w:t>
            </w:r>
            <w:r w:rsidDel="00000000" w:rsidR="00000000" w:rsidRPr="00000000">
              <w:rPr>
                <w:rtl w:val="0"/>
              </w:rPr>
            </w:r>
          </w:p>
        </w:tc>
        <w:tc>
          <w:tcPr>
            <w:tcBorders>
              <w:top w:color="000000" w:space="0" w:sz="8" w:val="single"/>
              <w:left w:color="000000" w:space="0" w:sz="8" w:val="single"/>
              <w:bottom w:color="000000" w:space="0" w:sz="1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59">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u w:val="single"/>
                <w:rtl w:val="0"/>
              </w:rPr>
              <w:t xml:space="preserve">Mode of Action </w:t>
            </w:r>
            <w:r w:rsidDel="00000000" w:rsidR="00000000" w:rsidRPr="00000000">
              <w:rPr>
                <w:rtl w:val="0"/>
              </w:rPr>
            </w:r>
          </w:p>
        </w:tc>
      </w:tr>
      <w:tr>
        <w:trPr>
          <w:cantSplit w:val="0"/>
          <w:tblHeader w:val="0"/>
        </w:trPr>
        <w:tc>
          <w:tcPr>
            <w:tcBorders>
              <w:top w:color="000000" w:space="0" w:sz="1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5A">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Induced resistance</w:t>
            </w:r>
            <w:r w:rsidDel="00000000" w:rsidR="00000000" w:rsidRPr="00000000">
              <w:rPr>
                <w:rtl w:val="0"/>
              </w:rPr>
            </w:r>
          </w:p>
        </w:tc>
        <w:tc>
          <w:tcPr>
            <w:tcBorders>
              <w:top w:color="000000" w:space="0" w:sz="1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5B">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Plant Immune response is activated (PTI and ETI) </w:t>
            </w:r>
            <w:r w:rsidDel="00000000" w:rsidR="00000000" w:rsidRPr="00000000">
              <w:rPr>
                <w:rtl w:val="0"/>
              </w:rPr>
            </w:r>
          </w:p>
        </w:tc>
      </w:tr>
      <w:tr>
        <w:trPr>
          <w:cantSplit w:val="0"/>
          <w:trHeight w:val="102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5C">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Competition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5D">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Physical occupation of niche and differential resource acquisition</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5E">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Antibiosis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5F">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Negative interaction of one species to another, usually in response to excreted metabolic substances</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60">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Hyperparasitism</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61">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Pathogenic organism is parasitized directly </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62">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Plant growth promotion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6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Improved resistance may result from general growth promotion. Endophytes may increase growth by the production of plant hormones and improved nutrition (siderophore production, N-fixation, ect.)</w:t>
            </w:r>
            <w:r w:rsidDel="00000000" w:rsidR="00000000" w:rsidRPr="00000000">
              <w:rPr>
                <w:rtl w:val="0"/>
              </w:rPr>
            </w:r>
          </w:p>
        </w:tc>
      </w:tr>
    </w:tbl>
    <w:p w:rsidR="00000000" w:rsidDel="00000000" w:rsidP="00000000" w:rsidRDefault="00000000" w:rsidRPr="00000000" w14:paraId="00000064">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5">
      <w:pPr>
        <w:spacing w:lin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6">
      <w:pP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a fungus to function as an endophyte within a plant host’s tissues, it must possess at least some antagonistic traits to evade the plant's immune response and successfully persist in its tissues (Schulz and Boyle, 2005). Plants detect the presence of invaders through various immune systems, such as microbial, pathogen, and damage-associated molecular pattern-triggered immunity, as well as effector-triggered immunity (Jones and Dangl, 2006). When a plant senses an invader, it triggers responses such as induced resistance and systemic acquired resistance—both of which are whole-plant immune responses. Endophytes that can successfully colonize a plant’s internal tissues generally only induce the milder induced resistance, which does not trigger the full immune response (Schulz et al., 1999). For successful colonization, there needs to be a balance between the actions of the endophyte and the plant’s immune system.</w:t>
      </w:r>
    </w:p>
    <w:p w:rsidR="00000000" w:rsidDel="00000000" w:rsidP="00000000" w:rsidRDefault="00000000" w:rsidRPr="00000000" w14:paraId="00000067">
      <w:pP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Beyond merely evading immune defenses, endophytes may benefit the host plant in several ways. Some endophytes promote plant growth through various mechanisms, such as:</w:t>
      </w:r>
    </w:p>
    <w:p w:rsidR="00000000" w:rsidDel="00000000" w:rsidP="00000000" w:rsidRDefault="00000000" w:rsidRPr="00000000" w14:paraId="00000068">
      <w:pPr>
        <w:numPr>
          <w:ilvl w:val="0"/>
          <w:numId w:val="3"/>
        </w:numPr>
        <w:spacing w:after="0" w:afterAutospacing="0" w:before="240" w:line="48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Inducing upregulation of the plant's production of secondary metabolites that are not normally present in the host</w:t>
      </w:r>
    </w:p>
    <w:p w:rsidR="00000000" w:rsidDel="00000000" w:rsidP="00000000" w:rsidRDefault="00000000" w:rsidRPr="00000000" w14:paraId="00000069">
      <w:pPr>
        <w:numPr>
          <w:ilvl w:val="0"/>
          <w:numId w:val="3"/>
        </w:numPr>
        <w:spacing w:after="0" w:afterAutospacing="0" w:before="0" w:beforeAutospacing="0" w:line="48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Enhancing nutrient acquisition by producing chelating compounds, enzymes, and phytohormones</w:t>
      </w:r>
    </w:p>
    <w:p w:rsidR="00000000" w:rsidDel="00000000" w:rsidP="00000000" w:rsidRDefault="00000000" w:rsidRPr="00000000" w14:paraId="0000006A">
      <w:pPr>
        <w:numPr>
          <w:ilvl w:val="0"/>
          <w:numId w:val="3"/>
        </w:numPr>
        <w:spacing w:after="0" w:afterAutospacing="0" w:before="0" w:beforeAutospacing="0" w:line="48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Fixing atmospheric nitrogen</w:t>
      </w:r>
    </w:p>
    <w:p w:rsidR="00000000" w:rsidDel="00000000" w:rsidP="00000000" w:rsidRDefault="00000000" w:rsidRPr="00000000" w14:paraId="0000006B">
      <w:pPr>
        <w:numPr>
          <w:ilvl w:val="0"/>
          <w:numId w:val="3"/>
        </w:numPr>
        <w:spacing w:after="240" w:before="0" w:beforeAutospacing="0" w:line="48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Improving tolerance to oxidative stress </w:t>
      </w:r>
    </w:p>
    <w:p w:rsidR="00000000" w:rsidDel="00000000" w:rsidP="00000000" w:rsidRDefault="00000000" w:rsidRPr="00000000" w14:paraId="0000006C">
      <w:pPr>
        <w:spacing w:after="240" w:before="240"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*(Mucciarelli et al., 2007; Yuan et al., 2010; White and Torres, 2010; Triplett, 1996; Kahn et al., 2015; Verma et al., 2011; You et al., 2012)</w:t>
      </w:r>
    </w:p>
    <w:p w:rsidR="00000000" w:rsidDel="00000000" w:rsidP="00000000" w:rsidRDefault="00000000" w:rsidRPr="00000000" w14:paraId="0000006D">
      <w:pP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Additionally, some endophytes physically exclude pathogens from their host plants by competing for and occupying the same ecological niche. Research has shown that endophytes and pathogens of the same plant species often share extensive niche overlap (Blumenstein et al., 2015). When endophytes make direct contact with pathogens, they may use chemical defenses or even engage in hyperparasitism. For example, species of </w:t>
      </w:r>
      <w:r w:rsidDel="00000000" w:rsidR="00000000" w:rsidRPr="00000000">
        <w:rPr>
          <w:rFonts w:ascii="Times New Roman" w:cs="Times New Roman" w:eastAsia="Times New Roman" w:hAnsi="Times New Roman"/>
          <w:i w:val="1"/>
          <w:iCs w:val="1"/>
          <w:sz w:val="24"/>
          <w:szCs w:val="24"/>
          <w:rtl w:val="0"/>
        </w:rPr>
        <w:t xml:space="preserve">Trichoderma</w:t>
      </w:r>
      <w:r w:rsidDel="00000000" w:rsidR="00000000" w:rsidRPr="00000000">
        <w:rPr>
          <w:rFonts w:ascii="Times New Roman" w:cs="Times New Roman" w:eastAsia="Times New Roman" w:hAnsi="Times New Roman"/>
          <w:sz w:val="24"/>
          <w:szCs w:val="24"/>
          <w:rtl w:val="0"/>
        </w:rPr>
        <w:t xml:space="preserve">, which are common endophytes, act as hyperparasites, coiling around and directly lysing the hyphae of competing fungal pathogens.</w:t>
      </w:r>
    </w:p>
    <w:p w:rsidR="00000000" w:rsidDel="00000000" w:rsidP="00000000" w:rsidRDefault="00000000" w:rsidRPr="00000000" w14:paraId="0000006E">
      <w:pP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complex interplay between endophytes, pathogens, and host plants illustrates how endophytes contribute to plant health, offering protection and growth-promoting benefits while maintaining a balanced relationship with their host.</w:t>
      </w:r>
    </w:p>
    <w:p w:rsidR="00000000" w:rsidDel="00000000" w:rsidP="00000000" w:rsidRDefault="00000000" w:rsidRPr="00000000" w14:paraId="0000006F">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a fungus to function as an endophyte within a plant host’s tissues, it must possess some antagonistic traits to evade the plant's immune response and persist successfully within its tissues (Schulz and Boyle, 2005). Plants detect invaders through various immune systems, such as microbial, pathogen, and damage-associated molecular pattern-triggered immunity, as well as effector-triggered immunity (Jones and Dangl, 2006). When a plant senses an invader, it triggers whole-plant immune responses like induced resistance and systemic acquired resistance. Endophytes that colonize a plant's internal tissues typically induce the milder induced resistance, avoiding the full immune response (Schulz et al., 1999). For successful colonization, there must be a balance between the actions of the endophyte and the plant’s immune defenses.</w:t>
      </w:r>
    </w:p>
    <w:p w:rsidR="00000000" w:rsidDel="00000000" w:rsidP="00000000" w:rsidRDefault="00000000" w:rsidRPr="00000000" w14:paraId="00000070">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Beyond evading immune defenses, endophytes benefit the host plant in several ways. Some endophytes promote plant growth through mechanisms like:</w:t>
      </w:r>
    </w:p>
    <w:p w:rsidR="00000000" w:rsidDel="00000000" w:rsidP="00000000" w:rsidRDefault="00000000" w:rsidRPr="00000000" w14:paraId="00000071">
      <w:pPr>
        <w:numPr>
          <w:ilvl w:val="0"/>
          <w:numId w:val="1"/>
        </w:numPr>
        <w:spacing w:after="0" w:afterAutospacing="0" w:before="24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Inducing upregulation of the plant's production of secondary metabolites that are normally absent in the host</w:t>
      </w:r>
    </w:p>
    <w:p w:rsidR="00000000" w:rsidDel="00000000" w:rsidP="00000000" w:rsidRDefault="00000000" w:rsidRPr="00000000" w14:paraId="00000072">
      <w:pPr>
        <w:numPr>
          <w:ilvl w:val="0"/>
          <w:numId w:val="1"/>
        </w:numPr>
        <w:spacing w:after="0" w:afterAutospacing="0" w:before="0" w:beforeAutospacing="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Enhancing nutrient acquisition by producing chelating compounds, enzymes, and phytohormones</w:t>
      </w:r>
    </w:p>
    <w:p w:rsidR="00000000" w:rsidDel="00000000" w:rsidP="00000000" w:rsidRDefault="00000000" w:rsidRPr="00000000" w14:paraId="00000073">
      <w:pPr>
        <w:numPr>
          <w:ilvl w:val="0"/>
          <w:numId w:val="1"/>
        </w:numPr>
        <w:spacing w:after="0" w:afterAutospacing="0" w:before="0" w:beforeAutospacing="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Fixing atmospheric nitrogen</w:t>
      </w:r>
    </w:p>
    <w:p w:rsidR="00000000" w:rsidDel="00000000" w:rsidP="00000000" w:rsidRDefault="00000000" w:rsidRPr="00000000" w14:paraId="00000074">
      <w:pPr>
        <w:numPr>
          <w:ilvl w:val="0"/>
          <w:numId w:val="1"/>
        </w:numPr>
        <w:spacing w:after="240" w:before="0" w:beforeAutospacing="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Improving tolerance to oxidative stress (Mucciarelli et al., 2007; Yuan et al., 2010; White and Torres, 2010; Triplett, 1996; Kahn et al., 2015; Verma et al., 2011; You et al., 2012)</w:t>
      </w:r>
    </w:p>
    <w:p w:rsidR="00000000" w:rsidDel="00000000" w:rsidP="00000000" w:rsidRDefault="00000000" w:rsidRPr="00000000" w14:paraId="00000075">
      <w:pP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Some endophytes also physically exclude pathogens from their host plants by competing for the same ecological niche. Studies have shown that endophytes and pathogens of the same plant species often share extensive niche overlap (Blumenstein et al., 2015). When endophytes come into direct contact with pathogens, they may use chemical defenses or engage in hyperparasitism. For instance, species of </w:t>
      </w:r>
      <w:r w:rsidDel="00000000" w:rsidR="00000000" w:rsidRPr="00000000">
        <w:rPr>
          <w:rFonts w:ascii="Times New Roman" w:cs="Times New Roman" w:eastAsia="Times New Roman" w:hAnsi="Times New Roman"/>
          <w:i w:val="1"/>
          <w:iCs w:val="1"/>
          <w:sz w:val="24"/>
          <w:szCs w:val="24"/>
          <w:rtl w:val="0"/>
        </w:rPr>
        <w:t xml:space="preserve">Trichoderma</w:t>
      </w:r>
      <w:r w:rsidDel="00000000" w:rsidR="00000000" w:rsidRPr="00000000">
        <w:rPr>
          <w:rFonts w:ascii="Times New Roman" w:cs="Times New Roman" w:eastAsia="Times New Roman" w:hAnsi="Times New Roman"/>
          <w:sz w:val="24"/>
          <w:szCs w:val="24"/>
          <w:rtl w:val="0"/>
        </w:rPr>
        <w:t xml:space="preserve">, which are common endophytes, act as hyperparasites by coiling around and lysing the hyphae of competing fungal pathogens.</w:t>
      </w:r>
    </w:p>
    <w:p w:rsidR="00000000" w:rsidDel="00000000" w:rsidP="00000000" w:rsidRDefault="00000000" w:rsidRPr="00000000" w14:paraId="00000076">
      <w:pP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dynamic relationship between endophytes, pathogens, and the host plant highlights the crucial role of endophytes in plant health. They offer protective benefits, enhance growth, and maintain a balanced and beneficial relationship with their host.</w:t>
      </w:r>
    </w:p>
    <w:p w:rsidR="00000000" w:rsidDel="00000000" w:rsidP="00000000" w:rsidRDefault="00000000" w:rsidRPr="00000000" w14:paraId="00000077">
      <w:pPr>
        <w:spacing w:after="240" w:before="240"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Current Applications of Endophytes in Cannabis Cultivation</w:t>
      </w:r>
    </w:p>
    <w:p w:rsidR="00000000" w:rsidDel="00000000" w:rsidP="00000000" w:rsidRDefault="00000000" w:rsidRPr="00000000" w14:paraId="00000078">
      <w:pP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Endophytes are increasingly being utilized in Cannabis cultivation, particularly through the application of fungi and bacteria that provide multiple benefits such as pest and disease control, as well as growth promotion. Several commercially available products feature endophytic species, particularly entomopathogenic fungi, which are capable of living inside plant tissues and acting as bioinsecticides. Notable examples include </w:t>
      </w:r>
      <w:r w:rsidDel="00000000" w:rsidR="00000000" w:rsidRPr="00000000">
        <w:rPr>
          <w:rFonts w:ascii="Times New Roman" w:cs="Times New Roman" w:eastAsia="Times New Roman" w:hAnsi="Times New Roman"/>
          <w:i w:val="1"/>
          <w:iCs w:val="1"/>
          <w:sz w:val="24"/>
          <w:szCs w:val="24"/>
          <w:rtl w:val="0"/>
        </w:rPr>
        <w:t xml:space="preserve">Beauveria bassiana</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Isaria fumosorosea</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Lecanicillium</w:t>
      </w:r>
      <w:r w:rsidDel="00000000" w:rsidR="00000000" w:rsidRPr="00000000">
        <w:rPr>
          <w:rFonts w:ascii="Times New Roman" w:cs="Times New Roman" w:eastAsia="Times New Roman" w:hAnsi="Times New Roman"/>
          <w:sz w:val="24"/>
          <w:szCs w:val="24"/>
          <w:rtl w:val="0"/>
        </w:rPr>
        <w:t xml:space="preserve"> spp., and </w:t>
      </w:r>
      <w:r w:rsidDel="00000000" w:rsidR="00000000" w:rsidRPr="00000000">
        <w:rPr>
          <w:rFonts w:ascii="Times New Roman" w:cs="Times New Roman" w:eastAsia="Times New Roman" w:hAnsi="Times New Roman"/>
          <w:i w:val="1"/>
          <w:iCs w:val="1"/>
          <w:sz w:val="24"/>
          <w:szCs w:val="24"/>
          <w:rtl w:val="0"/>
        </w:rPr>
        <w:t xml:space="preserve">Metarhizium</w:t>
      </w:r>
      <w:r w:rsidDel="00000000" w:rsidR="00000000" w:rsidRPr="00000000">
        <w:rPr>
          <w:rFonts w:ascii="Times New Roman" w:cs="Times New Roman" w:eastAsia="Times New Roman" w:hAnsi="Times New Roman"/>
          <w:sz w:val="24"/>
          <w:szCs w:val="24"/>
          <w:rtl w:val="0"/>
        </w:rPr>
        <w:t xml:space="preserve"> spp. These fungi are known for their ability to control pests and are used widely in integrated pest management (IPM) systems.</w:t>
      </w:r>
    </w:p>
    <w:p w:rsidR="00000000" w:rsidDel="00000000" w:rsidP="00000000" w:rsidRDefault="00000000" w:rsidRPr="00000000" w14:paraId="00000079">
      <w:pP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addition to their use as biopesticides, fungi such as </w:t>
      </w:r>
      <w:r w:rsidDel="00000000" w:rsidR="00000000" w:rsidRPr="00000000">
        <w:rPr>
          <w:rFonts w:ascii="Times New Roman" w:cs="Times New Roman" w:eastAsia="Times New Roman" w:hAnsi="Times New Roman"/>
          <w:i w:val="1"/>
          <w:iCs w:val="1"/>
          <w:sz w:val="24"/>
          <w:szCs w:val="24"/>
          <w:rtl w:val="0"/>
        </w:rPr>
        <w:t xml:space="preserve">Trichoderma</w:t>
      </w:r>
      <w:r w:rsidDel="00000000" w:rsidR="00000000" w:rsidRPr="00000000">
        <w:rPr>
          <w:rFonts w:ascii="Times New Roman" w:cs="Times New Roman" w:eastAsia="Times New Roman" w:hAnsi="Times New Roman"/>
          <w:sz w:val="24"/>
          <w:szCs w:val="24"/>
          <w:rtl w:val="0"/>
        </w:rPr>
        <w:t xml:space="preserve"> spp. and </w:t>
      </w:r>
      <w:r w:rsidDel="00000000" w:rsidR="00000000" w:rsidRPr="00000000">
        <w:rPr>
          <w:rFonts w:ascii="Times New Roman" w:cs="Times New Roman" w:eastAsia="Times New Roman" w:hAnsi="Times New Roman"/>
          <w:i w:val="1"/>
          <w:iCs w:val="1"/>
          <w:sz w:val="24"/>
          <w:szCs w:val="24"/>
          <w:rtl w:val="0"/>
        </w:rPr>
        <w:t xml:space="preserve">Clonostachys rosea</w:t>
      </w:r>
      <w:r w:rsidDel="00000000" w:rsidR="00000000" w:rsidRPr="00000000">
        <w:rPr>
          <w:rFonts w:ascii="Times New Roman" w:cs="Times New Roman" w:eastAsia="Times New Roman" w:hAnsi="Times New Roman"/>
          <w:sz w:val="24"/>
          <w:szCs w:val="24"/>
          <w:rtl w:val="0"/>
        </w:rPr>
        <w:t xml:space="preserve"> f. </w:t>
      </w:r>
      <w:r w:rsidDel="00000000" w:rsidR="00000000" w:rsidRPr="00000000">
        <w:rPr>
          <w:rFonts w:ascii="Times New Roman" w:cs="Times New Roman" w:eastAsia="Times New Roman" w:hAnsi="Times New Roman"/>
          <w:i w:val="1"/>
          <w:iCs w:val="1"/>
          <w:sz w:val="24"/>
          <w:szCs w:val="24"/>
          <w:rtl w:val="0"/>
        </w:rPr>
        <w:t xml:space="preserve">rosea</w:t>
      </w:r>
      <w:r w:rsidDel="00000000" w:rsidR="00000000" w:rsidRPr="00000000">
        <w:rPr>
          <w:rFonts w:ascii="Times New Roman" w:cs="Times New Roman" w:eastAsia="Times New Roman" w:hAnsi="Times New Roman"/>
          <w:sz w:val="24"/>
          <w:szCs w:val="24"/>
          <w:rtl w:val="0"/>
        </w:rPr>
        <w:t xml:space="preserve"> (formerly </w:t>
      </w:r>
      <w:r w:rsidDel="00000000" w:rsidR="00000000" w:rsidRPr="00000000">
        <w:rPr>
          <w:rFonts w:ascii="Times New Roman" w:cs="Times New Roman" w:eastAsia="Times New Roman" w:hAnsi="Times New Roman"/>
          <w:i w:val="1"/>
          <w:iCs w:val="1"/>
          <w:sz w:val="24"/>
          <w:szCs w:val="24"/>
          <w:rtl w:val="0"/>
        </w:rPr>
        <w:t xml:space="preserve">Gliocladium catenulatum</w:t>
      </w:r>
      <w:r w:rsidDel="00000000" w:rsidR="00000000" w:rsidRPr="00000000">
        <w:rPr>
          <w:rFonts w:ascii="Times New Roman" w:cs="Times New Roman" w:eastAsia="Times New Roman" w:hAnsi="Times New Roman"/>
          <w:sz w:val="24"/>
          <w:szCs w:val="24"/>
          <w:rtl w:val="0"/>
        </w:rPr>
        <w:t xml:space="preserve">) are applied as biofungicides. These species can be applied to both the aerial and root portions of Cannabis plants, providing protection from fungal diseases while establishing endophytic relationships within the plant. While these fungi are not typically marketed for foliar application, such applications could result in persistent endophytic infections that protect the plant from diseases. However, it’s important to note that applying these products to the aerial portions of the plant may not be in line with their approved uses, depending on regulatory guidelines. Root inoculations may lead to systemic infections that help protect the entire plant from pathogens.</w:t>
      </w:r>
    </w:p>
    <w:p w:rsidR="00000000" w:rsidDel="00000000" w:rsidP="00000000" w:rsidRDefault="00000000" w:rsidRPr="00000000" w14:paraId="0000007A">
      <w:pP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Beyond fungi, bacteria and archaea also play a vital role in plant health when living as endophytes. Several </w:t>
      </w:r>
      <w:r w:rsidDel="00000000" w:rsidR="00000000" w:rsidRPr="00000000">
        <w:rPr>
          <w:rFonts w:ascii="Times New Roman" w:cs="Times New Roman" w:eastAsia="Times New Roman" w:hAnsi="Times New Roman"/>
          <w:i w:val="1"/>
          <w:iCs w:val="1"/>
          <w:sz w:val="24"/>
          <w:szCs w:val="24"/>
          <w:rtl w:val="0"/>
        </w:rPr>
        <w:t xml:space="preserve">Bacillus</w:t>
      </w:r>
      <w:r w:rsidDel="00000000" w:rsidR="00000000" w:rsidRPr="00000000">
        <w:rPr>
          <w:rFonts w:ascii="Times New Roman" w:cs="Times New Roman" w:eastAsia="Times New Roman" w:hAnsi="Times New Roman"/>
          <w:sz w:val="24"/>
          <w:szCs w:val="24"/>
          <w:rtl w:val="0"/>
        </w:rPr>
        <w:t xml:space="preserve">species are commercially available as bioinoculants and can serve similar purposes to fungi. These bacterial species often benefit the plant by enhancing its immune response or promoting growth through mechanisms such as the production of phytohormones or the improvement of nutrient uptake (Santoyo et al., 2016). Research by Kandel et al. (2017) demonstrated that naturally occurring bacterial endophytes from Poplar trees could be successfully introduced into crop species such as maize, tomato, squash, and pepper with positive effects. One particular advantage that bacterial endophytes may have over fungi is their ability to fix atmospheric nitrogen, providing an additional source of nutrients for the host plant, which fungi cannot do (James, 2000).</w:t>
      </w:r>
    </w:p>
    <w:p w:rsidR="00000000" w:rsidDel="00000000" w:rsidP="00000000" w:rsidRDefault="00000000" w:rsidRPr="00000000" w14:paraId="0000007B">
      <w:pP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integration of both fungal and bacterial endophytes in Cannabis cultivation can offer significant benefits in terms of pest control, disease prevention, and plant growth enhancement. This evolving field suggests a promising future for the sustainable and efficient use of endophytes in crop production.</w:t>
      </w:r>
    </w:p>
    <w:p w:rsidR="00000000" w:rsidDel="00000000" w:rsidP="00000000" w:rsidRDefault="00000000" w:rsidRPr="00000000" w14:paraId="0000007C">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Table  4. Commercially available products with activity as endophytic biofungicides or biopesticedes when applied as a foliar spray. </w:t>
      </w:r>
    </w:p>
    <w:p w:rsidR="00000000" w:rsidDel="00000000" w:rsidP="00000000" w:rsidRDefault="00000000" w:rsidRPr="00000000" w14:paraId="0000007D">
      <w:pPr>
        <w:spacing w:line="240" w:lineRule="auto"/>
        <w:rPr>
          <w:rFonts w:ascii="Times New Roman" w:cs="Times New Roman" w:eastAsia="Times New Roman" w:hAnsi="Times New Roman"/>
          <w:sz w:val="24"/>
          <w:szCs w:val="24"/>
        </w:rPr>
      </w:pPr>
      <w:r w:rsidDel="00000000" w:rsidR="00000000" w:rsidRPr="00000000">
        <w:rPr>
          <w:rtl w:val="0"/>
        </w:rPr>
      </w:r>
    </w:p>
    <w:tbl>
      <w:tblPr>
        <w:tblStyle w:val="Table4"/>
        <w:tblW w:w="9360.0" w:type="dxa"/>
        <w:jc w:val="left"/>
        <w:tblInd w:w="-100.0" w:type="dxa"/>
        <w:tblLayout w:type="fixed"/>
        <w:tblLook w:val="0400"/>
      </w:tblPr>
      <w:tblGrid>
        <w:gridCol w:w="1572"/>
        <w:gridCol w:w="2790"/>
        <w:gridCol w:w="1801"/>
        <w:gridCol w:w="3197"/>
        <w:tblGridChange w:id="0">
          <w:tblGrid>
            <w:gridCol w:w="1572"/>
            <w:gridCol w:w="2790"/>
            <w:gridCol w:w="1801"/>
            <w:gridCol w:w="3197"/>
          </w:tblGrid>
        </w:tblGridChange>
      </w:tblGrid>
      <w:tr>
        <w:trPr>
          <w:cantSplit w:val="0"/>
          <w:trHeight w:val="440" w:hRule="atLeast"/>
          <w:tblHeader w:val="0"/>
        </w:trPr>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7E">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F">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Fungal endophytes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80">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Species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81">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Commercial formulations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82">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Target effect</w:t>
            </w:r>
          </w:p>
        </w:tc>
      </w:tr>
      <w:tr>
        <w:trPr>
          <w:cantSplit w:val="0"/>
          <w:trHeight w:val="440" w:hRule="atLeast"/>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83">
            <w:pPr>
              <w:widowControl w:val="0"/>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84">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Gliocladium virens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85">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Soil guard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86">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Damping off</w:t>
            </w:r>
          </w:p>
        </w:tc>
      </w:tr>
      <w:tr>
        <w:trPr>
          <w:cantSplit w:val="0"/>
          <w:trHeight w:val="440" w:hRule="atLeast"/>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87">
            <w:pPr>
              <w:widowControl w:val="0"/>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88">
            <w:pPr>
              <w:spacing w:line="240" w:lineRule="auto"/>
              <w:rPr>
                <w:rFonts w:ascii="Times New Roman" w:cs="Times New Roman" w:eastAsia="Times New Roman" w:hAnsi="Times New Roman"/>
                <w:sz w:val="24"/>
                <w:szCs w:val="24"/>
              </w:rPr>
            </w:pPr>
            <w:r w:rsidDel="00000000" w:rsidR="00000000" w:rsidRPr="00000000">
              <w:rPr>
                <w:i w:val="1"/>
                <w:iCs w:val="1"/>
                <w:sz w:val="21"/>
                <w:szCs w:val="21"/>
                <w:highlight w:val="white"/>
                <w:rtl w:val="0"/>
              </w:rPr>
              <w:t xml:space="preserve">Clonostachys rosea f. Rosea (syn </w:t>
            </w:r>
            <w:r w:rsidDel="00000000" w:rsidR="00000000" w:rsidRPr="00000000">
              <w:rPr>
                <w:rFonts w:ascii="Times New Roman" w:cs="Times New Roman" w:eastAsia="Times New Roman" w:hAnsi="Times New Roman"/>
                <w:i w:val="1"/>
                <w:iCs w:val="1"/>
                <w:sz w:val="24"/>
                <w:szCs w:val="24"/>
                <w:rtl w:val="0"/>
              </w:rPr>
              <w:t xml:space="preserve">Gliocladium catenulatum</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89">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Primastop</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8A">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Botrytis, Verticillium, Alternaria, </w:t>
            </w:r>
            <w:r w:rsidDel="00000000" w:rsidR="00000000" w:rsidRPr="00000000">
              <w:rPr>
                <w:rFonts w:ascii="Times New Roman" w:cs="Times New Roman" w:eastAsia="Times New Roman" w:hAnsi="Times New Roman"/>
                <w:sz w:val="24"/>
                <w:szCs w:val="24"/>
                <w:rtl w:val="0"/>
              </w:rPr>
              <w:t xml:space="preserve">Damping off, </w:t>
            </w:r>
            <w:r w:rsidDel="00000000" w:rsidR="00000000" w:rsidRPr="00000000">
              <w:rPr>
                <w:rFonts w:ascii="Times New Roman" w:cs="Times New Roman" w:eastAsia="Times New Roman" w:hAnsi="Times New Roman"/>
                <w:i w:val="1"/>
                <w:i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Broad spectrum fungicide</w:t>
            </w:r>
          </w:p>
        </w:tc>
      </w:tr>
      <w:tr>
        <w:trPr>
          <w:cantSplit w:val="0"/>
          <w:trHeight w:val="440" w:hRule="atLeast"/>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8B">
            <w:pPr>
              <w:widowControl w:val="0"/>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8C">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Beauveria bassiana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8D">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Mycotrol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8E">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Aphids, thrips, whitefly</w:t>
            </w:r>
          </w:p>
        </w:tc>
      </w:tr>
      <w:tr>
        <w:trPr>
          <w:cantSplit w:val="0"/>
          <w:trHeight w:val="480" w:hRule="atLeast"/>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8F">
            <w:pPr>
              <w:widowControl w:val="0"/>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90">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Trichoderma harzianum</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91">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RootShield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92">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Damping off</w:t>
            </w:r>
          </w:p>
        </w:tc>
      </w:tr>
      <w:tr>
        <w:trPr>
          <w:cantSplit w:val="0"/>
          <w:trHeight w:val="440" w:hRule="atLeast"/>
          <w:tblHeader w:val="0"/>
        </w:trPr>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9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Bacterial endophytes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94">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Streptomyces griseoviridis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95">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Mycostop</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96">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Pythium, Alternaria, Botrytis</w:t>
            </w:r>
            <w:r w:rsidDel="00000000" w:rsidR="00000000" w:rsidRPr="00000000">
              <w:rPr>
                <w:rtl w:val="0"/>
              </w:rPr>
            </w:r>
          </w:p>
        </w:tc>
      </w:tr>
      <w:tr>
        <w:trPr>
          <w:cantSplit w:val="0"/>
          <w:trHeight w:val="440" w:hRule="atLeast"/>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97">
            <w:pPr>
              <w:widowControl w:val="0"/>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98">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Streptomyces lydicus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99">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Actinovate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9A">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Fungal diseases</w:t>
            </w:r>
          </w:p>
        </w:tc>
      </w:tr>
      <w:tr>
        <w:trPr>
          <w:cantSplit w:val="0"/>
          <w:trHeight w:val="440" w:hRule="atLeast"/>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9B">
            <w:pPr>
              <w:widowControl w:val="0"/>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9C">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Bacillus thurengensis var isrealiensis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9D">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Gnatrol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9E">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Mosquitoes, fungus gnats</w:t>
            </w:r>
          </w:p>
        </w:tc>
      </w:tr>
    </w:tbl>
    <w:p w:rsidR="00000000" w:rsidDel="00000000" w:rsidP="00000000" w:rsidRDefault="00000000" w:rsidRPr="00000000" w14:paraId="0000009F">
      <w:pPr>
        <w:spacing w:after="24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0">
      <w:pPr>
        <w:spacing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In summary:</w:t>
      </w:r>
    </w:p>
    <w:p w:rsidR="00000000" w:rsidDel="00000000" w:rsidP="00000000" w:rsidRDefault="00000000" w:rsidRPr="00000000" w14:paraId="000000A1">
      <w:pPr>
        <w:numPr>
          <w:ilvl w:val="0"/>
          <w:numId w:val="4"/>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Endophytes are organisms that live inside of plant tissue, not causing any harm to the plant host</w:t>
      </w:r>
    </w:p>
    <w:p w:rsidR="00000000" w:rsidDel="00000000" w:rsidP="00000000" w:rsidRDefault="00000000" w:rsidRPr="00000000" w14:paraId="000000A2">
      <w:pPr>
        <w:numPr>
          <w:ilvl w:val="0"/>
          <w:numId w:val="4"/>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These fungi can be transferred from parent to offspring (vertical transfer) or from neighboring plant species while the plant is growing (horizontal transfer)</w:t>
      </w:r>
    </w:p>
    <w:p w:rsidR="00000000" w:rsidDel="00000000" w:rsidP="00000000" w:rsidRDefault="00000000" w:rsidRPr="00000000" w14:paraId="000000A3">
      <w:pPr>
        <w:numPr>
          <w:ilvl w:val="0"/>
          <w:numId w:val="4"/>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Many endophytes offer host plants’ increased fitness in various ways</w:t>
      </w:r>
    </w:p>
    <w:p w:rsidR="00000000" w:rsidDel="00000000" w:rsidP="00000000" w:rsidRDefault="00000000" w:rsidRPr="00000000" w14:paraId="000000A4">
      <w:pPr>
        <w:spacing w:after="24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5">
      <w:pPr>
        <w:spacing w:after="240" w:before="240" w:line="48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6">
      <w:pPr>
        <w:spacing w:after="240" w:before="240" w:line="48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7">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tblPr>
      <w:tblStyleRowBandSize w:val="1"/>
      <w:tblStyleColBandSize w:val="1"/>
      <w:tblCellMar>
        <w:top w:w="15.0" w:type="dxa"/>
        <w:left w:w="15.0" w:type="dxa"/>
        <w:bottom w:w="15.0" w:type="dxa"/>
        <w:right w:w="15.0" w:type="dxa"/>
      </w:tblCellMar>
    </w:tblPr>
  </w:style>
  <w:style w:type="table" w:styleId="Table4">
    <w:basedOn w:val="TableNormal"/>
    <w:tblPr>
      <w:tblStyleRowBandSize w:val="1"/>
      <w:tblStyleColBandSize w:val="1"/>
      <w:tblCellMar>
        <w:top w:w="15.0" w:type="dxa"/>
        <w:left w:w="15.0" w:type="dxa"/>
        <w:bottom w:w="15.0" w:type="dxa"/>
        <w:right w:w="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