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jc w:val="center"/>
        <w:rPr>
          <w:rFonts w:ascii="Times New Roman" w:cs="Times New Roman" w:eastAsia="Times New Roman" w:hAnsi="Times New Roman"/>
          <w:b w:val="1"/>
          <w:bCs w:val="1"/>
          <w:sz w:val="24"/>
          <w:szCs w:val="24"/>
        </w:rPr>
      </w:pPr>
      <w:bookmarkStart w:colFirst="0" w:colLast="0" w:name="_gjdgxs" w:id="0"/>
      <w:bookmarkEnd w:id="0"/>
      <w:r w:rsidDel="00000000" w:rsidR="00000000" w:rsidRPr="00000000">
        <w:rPr>
          <w:rFonts w:ascii="Times New Roman" w:cs="Times New Roman" w:eastAsia="Times New Roman" w:hAnsi="Times New Roman"/>
          <w:b w:val="1"/>
          <w:bCs w:val="1"/>
          <w:sz w:val="24"/>
          <w:szCs w:val="24"/>
          <w:rtl w:val="0"/>
        </w:rPr>
        <w:t xml:space="preserve">Chapter 12</w:t>
      </w:r>
    </w:p>
    <w:p w:rsidR="00000000" w:rsidDel="00000000" w:rsidP="00000000" w:rsidRDefault="00000000" w:rsidRPr="00000000" w14:paraId="00000002">
      <w:pPr>
        <w:spacing w:line="480" w:lineRule="auto"/>
        <w:ind w:firstLine="720"/>
        <w:jc w:val="center"/>
        <w:rPr>
          <w:sz w:val="24"/>
          <w:szCs w:val="24"/>
        </w:rPr>
      </w:pPr>
      <w:bookmarkStart w:colFirst="0" w:colLast="0" w:name="_mg4f6wdczos" w:id="1"/>
      <w:bookmarkEnd w:id="1"/>
      <w:r w:rsidDel="00000000" w:rsidR="00000000" w:rsidRPr="00000000">
        <w:rPr>
          <w:rFonts w:ascii="Times New Roman" w:cs="Times New Roman" w:eastAsia="Times New Roman" w:hAnsi="Times New Roman"/>
          <w:b w:val="1"/>
          <w:bCs w:val="1"/>
          <w:sz w:val="24"/>
          <w:szCs w:val="24"/>
          <w:rtl w:val="0"/>
        </w:rPr>
        <w:t xml:space="preserve">Powdery Mildew</w:t>
      </w:r>
      <w:r w:rsidDel="00000000" w:rsidR="00000000" w:rsidRPr="00000000">
        <w:rPr>
          <w:rtl w:val="0"/>
        </w:rPr>
      </w:r>
    </w:p>
    <w:p w:rsidR="00000000" w:rsidDel="00000000" w:rsidP="00000000" w:rsidRDefault="00000000" w:rsidRPr="00000000" w14:paraId="00000003">
      <w:pPr>
        <w:spacing w:line="480" w:lineRule="auto"/>
        <w:rPr>
          <w:sz w:val="24"/>
          <w:szCs w:val="24"/>
        </w:rPr>
      </w:pPr>
      <w:r w:rsidDel="00000000" w:rsidR="00000000" w:rsidRPr="00000000">
        <w:rPr>
          <w:b w:val="1"/>
          <w:bCs w:val="1"/>
          <w:sz w:val="24"/>
          <w:szCs w:val="24"/>
          <w:rtl w:val="0"/>
        </w:rPr>
        <w:t xml:space="preserve">Taxonomy</w:t>
      </w:r>
      <w:r w:rsidDel="00000000" w:rsidR="00000000" w:rsidRPr="00000000">
        <w:rPr>
          <w:rtl w:val="0"/>
        </w:rPr>
      </w:r>
    </w:p>
    <w:tbl>
      <w:tblPr>
        <w:tblStyle w:val="Table1"/>
        <w:tblW w:w="8535.0" w:type="dxa"/>
        <w:jc w:val="left"/>
        <w:tblInd w:w="-100.0" w:type="dxa"/>
        <w:tblLayout w:type="fixed"/>
        <w:tblLook w:val="0400"/>
      </w:tblPr>
      <w:tblGrid>
        <w:gridCol w:w="1875"/>
        <w:gridCol w:w="6660"/>
        <w:tblGridChange w:id="0">
          <w:tblGrid>
            <w:gridCol w:w="1875"/>
            <w:gridCol w:w="66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spacing w:line="480" w:lineRule="auto"/>
              <w:ind w:left="210" w:firstLine="0"/>
              <w:rPr>
                <w:sz w:val="24"/>
                <w:szCs w:val="24"/>
              </w:rPr>
            </w:pPr>
            <w:r w:rsidDel="00000000" w:rsidR="00000000" w:rsidRPr="00000000">
              <w:rPr>
                <w:color w:val="333333"/>
                <w:sz w:val="24"/>
                <w:szCs w:val="24"/>
                <w:highlight w:val="white"/>
                <w:rtl w:val="0"/>
              </w:rPr>
              <w:t xml:space="preserve">Kingdom: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5">
            <w:pPr>
              <w:spacing w:line="480" w:lineRule="auto"/>
              <w:rPr>
                <w:sz w:val="24"/>
                <w:szCs w:val="24"/>
              </w:rPr>
            </w:pPr>
            <w:r w:rsidDel="00000000" w:rsidR="00000000" w:rsidRPr="00000000">
              <w:rPr>
                <w:color w:val="333333"/>
                <w:sz w:val="24"/>
                <w:szCs w:val="24"/>
                <w:highlight w:val="white"/>
                <w:rtl w:val="0"/>
              </w:rPr>
              <w:t xml:space="preserve">Fungi</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spacing w:line="480" w:lineRule="auto"/>
              <w:ind w:left="210" w:firstLine="0"/>
              <w:rPr>
                <w:sz w:val="24"/>
                <w:szCs w:val="24"/>
              </w:rPr>
            </w:pPr>
            <w:r w:rsidDel="00000000" w:rsidR="00000000" w:rsidRPr="00000000">
              <w:rPr>
                <w:color w:val="333333"/>
                <w:sz w:val="24"/>
                <w:szCs w:val="24"/>
                <w:highlight w:val="white"/>
                <w:rtl w:val="0"/>
              </w:rPr>
              <w:t xml:space="preserve">Phylum: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spacing w:line="480" w:lineRule="auto"/>
              <w:rPr>
                <w:sz w:val="24"/>
                <w:szCs w:val="24"/>
              </w:rPr>
            </w:pPr>
            <w:r w:rsidDel="00000000" w:rsidR="00000000" w:rsidRPr="00000000">
              <w:rPr>
                <w:color w:val="333333"/>
                <w:sz w:val="24"/>
                <w:szCs w:val="24"/>
                <w:highlight w:val="white"/>
                <w:rtl w:val="0"/>
              </w:rPr>
              <w:t xml:space="preserve">Ascomycota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8">
            <w:pPr>
              <w:spacing w:line="480" w:lineRule="auto"/>
              <w:ind w:left="210" w:firstLine="0"/>
              <w:rPr>
                <w:sz w:val="24"/>
                <w:szCs w:val="24"/>
              </w:rPr>
            </w:pPr>
            <w:r w:rsidDel="00000000" w:rsidR="00000000" w:rsidRPr="00000000">
              <w:rPr>
                <w:color w:val="333333"/>
                <w:sz w:val="24"/>
                <w:szCs w:val="24"/>
                <w:highlight w:val="white"/>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spacing w:line="480" w:lineRule="auto"/>
              <w:rPr>
                <w:sz w:val="24"/>
                <w:szCs w:val="24"/>
              </w:rPr>
            </w:pPr>
            <w:r w:rsidDel="00000000" w:rsidR="00000000" w:rsidRPr="00000000">
              <w:rPr>
                <w:color w:val="333333"/>
                <w:sz w:val="24"/>
                <w:szCs w:val="24"/>
                <w:highlight w:val="white"/>
                <w:rtl w:val="0"/>
              </w:rPr>
              <w:t xml:space="preserve">Leotiomycetes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spacing w:line="480" w:lineRule="auto"/>
              <w:ind w:left="210" w:firstLine="0"/>
              <w:rPr>
                <w:sz w:val="24"/>
                <w:szCs w:val="24"/>
              </w:rPr>
            </w:pPr>
            <w:r w:rsidDel="00000000" w:rsidR="00000000" w:rsidRPr="00000000">
              <w:rPr>
                <w:color w:val="333333"/>
                <w:sz w:val="24"/>
                <w:szCs w:val="24"/>
                <w:highlight w:val="white"/>
                <w:rtl w:val="0"/>
              </w:rPr>
              <w:t xml:space="preserve">Order: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spacing w:line="480" w:lineRule="auto"/>
              <w:rPr>
                <w:sz w:val="24"/>
                <w:szCs w:val="24"/>
              </w:rPr>
            </w:pPr>
            <w:r w:rsidDel="00000000" w:rsidR="00000000" w:rsidRPr="00000000">
              <w:rPr>
                <w:color w:val="333333"/>
                <w:sz w:val="24"/>
                <w:szCs w:val="24"/>
                <w:highlight w:val="white"/>
                <w:rtl w:val="0"/>
              </w:rPr>
              <w:t xml:space="preserve">Erysiphales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spacing w:line="480" w:lineRule="auto"/>
              <w:ind w:left="210" w:firstLine="0"/>
              <w:rPr>
                <w:sz w:val="24"/>
                <w:szCs w:val="24"/>
              </w:rPr>
            </w:pPr>
            <w:r w:rsidDel="00000000" w:rsidR="00000000" w:rsidRPr="00000000">
              <w:rPr>
                <w:color w:val="333333"/>
                <w:sz w:val="24"/>
                <w:szCs w:val="24"/>
                <w:highlight w:val="white"/>
                <w:rtl w:val="0"/>
              </w:rPr>
              <w:t xml:space="preserve">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spacing w:line="480" w:lineRule="auto"/>
              <w:rPr>
                <w:sz w:val="24"/>
                <w:szCs w:val="24"/>
              </w:rPr>
            </w:pPr>
            <w:r w:rsidDel="00000000" w:rsidR="00000000" w:rsidRPr="00000000">
              <w:rPr>
                <w:color w:val="333333"/>
                <w:sz w:val="24"/>
                <w:szCs w:val="24"/>
                <w:highlight w:val="white"/>
                <w:rtl w:val="0"/>
              </w:rPr>
              <w:t xml:space="preserve">Erysiphaceae</w:t>
            </w:r>
            <w:r w:rsidDel="00000000" w:rsidR="00000000" w:rsidRPr="00000000">
              <w:rPr>
                <w:rtl w:val="0"/>
              </w:rPr>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spacing w:line="480" w:lineRule="auto"/>
              <w:ind w:left="210" w:firstLine="0"/>
              <w:rPr>
                <w:sz w:val="24"/>
                <w:szCs w:val="24"/>
              </w:rPr>
            </w:pPr>
            <w:r w:rsidDel="00000000" w:rsidR="00000000" w:rsidRPr="00000000">
              <w:rPr>
                <w:color w:val="333333"/>
                <w:sz w:val="24"/>
                <w:szCs w:val="24"/>
                <w:highlight w:val="white"/>
                <w:rtl w:val="0"/>
              </w:rPr>
              <w:t xml:space="preserve">Genus: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spacing w:line="480" w:lineRule="auto"/>
              <w:rPr>
                <w:sz w:val="24"/>
                <w:szCs w:val="24"/>
              </w:rPr>
            </w:pPr>
            <w:r w:rsidDel="00000000" w:rsidR="00000000" w:rsidRPr="00000000">
              <w:rPr>
                <w:color w:val="333333"/>
                <w:sz w:val="24"/>
                <w:szCs w:val="24"/>
                <w:highlight w:val="white"/>
                <w:rtl w:val="0"/>
              </w:rPr>
              <w:t xml:space="preserve">Golovinomyces; Podospheara ; Leveillula</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spacing w:line="480" w:lineRule="auto"/>
              <w:ind w:left="210" w:firstLine="0"/>
              <w:rPr>
                <w:color w:val="333333"/>
                <w:sz w:val="24"/>
                <w:szCs w:val="24"/>
                <w:highlight w:val="white"/>
              </w:rPr>
            </w:pPr>
            <w:r w:rsidDel="00000000" w:rsidR="00000000" w:rsidRPr="00000000">
              <w:rPr>
                <w:color w:val="333333"/>
                <w:sz w:val="24"/>
                <w:szCs w:val="24"/>
                <w:highlight w:val="white"/>
                <w:rtl w:val="0"/>
              </w:rPr>
              <w:t xml:space="preserve">Species:</w:t>
            </w:r>
          </w:p>
          <w:p w:rsidR="00000000" w:rsidDel="00000000" w:rsidP="00000000" w:rsidRDefault="00000000" w:rsidRPr="00000000" w14:paraId="00000011">
            <w:pPr>
              <w:spacing w:line="480" w:lineRule="auto"/>
              <w:rPr>
                <w:color w:val="ff0000"/>
                <w:sz w:val="24"/>
                <w:szCs w:val="24"/>
                <w:highlight w:val="white"/>
              </w:rPr>
            </w:pPr>
            <w:r w:rsidDel="00000000" w:rsidR="00000000" w:rsidRPr="00000000">
              <w:rPr>
                <w:b w:val="1"/>
                <w:bCs w:val="1"/>
                <w:color w:val="ff0000"/>
                <w:sz w:val="24"/>
                <w:szCs w:val="24"/>
                <w:highlight w:val="white"/>
                <w:rtl w:val="0"/>
              </w:rPr>
              <w:t xml:space="preserve">  unresolved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spacing w:line="480" w:lineRule="auto"/>
              <w:rPr>
                <w:i w:val="1"/>
                <w:iCs w:val="1"/>
                <w:color w:val="333333"/>
                <w:sz w:val="24"/>
                <w:szCs w:val="24"/>
                <w:highlight w:val="white"/>
              </w:rPr>
            </w:pPr>
            <w:r w:rsidDel="00000000" w:rsidR="00000000" w:rsidRPr="00000000">
              <w:rPr>
                <w:i w:val="1"/>
                <w:iCs w:val="1"/>
                <w:color w:val="333333"/>
                <w:sz w:val="24"/>
                <w:szCs w:val="24"/>
                <w:highlight w:val="white"/>
                <w:rtl w:val="0"/>
              </w:rPr>
              <w:t xml:space="preserve">Golovinomyces ambrosiae</w:t>
            </w:r>
            <w:r w:rsidDel="00000000" w:rsidR="00000000" w:rsidRPr="00000000">
              <w:rPr>
                <w:color w:val="333333"/>
                <w:sz w:val="24"/>
                <w:szCs w:val="24"/>
                <w:highlight w:val="white"/>
                <w:rtl w:val="0"/>
              </w:rPr>
              <w:t xml:space="preserve"> (Syn. </w:t>
            </w:r>
            <w:r w:rsidDel="00000000" w:rsidR="00000000" w:rsidRPr="00000000">
              <w:rPr>
                <w:i w:val="1"/>
                <w:iCs w:val="1"/>
                <w:color w:val="333333"/>
                <w:sz w:val="24"/>
                <w:szCs w:val="24"/>
                <w:highlight w:val="white"/>
                <w:rtl w:val="0"/>
              </w:rPr>
              <w:t xml:space="preserve"> G. cichoracearum, G. spadiceus</w:t>
            </w:r>
            <w:r w:rsidDel="00000000" w:rsidR="00000000" w:rsidRPr="00000000">
              <w:rPr>
                <w:color w:val="333333"/>
                <w:sz w:val="24"/>
                <w:szCs w:val="24"/>
                <w:highlight w:val="white"/>
                <w:rtl w:val="0"/>
              </w:rPr>
              <w:t xml:space="preserve">); </w:t>
            </w:r>
            <w:r w:rsidDel="00000000" w:rsidR="00000000" w:rsidRPr="00000000">
              <w:rPr>
                <w:i w:val="1"/>
                <w:iCs w:val="1"/>
                <w:color w:val="333333"/>
                <w:sz w:val="24"/>
                <w:szCs w:val="24"/>
                <w:highlight w:val="white"/>
                <w:rtl w:val="0"/>
              </w:rPr>
              <w:t xml:space="preserve">Podosphera macularis </w:t>
            </w:r>
            <w:r w:rsidDel="00000000" w:rsidR="00000000" w:rsidRPr="00000000">
              <w:rPr>
                <w:color w:val="333333"/>
                <w:sz w:val="24"/>
                <w:szCs w:val="24"/>
                <w:highlight w:val="white"/>
                <w:rtl w:val="0"/>
              </w:rPr>
              <w:t xml:space="preserve">(</w:t>
            </w:r>
            <w:r w:rsidDel="00000000" w:rsidR="00000000" w:rsidRPr="00000000">
              <w:rPr>
                <w:color w:val="202122"/>
                <w:sz w:val="24"/>
                <w:szCs w:val="24"/>
                <w:highlight w:val="white"/>
                <w:rtl w:val="0"/>
              </w:rPr>
              <w:t xml:space="preserve">formerly</w:t>
            </w:r>
            <w:r w:rsidDel="00000000" w:rsidR="00000000" w:rsidRPr="00000000">
              <w:rPr>
                <w:i w:val="1"/>
                <w:iCs w:val="1"/>
                <w:color w:val="202122"/>
                <w:sz w:val="24"/>
                <w:szCs w:val="24"/>
                <w:highlight w:val="white"/>
                <w:rtl w:val="0"/>
              </w:rPr>
              <w:t xml:space="preserve"> Sphaerotheca macularis</w:t>
            </w:r>
            <w:r w:rsidDel="00000000" w:rsidR="00000000" w:rsidRPr="00000000">
              <w:rPr>
                <w:color w:val="202122"/>
                <w:sz w:val="24"/>
                <w:szCs w:val="24"/>
                <w:highlight w:val="white"/>
                <w:rtl w:val="0"/>
              </w:rPr>
              <w:t xml:space="preserve">)</w:t>
            </w:r>
            <w:r w:rsidDel="00000000" w:rsidR="00000000" w:rsidRPr="00000000">
              <w:rPr>
                <w:color w:val="333333"/>
                <w:sz w:val="24"/>
                <w:szCs w:val="24"/>
                <w:highlight w:val="white"/>
                <w:rtl w:val="0"/>
              </w:rPr>
              <w:t xml:space="preserve">; </w:t>
            </w:r>
            <w:r w:rsidDel="00000000" w:rsidR="00000000" w:rsidRPr="00000000">
              <w:rPr>
                <w:i w:val="1"/>
                <w:iCs w:val="1"/>
                <w:color w:val="222222"/>
                <w:sz w:val="24"/>
                <w:szCs w:val="24"/>
                <w:highlight w:val="white"/>
                <w:rtl w:val="0"/>
              </w:rPr>
              <w:t xml:space="preserve">Leveillula taurica</w:t>
            </w:r>
            <w:r w:rsidDel="00000000" w:rsidR="00000000" w:rsidRPr="00000000">
              <w:rPr>
                <w:color w:val="333333"/>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spacing w:line="480" w:lineRule="auto"/>
              <w:rPr>
                <w:color w:val="333333"/>
                <w:sz w:val="24"/>
                <w:szCs w:val="24"/>
                <w:highlight w:val="white"/>
              </w:rPr>
            </w:pPr>
            <w:r w:rsidDel="00000000" w:rsidR="00000000" w:rsidRPr="00000000">
              <w:rPr>
                <w:rtl w:val="0"/>
              </w:rPr>
            </w:r>
          </w:p>
        </w:tc>
      </w:tr>
    </w:tbl>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ubiquitous and well known of the fungal pathogens on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are the powdery mildews. Caused by multiple organisms, this dreaded fungal disease first manifests itself as a white, cottony growth that begins to form on the top surface of leaves. Once conspicuous on the leaves, the spores of this fungus are likely to be everywhere in your grow, whether it is indoors or out. </w:t>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various effective treatments that can eliminate this fungus (depending on the stage and degree of severity) and practices that can be used for preventing this fungus from getting established in the first place. Most growers have experience dealing with this fungus at one point or another. In many regions, PM is so common that one should assume that there are always going to be mildew spores in the air, unless you are growing in a filtered indoor space. Even then, starting with an assumption that you have spores in your garden will help you to develop and maintain a solid Integrated Pest Management program (IPM).</w:t>
      </w:r>
    </w:p>
    <w:p w:rsidR="00000000" w:rsidDel="00000000" w:rsidP="00000000" w:rsidRDefault="00000000" w:rsidRPr="00000000" w14:paraId="0000001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like everything else in the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industry, there are some clear misconceptions about these fungi that can be misleading and very confusing. To start with the confusing common names, powdery mildews and downy mildews are not the same disease and should not be treated in the same way. Downy mildew, caused by an oomycete rather than a fungus, is less commonly seen on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crops, though growers should still be aware of the pathogen and the symptoms associated with it (see “Chapter 16: Leaf Spot Diseases” for more information on Downy Mildews). </w:t>
      </w:r>
    </w:p>
    <w:p w:rsidR="00000000" w:rsidDel="00000000" w:rsidP="00000000" w:rsidRDefault="00000000" w:rsidRPr="00000000" w14:paraId="00000019">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Fonts w:ascii="Times New Roman" w:cs="Times New Roman" w:eastAsia="Times New Roman" w:hAnsi="Times New Roman"/>
          <w:sz w:val="24"/>
          <w:szCs w:val="24"/>
          <w:rtl w:val="0"/>
        </w:rPr>
        <w:t xml:space="preserve">Elucidating the species of powdery mildews affecting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will assist cultivators in controlling the disease. Most species of powdery mildew are host specific and have limited alternate host ranges on which to hide from farmers whose crops may be affected (Table 1). </w:t>
      </w:r>
      <w:r w:rsidDel="00000000" w:rsidR="00000000" w:rsidRPr="00000000">
        <w:rPr>
          <w:rFonts w:ascii="Times New Roman" w:cs="Times New Roman" w:eastAsia="Times New Roman" w:hAnsi="Times New Roman"/>
          <w:color w:val="252525"/>
          <w:sz w:val="24"/>
          <w:szCs w:val="24"/>
          <w:highlight w:val="white"/>
          <w:rtl w:val="0"/>
        </w:rPr>
        <w:t xml:space="preserve">Definitive knowledge of the species and pathovars affecting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w:t>
      </w:r>
      <w:r w:rsidDel="00000000" w:rsidR="00000000" w:rsidRPr="00000000">
        <w:rPr>
          <w:rFonts w:ascii="Times New Roman" w:cs="Times New Roman" w:eastAsia="Times New Roman" w:hAnsi="Times New Roman"/>
          <w:color w:val="252525"/>
          <w:sz w:val="24"/>
          <w:szCs w:val="24"/>
          <w:highlight w:val="white"/>
          <w:rtl w:val="0"/>
        </w:rPr>
        <w:t xml:space="preserve"> will help us prevent cross-contamination from susceptible neighboring host plants. However, no matter which powdery mildew species you have any applied treatments will be the same. </w:t>
      </w:r>
    </w:p>
    <w:p w:rsidR="00000000" w:rsidDel="00000000" w:rsidP="00000000" w:rsidRDefault="00000000" w:rsidRPr="00000000" w14:paraId="0000001A">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Table 12.1. Alternative host range of powdery mildew species affecting Cannabis.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color w:val="252525"/>
                <w:sz w:val="23"/>
                <w:szCs w:val="23"/>
                <w:highlight w:val="white"/>
              </w:rPr>
            </w:pPr>
            <w:r w:rsidDel="00000000" w:rsidR="00000000" w:rsidRPr="00000000">
              <w:rPr>
                <w:rFonts w:ascii="Times New Roman" w:cs="Times New Roman" w:eastAsia="Times New Roman" w:hAnsi="Times New Roman"/>
                <w:b w:val="1"/>
                <w:bCs w:val="1"/>
                <w:color w:val="252525"/>
                <w:sz w:val="23"/>
                <w:szCs w:val="23"/>
                <w:highlight w:val="white"/>
                <w:rtl w:val="0"/>
              </w:rPr>
              <w:t xml:space="preserve">Species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color w:val="252525"/>
                <w:sz w:val="23"/>
                <w:szCs w:val="23"/>
                <w:highlight w:val="white"/>
              </w:rPr>
            </w:pPr>
            <w:r w:rsidDel="00000000" w:rsidR="00000000" w:rsidRPr="00000000">
              <w:rPr>
                <w:rFonts w:ascii="Times New Roman" w:cs="Times New Roman" w:eastAsia="Times New Roman" w:hAnsi="Times New Roman"/>
                <w:b w:val="1"/>
                <w:bCs w:val="1"/>
                <w:color w:val="252525"/>
                <w:sz w:val="23"/>
                <w:szCs w:val="23"/>
                <w:highlight w:val="white"/>
                <w:rtl w:val="0"/>
              </w:rPr>
              <w:t xml:space="preserve">Alternate hosts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480" w:lineRule="auto"/>
              <w:rPr>
                <w:rFonts w:ascii="Times New Roman" w:cs="Times New Roman" w:eastAsia="Times New Roman" w:hAnsi="Times New Roman"/>
                <w:b w:val="1"/>
                <w:bCs w:val="1"/>
                <w:color w:val="252525"/>
                <w:sz w:val="23"/>
                <w:szCs w:val="23"/>
                <w:highlight w:val="white"/>
              </w:rPr>
            </w:pPr>
            <w:r w:rsidDel="00000000" w:rsidR="00000000" w:rsidRPr="00000000">
              <w:rPr>
                <w:i w:val="1"/>
                <w:iCs w:val="1"/>
                <w:color w:val="333333"/>
                <w:sz w:val="24"/>
                <w:szCs w:val="24"/>
                <w:highlight w:val="white"/>
                <w:rtl w:val="0"/>
              </w:rPr>
              <w:t xml:space="preserve">Golovinomyces ambrosiae</w:t>
            </w:r>
            <w:r w:rsidDel="00000000" w:rsidR="00000000" w:rsidRPr="00000000">
              <w:rPr>
                <w:color w:val="333333"/>
                <w:sz w:val="24"/>
                <w:szCs w:val="24"/>
                <w:highlight w:val="white"/>
                <w:rtl w:val="0"/>
              </w:rPr>
              <w:t xml:space="preserve"> (Syn. </w:t>
            </w:r>
            <w:r w:rsidDel="00000000" w:rsidR="00000000" w:rsidRPr="00000000">
              <w:rPr>
                <w:i w:val="1"/>
                <w:iCs w:val="1"/>
                <w:color w:val="333333"/>
                <w:sz w:val="24"/>
                <w:szCs w:val="24"/>
                <w:highlight w:val="white"/>
                <w:rtl w:val="0"/>
              </w:rPr>
              <w:t xml:space="preserve"> G. cichoracearum, G. spadiceus</w:t>
            </w:r>
            <w:r w:rsidDel="00000000" w:rsidR="00000000" w:rsidRPr="00000000">
              <w:rPr>
                <w:color w:val="333333"/>
                <w:sz w:val="24"/>
                <w:szCs w:val="24"/>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Asteraceae (Acanthospermum, Ambrosia, Aster, Blainvillea, Chrysogonum, Coreopsis, Dahlia, Eupatorium, Gerbera, Helianthus, Lagascea, Laggera, Leucanthemum, Mauranthemum [Chrysanthemum s. lat.], Melampodium, Parthenium, Telekia, Tithonia, Xanthium, Zinnia), Fabaceae (Crotalaria), Malvaceae (Abelmoschus),Polygonaceae (Persicaria), Solanaceae (Solanum), and</w:t>
            </w:r>
          </w:p>
          <w:p w:rsidR="00000000" w:rsidDel="00000000" w:rsidP="00000000" w:rsidRDefault="00000000" w:rsidRPr="00000000" w14:paraId="00000020">
            <w:pPr>
              <w:widowControl w:val="0"/>
              <w:spacing w:line="24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Verbenaceae (Verbena).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480" w:lineRule="auto"/>
              <w:rPr>
                <w:rFonts w:ascii="Times New Roman" w:cs="Times New Roman" w:eastAsia="Times New Roman" w:hAnsi="Times New Roman"/>
                <w:b w:val="1"/>
                <w:bCs w:val="1"/>
                <w:color w:val="252525"/>
                <w:sz w:val="23"/>
                <w:szCs w:val="23"/>
                <w:highlight w:val="white"/>
              </w:rPr>
            </w:pPr>
            <w:r w:rsidDel="00000000" w:rsidR="00000000" w:rsidRPr="00000000">
              <w:rPr>
                <w:i w:val="1"/>
                <w:iCs w:val="1"/>
                <w:color w:val="333333"/>
                <w:sz w:val="24"/>
                <w:szCs w:val="24"/>
                <w:highlight w:val="white"/>
                <w:rtl w:val="0"/>
              </w:rPr>
              <w:t xml:space="preserve">Podosphera macularis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Humulus (americanus, lupulus, scandens [=japonica]), Moraceae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480" w:lineRule="auto"/>
              <w:rPr>
                <w:rFonts w:ascii="Times New Roman" w:cs="Times New Roman" w:eastAsia="Times New Roman" w:hAnsi="Times New Roman"/>
                <w:b w:val="1"/>
                <w:bCs w:val="1"/>
                <w:color w:val="252525"/>
                <w:sz w:val="23"/>
                <w:szCs w:val="23"/>
                <w:highlight w:val="white"/>
              </w:rPr>
            </w:pPr>
            <w:r w:rsidDel="00000000" w:rsidR="00000000" w:rsidRPr="00000000">
              <w:rPr>
                <w:i w:val="1"/>
                <w:iCs w:val="1"/>
                <w:color w:val="222222"/>
                <w:sz w:val="24"/>
                <w:szCs w:val="24"/>
                <w:highlight w:val="white"/>
                <w:rtl w:val="0"/>
              </w:rPr>
              <w:t xml:space="preserve">Leveillula taurica</w:t>
            </w:r>
            <w:r w:rsidDel="00000000" w:rsidR="00000000" w:rsidRPr="00000000">
              <w:rPr>
                <w:color w:val="333333"/>
                <w:sz w:val="24"/>
                <w:szCs w:val="24"/>
                <w:highlight w:val="white"/>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Probably a species complex with unresolved host ranges: </w:t>
            </w:r>
          </w:p>
          <w:p w:rsidR="00000000" w:rsidDel="00000000" w:rsidP="00000000" w:rsidRDefault="00000000" w:rsidRPr="00000000" w14:paraId="00000025">
            <w:pPr>
              <w:widowControl w:val="0"/>
              <w:spacing w:line="240" w:lineRule="auto"/>
              <w:rPr>
                <w:rFonts w:ascii="Times New Roman" w:cs="Times New Roman" w:eastAsia="Times New Roman" w:hAnsi="Times New Roman"/>
                <w:color w:val="252525"/>
                <w:sz w:val="23"/>
                <w:szCs w:val="23"/>
                <w:highlight w:val="white"/>
              </w:rPr>
            </w:pPr>
            <w:r w:rsidDel="00000000" w:rsidR="00000000" w:rsidRPr="00000000">
              <w:rPr>
                <w:rFonts w:ascii="Times New Roman" w:cs="Times New Roman" w:eastAsia="Times New Roman" w:hAnsi="Times New Roman"/>
                <w:color w:val="252525"/>
                <w:sz w:val="23"/>
                <w:szCs w:val="23"/>
                <w:highlight w:val="white"/>
                <w:rtl w:val="0"/>
              </w:rPr>
              <w:t xml:space="preserve">Amaranthaceae (Amaranthus, Celosia, Gomphrena), Apocynaceae (Rauvolfia, Vinca) Aristolochiaceae (Aristolochia), Asclepiadaceae (Asclepias, Calotropis, Stapelia, Vincetoxicum), Bombacaceae (Asansonia, Bombacopsis), Burseraceae (Commiphora), Campanulaceae (Asyneuma, Phyteuma), Caricaceae (Coccinia, Cucumis, Cucurbita) Datiscaceae (Dattisca), Dipsaceae (Scabiosa), Grossulariaceae (Ribes), Daeodoraceae (Anigozanthos), Hydrophyllaceae (Phacelia), Hypericaceae (Hypericum), Linaceae (Linum, Reinwardtia, Malvaceae (Abelmoschus, Abutilon, Hibiscus), Martyniaceae (Martynia), Myrtaceae (Chamaelaucium), Oleaceae (Olea), Onagraceae (Clarkia Epilobium), Orobanchaceae (Leptorhabdos, Odontites), Plantaginaceae (Digitalis, Phlox, Polemonium), Polygonaceae (Polygonum, Rumex), Primulaceae (Samolus), Rosacea (Reseda), Salvatoraceae (Salvatora), Scrophulariaceae (Scruphularia), Tiliaceae ( Corchorus), Verbenaceae (Caryopteris, Lippia, Verbena).</w:t>
            </w:r>
          </w:p>
        </w:tc>
      </w:tr>
    </w:tbl>
    <w:p w:rsidR="00000000" w:rsidDel="00000000" w:rsidP="00000000" w:rsidRDefault="00000000" w:rsidRPr="00000000" w14:paraId="00000026">
      <w:pPr>
        <w:spacing w:line="480" w:lineRule="auto"/>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accumulating reports</w:t>
      </w:r>
      <w:r w:rsidDel="00000000" w:rsidR="00000000" w:rsidRPr="00000000">
        <w:rPr>
          <w:rFonts w:ascii="Times New Roman" w:cs="Times New Roman" w:eastAsia="Times New Roman" w:hAnsi="Times New Roman"/>
          <w:color w:val="252525"/>
          <w:sz w:val="24"/>
          <w:szCs w:val="24"/>
          <w:highlight w:val="white"/>
          <w:rtl w:val="0"/>
        </w:rPr>
        <w:t xml:space="preserve"> identifying </w:t>
      </w:r>
      <w:r w:rsidDel="00000000" w:rsidR="00000000" w:rsidRPr="00000000">
        <w:rPr>
          <w:rFonts w:ascii="Times New Roman" w:cs="Times New Roman" w:eastAsia="Times New Roman" w:hAnsi="Times New Roman"/>
          <w:i w:val="1"/>
          <w:iCs w:val="1"/>
          <w:color w:val="252525"/>
          <w:sz w:val="24"/>
          <w:szCs w:val="24"/>
          <w:highlight w:val="white"/>
          <w:rtl w:val="0"/>
        </w:rPr>
        <w:t xml:space="preserve">Golovinomyces cichoracearum </w:t>
      </w:r>
      <w:r w:rsidDel="00000000" w:rsidR="00000000" w:rsidRPr="00000000">
        <w:rPr>
          <w:rFonts w:ascii="Times New Roman" w:cs="Times New Roman" w:eastAsia="Times New Roman" w:hAnsi="Times New Roman"/>
          <w:color w:val="252525"/>
          <w:sz w:val="24"/>
          <w:szCs w:val="24"/>
          <w:highlight w:val="white"/>
          <w:rtl w:val="0"/>
        </w:rPr>
        <w:t xml:space="preserve">sensu lato as the powdery mildew affecting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 </w:t>
      </w:r>
      <w:r w:rsidDel="00000000" w:rsidR="00000000" w:rsidRPr="00000000">
        <w:rPr>
          <w:rFonts w:ascii="Times New Roman" w:cs="Times New Roman" w:eastAsia="Times New Roman" w:hAnsi="Times New Roman"/>
          <w:color w:val="252525"/>
          <w:sz w:val="24"/>
          <w:szCs w:val="24"/>
          <w:highlight w:val="white"/>
          <w:rtl w:val="0"/>
        </w:rPr>
        <w:t xml:space="preserve">in Canada and France based on ITS sequencing (Pépin et al, 2018; Punja, 2018; R</w:t>
      </w:r>
      <w:r w:rsidDel="00000000" w:rsidR="00000000" w:rsidRPr="00000000">
        <w:rPr>
          <w:rFonts w:ascii="Times New Roman" w:cs="Times New Roman" w:eastAsia="Times New Roman" w:hAnsi="Times New Roman"/>
          <w:sz w:val="24"/>
          <w:szCs w:val="24"/>
          <w:rtl w:val="0"/>
        </w:rPr>
        <w:t xml:space="preserve">odrigues et al, 2015) and </w:t>
      </w:r>
      <w:r w:rsidDel="00000000" w:rsidR="00000000" w:rsidRPr="00000000">
        <w:rPr>
          <w:rFonts w:ascii="Times New Roman" w:cs="Times New Roman" w:eastAsia="Times New Roman" w:hAnsi="Times New Roman"/>
          <w:i w:val="1"/>
          <w:iCs w:val="1"/>
          <w:sz w:val="24"/>
          <w:szCs w:val="24"/>
          <w:rtl w:val="0"/>
        </w:rPr>
        <w:t xml:space="preserve">G. </w:t>
      </w:r>
      <w:r w:rsidDel="00000000" w:rsidR="00000000" w:rsidRPr="00000000">
        <w:rPr>
          <w:rFonts w:ascii="Times New Roman" w:cs="Times New Roman" w:eastAsia="Times New Roman" w:hAnsi="Times New Roman"/>
          <w:i w:val="1"/>
          <w:iCs w:val="1"/>
          <w:color w:val="333333"/>
          <w:sz w:val="24"/>
          <w:szCs w:val="24"/>
          <w:highlight w:val="white"/>
          <w:rtl w:val="0"/>
        </w:rPr>
        <w:t xml:space="preserve">spadiceus</w:t>
      </w:r>
      <w:r w:rsidDel="00000000" w:rsidR="00000000" w:rsidRPr="00000000">
        <w:rPr>
          <w:color w:val="333333"/>
          <w:sz w:val="24"/>
          <w:szCs w:val="24"/>
          <w:highlight w:val="white"/>
          <w:rtl w:val="0"/>
        </w:rPr>
        <w:t xml:space="preserve"> </w:t>
      </w:r>
      <w:r w:rsidDel="00000000" w:rsidR="00000000" w:rsidRPr="00000000">
        <w:rPr>
          <w:rFonts w:ascii="Times New Roman" w:cs="Times New Roman" w:eastAsia="Times New Roman" w:hAnsi="Times New Roman"/>
          <w:color w:val="333333"/>
          <w:sz w:val="24"/>
          <w:szCs w:val="24"/>
          <w:highlight w:val="white"/>
          <w:rtl w:val="0"/>
        </w:rPr>
        <w:t xml:space="preserve">has been identified from Kentucky (Szarka et al, 2019)</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252525"/>
          <w:sz w:val="24"/>
          <w:szCs w:val="24"/>
          <w:highlight w:val="white"/>
          <w:rtl w:val="0"/>
        </w:rPr>
        <w:t xml:space="preserve">Golovinomyces spadicues </w:t>
      </w:r>
      <w:r w:rsidDel="00000000" w:rsidR="00000000" w:rsidRPr="00000000">
        <w:rPr>
          <w:rFonts w:ascii="Times New Roman" w:cs="Times New Roman" w:eastAsia="Times New Roman" w:hAnsi="Times New Roman"/>
          <w:color w:val="252525"/>
          <w:sz w:val="24"/>
          <w:szCs w:val="24"/>
          <w:highlight w:val="white"/>
          <w:rtl w:val="0"/>
        </w:rPr>
        <w:t xml:space="preserve">is now named</w:t>
      </w:r>
      <w:r w:rsidDel="00000000" w:rsidR="00000000" w:rsidRPr="00000000">
        <w:rPr>
          <w:rFonts w:ascii="Times New Roman" w:cs="Times New Roman" w:eastAsia="Times New Roman" w:hAnsi="Times New Roman"/>
          <w:i w:val="1"/>
          <w:iCs w:val="1"/>
          <w:color w:val="252525"/>
          <w:sz w:val="24"/>
          <w:szCs w:val="24"/>
          <w:highlight w:val="white"/>
          <w:rtl w:val="0"/>
        </w:rPr>
        <w:t xml:space="preserve"> G. ambrosia </w:t>
      </w:r>
      <w:r w:rsidDel="00000000" w:rsidR="00000000" w:rsidRPr="00000000">
        <w:rPr>
          <w:rFonts w:ascii="Times New Roman" w:cs="Times New Roman" w:eastAsia="Times New Roman" w:hAnsi="Times New Roman"/>
          <w:color w:val="252525"/>
          <w:sz w:val="24"/>
          <w:szCs w:val="24"/>
          <w:highlight w:val="white"/>
          <w:rtl w:val="0"/>
        </w:rPr>
        <w:t xml:space="preserve">and</w:t>
      </w:r>
      <w:r w:rsidDel="00000000" w:rsidR="00000000" w:rsidRPr="00000000">
        <w:rPr>
          <w:rFonts w:ascii="Times New Roman" w:cs="Times New Roman" w:eastAsia="Times New Roman" w:hAnsi="Times New Roman"/>
          <w:i w:val="1"/>
          <w:iCs w:val="1"/>
          <w:color w:val="252525"/>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unfortunately </w:t>
      </w:r>
      <w:r w:rsidDel="00000000" w:rsidR="00000000" w:rsidRPr="00000000">
        <w:rPr>
          <w:rFonts w:ascii="Times New Roman" w:cs="Times New Roman" w:eastAsia="Times New Roman" w:hAnsi="Times New Roman"/>
          <w:i w:val="1"/>
          <w:iCs w:val="1"/>
          <w:sz w:val="24"/>
          <w:szCs w:val="24"/>
          <w:rtl w:val="0"/>
        </w:rPr>
        <w:t xml:space="preserve">G. cichoracearum  </w:t>
      </w:r>
      <w:r w:rsidDel="00000000" w:rsidR="00000000" w:rsidRPr="00000000">
        <w:rPr>
          <w:rFonts w:ascii="Times New Roman" w:cs="Times New Roman" w:eastAsia="Times New Roman" w:hAnsi="Times New Roman"/>
          <w:sz w:val="24"/>
          <w:szCs w:val="24"/>
          <w:rtl w:val="0"/>
        </w:rPr>
        <w:t xml:space="preserve">sensu lato is poorly defined phylogenetically, likely comprising many cryptic species. There is also evidence that the ITS sequence alone does not adequately discriminate among closely related </w:t>
      </w:r>
      <w:r w:rsidDel="00000000" w:rsidR="00000000" w:rsidRPr="00000000">
        <w:rPr>
          <w:rFonts w:ascii="Times New Roman" w:cs="Times New Roman" w:eastAsia="Times New Roman" w:hAnsi="Times New Roman"/>
          <w:i w:val="1"/>
          <w:iCs w:val="1"/>
          <w:sz w:val="24"/>
          <w:szCs w:val="24"/>
          <w:rtl w:val="0"/>
        </w:rPr>
        <w:t xml:space="preserve">Golovinomyces </w:t>
      </w:r>
      <w:r w:rsidDel="00000000" w:rsidR="00000000" w:rsidRPr="00000000">
        <w:rPr>
          <w:rFonts w:ascii="Times New Roman" w:cs="Times New Roman" w:eastAsia="Times New Roman" w:hAnsi="Times New Roman"/>
          <w:sz w:val="24"/>
          <w:szCs w:val="24"/>
          <w:rtl w:val="0"/>
        </w:rPr>
        <w:t xml:space="preserve">species (Punja, 2018). </w:t>
      </w:r>
      <w:r w:rsidDel="00000000" w:rsidR="00000000" w:rsidRPr="00000000">
        <w:rPr>
          <w:rFonts w:ascii="Times New Roman" w:cs="Times New Roman" w:eastAsia="Times New Roman" w:hAnsi="Times New Roman"/>
          <w:color w:val="252525"/>
          <w:sz w:val="24"/>
          <w:szCs w:val="24"/>
          <w:highlight w:val="white"/>
          <w:rtl w:val="0"/>
        </w:rPr>
        <w:t xml:space="preserve">These mixed and unclear results are not all that surprising given the fact that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 </w:t>
      </w:r>
      <w:r w:rsidDel="00000000" w:rsidR="00000000" w:rsidRPr="00000000">
        <w:rPr>
          <w:rFonts w:ascii="Times New Roman" w:cs="Times New Roman" w:eastAsia="Times New Roman" w:hAnsi="Times New Roman"/>
          <w:color w:val="252525"/>
          <w:sz w:val="24"/>
          <w:szCs w:val="24"/>
          <w:highlight w:val="white"/>
          <w:rtl w:val="0"/>
        </w:rPr>
        <w:t xml:space="preserve">has been illegal to grow and most scientists did not have the ability to work with this plant. Also, molecular fingerprinting has only been around since the mid-1980’s, with many organisms yet to be sequenced. </w:t>
      </w:r>
      <w:r w:rsidDel="00000000" w:rsidR="00000000" w:rsidRPr="00000000">
        <w:rPr>
          <w:rtl w:val="0"/>
        </w:rPr>
      </w:r>
    </w:p>
    <w:p w:rsidR="00000000" w:rsidDel="00000000" w:rsidP="00000000" w:rsidRDefault="00000000" w:rsidRPr="00000000" w14:paraId="00000029">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Fonts w:ascii="Times New Roman" w:cs="Times New Roman" w:eastAsia="Times New Roman" w:hAnsi="Times New Roman"/>
          <w:sz w:val="24"/>
          <w:szCs w:val="24"/>
          <w:rtl w:val="0"/>
        </w:rPr>
        <w:t xml:space="preserve"> Macpartland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2000 documented two species of powdery mildew infecting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Leveillula taurica </w:t>
      </w:r>
      <w:r w:rsidDel="00000000" w:rsidR="00000000" w:rsidRPr="00000000">
        <w:rPr>
          <w:rFonts w:ascii="Times New Roman" w:cs="Times New Roman" w:eastAsia="Times New Roman" w:hAnsi="Times New Roman"/>
          <w:color w:val="252525"/>
          <w:sz w:val="24"/>
          <w:szCs w:val="24"/>
          <w:highlight w:val="white"/>
          <w:rtl w:val="0"/>
        </w:rPr>
        <w:t xml:space="preserve">and </w:t>
      </w:r>
      <w:r w:rsidDel="00000000" w:rsidR="00000000" w:rsidRPr="00000000">
        <w:rPr>
          <w:rFonts w:ascii="Times New Roman" w:cs="Times New Roman" w:eastAsia="Times New Roman" w:hAnsi="Times New Roman"/>
          <w:i w:val="1"/>
          <w:iCs w:val="1"/>
          <w:color w:val="222222"/>
          <w:sz w:val="24"/>
          <w:szCs w:val="24"/>
          <w:highlight w:val="white"/>
          <w:rtl w:val="0"/>
        </w:rPr>
        <w:t xml:space="preserve">Podosphaera macularis</w:t>
      </w:r>
      <w:r w:rsidDel="00000000" w:rsidR="00000000" w:rsidRPr="00000000">
        <w:rPr>
          <w:rFonts w:ascii="Times New Roman" w:cs="Times New Roman" w:eastAsia="Times New Roman" w:hAnsi="Times New Roman"/>
          <w:color w:val="252525"/>
          <w:sz w:val="24"/>
          <w:szCs w:val="24"/>
          <w:highlight w:val="white"/>
          <w:rtl w:val="0"/>
        </w:rPr>
        <w:t xml:space="preserve">. However, under current nomenclature systems </w:t>
      </w:r>
      <w:r w:rsidDel="00000000" w:rsidR="00000000" w:rsidRPr="00000000">
        <w:rPr>
          <w:rFonts w:ascii="Times New Roman" w:cs="Times New Roman" w:eastAsia="Times New Roman" w:hAnsi="Times New Roman"/>
          <w:i w:val="1"/>
          <w:iCs w:val="1"/>
          <w:color w:val="252525"/>
          <w:sz w:val="24"/>
          <w:szCs w:val="24"/>
          <w:highlight w:val="white"/>
          <w:rtl w:val="0"/>
        </w:rPr>
        <w:t xml:space="preserve">Podosphaera macularis</w:t>
      </w:r>
      <w:r w:rsidDel="00000000" w:rsidR="00000000" w:rsidRPr="00000000">
        <w:rPr>
          <w:rFonts w:ascii="Times New Roman" w:cs="Times New Roman" w:eastAsia="Times New Roman" w:hAnsi="Times New Roman"/>
          <w:color w:val="252525"/>
          <w:sz w:val="24"/>
          <w:szCs w:val="24"/>
          <w:highlight w:val="white"/>
          <w:rtl w:val="0"/>
        </w:rPr>
        <w:t xml:space="preserve"> is host restricted among </w:t>
      </w:r>
      <w:r w:rsidDel="00000000" w:rsidR="00000000" w:rsidRPr="00000000">
        <w:rPr>
          <w:rFonts w:ascii="Times New Roman" w:cs="Times New Roman" w:eastAsia="Times New Roman" w:hAnsi="Times New Roman"/>
          <w:i w:val="1"/>
          <w:iCs w:val="1"/>
          <w:color w:val="252525"/>
          <w:sz w:val="24"/>
          <w:szCs w:val="24"/>
          <w:highlight w:val="white"/>
          <w:rtl w:val="0"/>
        </w:rPr>
        <w:t xml:space="preserve">Humulus</w:t>
      </w:r>
      <w:r w:rsidDel="00000000" w:rsidR="00000000" w:rsidRPr="00000000">
        <w:rPr>
          <w:rFonts w:ascii="Times New Roman" w:cs="Times New Roman" w:eastAsia="Times New Roman" w:hAnsi="Times New Roman"/>
          <w:color w:val="252525"/>
          <w:sz w:val="24"/>
          <w:szCs w:val="24"/>
          <w:highlight w:val="white"/>
          <w:rtl w:val="0"/>
        </w:rPr>
        <w:t xml:space="preserve"> species only (Uwe Braun, personal communication). This is contradicted by recent cross infectivity experiments, at least in greenhouse environments ( Weldon 2018). Most recently </w:t>
      </w:r>
      <w:r w:rsidDel="00000000" w:rsidR="00000000" w:rsidRPr="00000000">
        <w:rPr>
          <w:rFonts w:ascii="Times New Roman" w:cs="Times New Roman" w:eastAsia="Times New Roman" w:hAnsi="Times New Roman"/>
          <w:i w:val="1"/>
          <w:iCs w:val="1"/>
          <w:color w:val="252525"/>
          <w:sz w:val="24"/>
          <w:szCs w:val="24"/>
          <w:highlight w:val="white"/>
          <w:rtl w:val="0"/>
        </w:rPr>
        <w:t xml:space="preserve">P. macularis</w:t>
      </w:r>
      <w:r w:rsidDel="00000000" w:rsidR="00000000" w:rsidRPr="00000000">
        <w:rPr>
          <w:rFonts w:ascii="Times New Roman" w:cs="Times New Roman" w:eastAsia="Times New Roman" w:hAnsi="Times New Roman"/>
          <w:color w:val="252525"/>
          <w:sz w:val="24"/>
          <w:szCs w:val="24"/>
          <w:highlight w:val="white"/>
          <w:rtl w:val="0"/>
        </w:rPr>
        <w:t xml:space="preserve"> has been found to cause natural infections on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w:t>
      </w:r>
      <w:r w:rsidDel="00000000" w:rsidR="00000000" w:rsidRPr="00000000">
        <w:rPr>
          <w:rFonts w:ascii="Times New Roman" w:cs="Times New Roman" w:eastAsia="Times New Roman" w:hAnsi="Times New Roman"/>
          <w:color w:val="252525"/>
          <w:sz w:val="24"/>
          <w:szCs w:val="24"/>
          <w:highlight w:val="white"/>
          <w:rtl w:val="0"/>
        </w:rPr>
        <w:t xml:space="preserve"> plants in Oregon and Canada (Bates et al 2021, Punja et al 2021). </w:t>
      </w:r>
      <w:r w:rsidDel="00000000" w:rsidR="00000000" w:rsidRPr="00000000">
        <w:rPr>
          <w:rFonts w:ascii="Times New Roman" w:cs="Times New Roman" w:eastAsia="Times New Roman" w:hAnsi="Times New Roman"/>
          <w:i w:val="1"/>
          <w:iCs w:val="1"/>
          <w:color w:val="252525"/>
          <w:sz w:val="24"/>
          <w:szCs w:val="24"/>
          <w:highlight w:val="white"/>
          <w:rtl w:val="0"/>
        </w:rPr>
        <w:t xml:space="preserve">Levieullula taurica</w:t>
      </w:r>
      <w:r w:rsidDel="00000000" w:rsidR="00000000" w:rsidRPr="00000000">
        <w:rPr>
          <w:rFonts w:ascii="Times New Roman" w:cs="Times New Roman" w:eastAsia="Times New Roman" w:hAnsi="Times New Roman"/>
          <w:color w:val="252525"/>
          <w:sz w:val="24"/>
          <w:szCs w:val="24"/>
          <w:highlight w:val="white"/>
          <w:rtl w:val="0"/>
        </w:rPr>
        <w:t xml:space="preserve"> was reported by Jaczewski, 1929, but has not been confirmed as a common cause of powdery mildew among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w:t>
      </w:r>
      <w:r w:rsidDel="00000000" w:rsidR="00000000" w:rsidRPr="00000000">
        <w:rPr>
          <w:rFonts w:ascii="Times New Roman" w:cs="Times New Roman" w:eastAsia="Times New Roman" w:hAnsi="Times New Roman"/>
          <w:color w:val="252525"/>
          <w:sz w:val="24"/>
          <w:szCs w:val="24"/>
          <w:highlight w:val="white"/>
          <w:rtl w:val="0"/>
        </w:rPr>
        <w:t xml:space="preserve"> recently.  </w:t>
      </w:r>
    </w:p>
    <w:p w:rsidR="00000000" w:rsidDel="00000000" w:rsidP="00000000" w:rsidRDefault="00000000" w:rsidRPr="00000000" w14:paraId="0000002A">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Fonts w:ascii="Times New Roman" w:cs="Times New Roman" w:eastAsia="Times New Roman" w:hAnsi="Times New Roman"/>
          <w:color w:val="252525"/>
          <w:sz w:val="24"/>
          <w:szCs w:val="24"/>
          <w:highlight w:val="white"/>
          <w:rtl w:val="0"/>
        </w:rPr>
        <w:t xml:space="preserve">A private lab also reported an unknown genetic isolate from </w:t>
      </w:r>
      <w:r w:rsidDel="00000000" w:rsidR="00000000" w:rsidRPr="00000000">
        <w:rPr>
          <w:rFonts w:ascii="Times New Roman" w:cs="Times New Roman" w:eastAsia="Times New Roman" w:hAnsi="Times New Roman"/>
          <w:i w:val="1"/>
          <w:iCs w:val="1"/>
          <w:color w:val="252525"/>
          <w:sz w:val="24"/>
          <w:szCs w:val="24"/>
          <w:highlight w:val="white"/>
          <w:rtl w:val="0"/>
        </w:rPr>
        <w:t xml:space="preserve">Cannabis</w:t>
      </w:r>
      <w:r w:rsidDel="00000000" w:rsidR="00000000" w:rsidRPr="00000000">
        <w:rPr>
          <w:rFonts w:ascii="Times New Roman" w:cs="Times New Roman" w:eastAsia="Times New Roman" w:hAnsi="Times New Roman"/>
          <w:color w:val="252525"/>
          <w:sz w:val="24"/>
          <w:szCs w:val="24"/>
          <w:highlight w:val="white"/>
          <w:rtl w:val="0"/>
        </w:rPr>
        <w:t xml:space="preserve"> grown in the Northeast United States. Researchers claimed a full genome sequence did not match any known Erysiphales in GenBank (a universal genetic depository for researchers), and that the northeast isolate was not from the genus </w:t>
      </w:r>
      <w:r w:rsidDel="00000000" w:rsidR="00000000" w:rsidRPr="00000000">
        <w:rPr>
          <w:rFonts w:ascii="Times New Roman" w:cs="Times New Roman" w:eastAsia="Times New Roman" w:hAnsi="Times New Roman"/>
          <w:i w:val="1"/>
          <w:iCs w:val="1"/>
          <w:color w:val="252525"/>
          <w:sz w:val="24"/>
          <w:szCs w:val="24"/>
          <w:highlight w:val="white"/>
          <w:rtl w:val="0"/>
        </w:rPr>
        <w:t xml:space="preserve">Golovinomyces </w:t>
      </w:r>
      <w:r w:rsidDel="00000000" w:rsidR="00000000" w:rsidRPr="00000000">
        <w:rPr>
          <w:rFonts w:ascii="Times New Roman" w:cs="Times New Roman" w:eastAsia="Times New Roman" w:hAnsi="Times New Roman"/>
          <w:color w:val="252525"/>
          <w:sz w:val="24"/>
          <w:szCs w:val="24"/>
          <w:highlight w:val="white"/>
          <w:rtl w:val="0"/>
        </w:rPr>
        <w:t xml:space="preserve">(Medicinal Genomics). </w:t>
      </w:r>
    </w:p>
    <w:p w:rsidR="00000000" w:rsidDel="00000000" w:rsidP="00000000" w:rsidRDefault="00000000" w:rsidRPr="00000000" w14:paraId="0000002B">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05075" cy="317182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50507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12.1. Host plant of </w:t>
      </w:r>
      <w:r w:rsidDel="00000000" w:rsidR="00000000" w:rsidRPr="00000000">
        <w:rPr>
          <w:rFonts w:ascii="Times New Roman" w:cs="Times New Roman" w:eastAsia="Times New Roman" w:hAnsi="Times New Roman"/>
          <w:i w:val="1"/>
          <w:iCs w:val="1"/>
          <w:sz w:val="24"/>
          <w:szCs w:val="24"/>
          <w:rtl w:val="0"/>
        </w:rPr>
        <w:t xml:space="preserve">Cannabis sativa</w:t>
      </w:r>
      <w:r w:rsidDel="00000000" w:rsidR="00000000" w:rsidRPr="00000000">
        <w:rPr>
          <w:rFonts w:ascii="Times New Roman" w:cs="Times New Roman" w:eastAsia="Times New Roman" w:hAnsi="Times New Roman"/>
          <w:sz w:val="24"/>
          <w:szCs w:val="24"/>
          <w:rtl w:val="0"/>
        </w:rPr>
        <w:t xml:space="preserve"> being used to grow powdery mildew to inoculate future research projects for the development of powdery mildew controlling products. Since PM is obligate biotroph, researchers must keep PM alive on live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plants.</w:t>
      </w:r>
    </w:p>
    <w:p w:rsidR="00000000" w:rsidDel="00000000" w:rsidP="00000000" w:rsidRDefault="00000000" w:rsidRPr="00000000" w14:paraId="0000002D">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tl w:val="0"/>
        </w:rPr>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Powdery mildew is an obligate biotroph, meaning that it requires a host plant in order to complete its life cycle (live, grow, and reproduce). This characteristic makes obligate biotrophs incredibly difficult to study compared to saprophytic or necrotrophic fungi, since powdery mildews cannot be cultured in a petri dish or flask on nutrient media, rather they must be kept alive by growing the pathogen on a susceptible host plant (Fig. 1).</w:t>
      </w:r>
    </w:p>
    <w:p w:rsidR="00000000" w:rsidDel="00000000" w:rsidP="00000000" w:rsidRDefault="00000000" w:rsidRPr="00000000" w14:paraId="0000002F">
      <w:pPr>
        <w:spacing w:line="48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 As noted before, powdery mildew can be extremely difficult to identify, even with a microscope (Fig 2). The keys that are available use very small, difficult to see features to distinguish among powdery mildew fungi. A major diagnostic feature for the identification of powdery mildew anamorphs (asexual state) are characteristics of the appressorium following conidia germination. Teleomorph identification can take advantage of the often unique, and beautiful, ornamentation on the sexual fruiting bodies (chasmothecia).  However, chasmothecia are rarely formed on </w:t>
      </w:r>
      <w:r w:rsidDel="00000000" w:rsidR="00000000" w:rsidRPr="00000000">
        <w:rPr>
          <w:rFonts w:ascii="Times New Roman" w:cs="Times New Roman" w:eastAsia="Times New Roman" w:hAnsi="Times New Roman"/>
          <w:i w:val="1"/>
          <w:iCs w:val="1"/>
          <w:sz w:val="24"/>
          <w:szCs w:val="24"/>
          <w:rtl w:val="0"/>
        </w:rPr>
        <w:t xml:space="preserve">Cannabis. </w:t>
      </w:r>
    </w:p>
    <w:p w:rsidR="00000000" w:rsidDel="00000000" w:rsidP="00000000" w:rsidRDefault="00000000" w:rsidRPr="00000000" w14:paraId="00000030">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437288" cy="2633663"/>
            <wp:effectExtent b="0" l="0" r="0" t="0"/>
            <wp:docPr descr="https://lh3.googleusercontent.com/Am4kE0nTJ749i60NStCPXw6mI0FlpdrE8PDt-7nzh4qbInIzAd6qyaOjzzKrXZ8wVe27m6UtHww9HGcjhzRqu2pEqvFzPiq_hA-ftaA5Vlhog99ByTRMKzh1O21MsnRqHvCjs5VY" id="5" name="image2.jpg"/>
            <a:graphic>
              <a:graphicData uri="http://schemas.openxmlformats.org/drawingml/2006/picture">
                <pic:pic>
                  <pic:nvPicPr>
                    <pic:cNvPr descr="https://lh3.googleusercontent.com/Am4kE0nTJ749i60NStCPXw6mI0FlpdrE8PDt-7nzh4qbInIzAd6qyaOjzzKrXZ8wVe27m6UtHww9HGcjhzRqu2pEqvFzPiq_hA-ftaA5Vlhog99ByTRMKzh1O21MsnRqHvCjs5VY" id="0" name="image2.jpg"/>
                    <pic:cNvPicPr preferRelativeResize="0"/>
                  </pic:nvPicPr>
                  <pic:blipFill>
                    <a:blip r:embed="rId7"/>
                    <a:srcRect b="0" l="0" r="0" t="0"/>
                    <a:stretch>
                      <a:fillRect/>
                    </a:stretch>
                  </pic:blipFill>
                  <pic:spPr>
                    <a:xfrm>
                      <a:off x="0" y="0"/>
                      <a:ext cx="3437288"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40" w:lineRule="auto"/>
        <w:ind w:firstLine="72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Figure 12.2. Powdery mildew (</w:t>
      </w:r>
      <w:r w:rsidDel="00000000" w:rsidR="00000000" w:rsidRPr="00000000">
        <w:rPr>
          <w:rFonts w:ascii="Times New Roman" w:cs="Times New Roman" w:eastAsia="Times New Roman" w:hAnsi="Times New Roman"/>
          <w:i w:val="1"/>
          <w:iCs w:val="1"/>
          <w:sz w:val="24"/>
          <w:szCs w:val="24"/>
          <w:rtl w:val="0"/>
        </w:rPr>
        <w:t xml:space="preserve">Golovinomyces ambrosiae</w:t>
      </w:r>
      <w:r w:rsidDel="00000000" w:rsidR="00000000" w:rsidRPr="00000000">
        <w:rPr>
          <w:rFonts w:ascii="Times New Roman" w:cs="Times New Roman" w:eastAsia="Times New Roman" w:hAnsi="Times New Roman"/>
          <w:sz w:val="24"/>
          <w:szCs w:val="24"/>
          <w:rtl w:val="0"/>
        </w:rPr>
        <w:t xml:space="preserve">) conidiophore found on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leaf surface grown in a greenhouse in Oregon. Tape mount at 40x</w:t>
      </w:r>
      <w:r w:rsidDel="00000000" w:rsidR="00000000" w:rsidRPr="00000000">
        <w:rPr>
          <w:rtl w:val="0"/>
        </w:rPr>
      </w:r>
    </w:p>
    <w:p w:rsidR="00000000" w:rsidDel="00000000" w:rsidP="00000000" w:rsidRDefault="00000000" w:rsidRPr="00000000" w14:paraId="00000032">
      <w:pPr>
        <w:spacing w:line="480" w:lineRule="auto"/>
        <w:ind w:firstLine="720"/>
        <w:rPr>
          <w:rFonts w:ascii="Times New Roman" w:cs="Times New Roman" w:eastAsia="Times New Roman" w:hAnsi="Times New Roman"/>
          <w:color w:val="252525"/>
          <w:sz w:val="24"/>
          <w:szCs w:val="24"/>
          <w:highlight w:val="white"/>
        </w:rPr>
      </w:pP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identification of many anamorphs is very difficult by diagnostic characters alone, and benefits from molecular techniques. Molecular techniques such as polymerase chain reaction (PCR) have enabled great strides in genetic sequencing, however these approaches also have limitations and are not widely available outside of academia and specialized private labs. Among fungi, the inter transcribed spacer (ITS) and ribosomal RNA of the large subunit (LSU rRNA) have often been used for phylogenetic analysis. Increasingly groups of genes are used to develop a consensus phylogeny, since single gene phylogenies based on the ITS sequence have been shown to be prone to error. </w:t>
      </w:r>
    </w:p>
    <w:p w:rsidR="00000000" w:rsidDel="00000000" w:rsidP="00000000" w:rsidRDefault="00000000" w:rsidRPr="00000000" w14:paraId="000000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many other groups of fungi, the taxonomy of the Erysiphales (powdery mildews) is in a state of flux. As our understanding of the evolutionary relationships of each discrete species improves, names are changed and species are moved among taxonomic groupings so that our taxonomic system increasingly represents underlying phylogenetic relationships. There are certainly more than one species of Erysiphales affecting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which may have differing geographical distributions and host ranges. Definitive knowledge of the identity and geographic range of powdery mildew affecting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as well as alternate host-plant species, will advance the ability of cultivators to effectively control pathogen outbreaks. It is likely that at least one of the PM species affecting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cultivators in North America has a relatively broad host range. </w:t>
      </w:r>
    </w:p>
    <w:p w:rsidR="00000000" w:rsidDel="00000000" w:rsidP="00000000" w:rsidRDefault="00000000" w:rsidRPr="00000000" w14:paraId="00000035">
      <w:pPr>
        <w:spacing w:line="240" w:lineRule="auto"/>
        <w:ind w:firstLine="720"/>
        <w:jc w:val="center"/>
        <w:rPr>
          <w:color w:val="222222"/>
          <w:sz w:val="24"/>
          <w:szCs w:val="24"/>
          <w:highlight w:val="white"/>
        </w:rPr>
      </w:pPr>
      <w:r w:rsidDel="00000000" w:rsidR="00000000" w:rsidRPr="00000000">
        <w:rPr>
          <w:color w:val="222222"/>
          <w:sz w:val="24"/>
          <w:szCs w:val="24"/>
          <w:highlight w:val="white"/>
        </w:rPr>
        <w:drawing>
          <wp:inline distB="114300" distT="114300" distL="114300" distR="114300">
            <wp:extent cx="3833813" cy="432442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33813" cy="432442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SEM of powdery mildew conidia germinating on Cannabis buds. (Punja 2018)</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occasional debate in the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industry is whether or not powdery mildews are systemic. All the peer-reviewed scientific evidence currently available, in combination with direct observation and knowledge of fungal biology, points to powdery mildew not being systemic. For a pathogen to be systemic, the pathogen would be able to infect one point on the plant (say a leaf) and then travel within the plant to infect other, distant plant parts. Powdery mildews typically form superficial infections restricted to the epidermal tissue (Fig 3). Some species are known to penetrate into the deeper palisade layers of the mesophyll. Some form localized infections into the petiole. But no powdery mildew in the entire Order Erysiphales are known to form extensive systemic infections within their respective plant host (Uwe Braun, personal communication).  </w:t>
      </w:r>
    </w:p>
    <w:p w:rsidR="00000000" w:rsidDel="00000000" w:rsidP="00000000" w:rsidRDefault="00000000" w:rsidRPr="00000000" w14:paraId="00000038">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6600" cy="3288895"/>
            <wp:effectExtent b="0" l="0" r="0" t="0"/>
            <wp:docPr id="6" name="image5.jpg"/>
            <a:graphic>
              <a:graphicData uri="http://schemas.openxmlformats.org/drawingml/2006/picture">
                <pic:pic>
                  <pic:nvPicPr>
                    <pic:cNvPr id="0" name="image5.jpg"/>
                    <pic:cNvPicPr preferRelativeResize="0"/>
                  </pic:nvPicPr>
                  <pic:blipFill>
                    <a:blip r:embed="rId9"/>
                    <a:srcRect b="5315" l="2243" r="4486" t="4360"/>
                    <a:stretch>
                      <a:fillRect/>
                    </a:stretch>
                  </pic:blipFill>
                  <pic:spPr>
                    <a:xfrm>
                      <a:off x="0" y="0"/>
                      <a:ext cx="3276600" cy="328889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12.4. </w:t>
      </w:r>
      <w:r w:rsidDel="00000000" w:rsidR="00000000" w:rsidRPr="00000000">
        <w:rPr>
          <w:rFonts w:ascii="Times New Roman" w:cs="Times New Roman" w:eastAsia="Times New Roman" w:hAnsi="Times New Roman"/>
          <w:i w:val="1"/>
          <w:iCs w:val="1"/>
          <w:sz w:val="24"/>
          <w:szCs w:val="24"/>
          <w:rtl w:val="0"/>
        </w:rPr>
        <w:t xml:space="preserve">Golovinomyces ambrosiae </w:t>
      </w:r>
      <w:r w:rsidDel="00000000" w:rsidR="00000000" w:rsidRPr="00000000">
        <w:rPr>
          <w:rFonts w:ascii="Times New Roman" w:cs="Times New Roman" w:eastAsia="Times New Roman" w:hAnsi="Times New Roman"/>
          <w:sz w:val="24"/>
          <w:szCs w:val="24"/>
          <w:rtl w:val="0"/>
        </w:rPr>
        <w:t xml:space="preserve">on a Cannabis leaf (Brandon Potterdissecting scope, Cottage Grove Oregon 2021.)</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Farmers often observe large outbreaks on individual plants, fail to take clean clones from plants with infection elsewhere, or experience vertical, seed borne transmission; all of these suggest systemic infection. However, powdery mildews prolifically produce spores. The spores are then wind and animal dispersed, quickly traveling from one part of a plant to another or even throughout an entire garden. Therefore, once you spot the fluffy white mass growing on a plant, the fungus has most likely already begun to produce spores and it is almost guaranteed that there are other PM spores in the air (Fig 4). Seemingly systemic infections are actually the coalescence of individual colonies, each representing a different infection point. </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powdery mildew colonies almost always manifest as circular growths indicates they are individual colonies. This is analogous to fairy rings or colonies in petri dishes, which expand outward from an original inoculation point in every direction. Seed borne transmission of powdery mildew is possible, however it is exclusively (or nearly so) due to conidia on the seed surface, rather than an infection within the embryonic plant body. Because of this, seed borne infections of powdery mildew can be prevented by surface sterilizing seed prior to planting. </w:t>
      </w:r>
    </w:p>
    <w:p w:rsidR="00000000" w:rsidDel="00000000" w:rsidP="00000000" w:rsidRDefault="00000000" w:rsidRPr="00000000" w14:paraId="0000003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Biology &amp; Life cycle</w:t>
      </w:r>
      <w:r w:rsidDel="00000000" w:rsidR="00000000" w:rsidRPr="00000000">
        <w:rPr>
          <w:rtl w:val="0"/>
        </w:rPr>
      </w:r>
    </w:p>
    <w:p w:rsidR="00000000" w:rsidDel="00000000" w:rsidP="00000000" w:rsidRDefault="00000000" w:rsidRPr="00000000" w14:paraId="0000003E">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3638329"/>
            <wp:effectExtent b="0" l="0" r="0" t="0"/>
            <wp:docPr descr="Illustration diagram of powdery mildew on cannabis leaves (macro &amp; micro views)" id="1" name="image1.jpg"/>
            <a:graphic>
              <a:graphicData uri="http://schemas.openxmlformats.org/drawingml/2006/picture">
                <pic:pic>
                  <pic:nvPicPr>
                    <pic:cNvPr descr="Illustration diagram of powdery mildew on cannabis leaves (macro &amp; micro views)" id="0" name="image1.jpg"/>
                    <pic:cNvPicPr preferRelativeResize="0"/>
                  </pic:nvPicPr>
                  <pic:blipFill>
                    <a:blip r:embed="rId10"/>
                    <a:srcRect b="0" l="0" r="0" t="0"/>
                    <a:stretch>
                      <a:fillRect/>
                    </a:stretch>
                  </pic:blipFill>
                  <pic:spPr>
                    <a:xfrm>
                      <a:off x="0" y="0"/>
                      <a:ext cx="5033963" cy="3638329"/>
                    </a:xfrm>
                    <a:prstGeom prst="rect"/>
                    <a:ln/>
                  </pic:spPr>
                </pic:pic>
              </a:graphicData>
            </a:graphic>
          </wp:inline>
        </w:drawing>
      </w:r>
      <w:r w:rsidDel="00000000" w:rsidR="00000000" w:rsidRPr="00000000">
        <w:rPr>
          <w:color w:val="555555"/>
          <w:sz w:val="21"/>
          <w:szCs w:val="21"/>
          <w:highlight w:val="white"/>
          <w:rtl w:val="0"/>
        </w:rPr>
        <w:t xml:space="preserve"> </w:t>
      </w:r>
      <w:r w:rsidDel="00000000" w:rsidR="00000000" w:rsidRPr="00000000">
        <w:rPr>
          <w:rtl w:val="0"/>
        </w:rPr>
      </w:r>
    </w:p>
    <w:p w:rsidR="00000000" w:rsidDel="00000000" w:rsidP="00000000" w:rsidRDefault="00000000" w:rsidRPr="00000000" w14:paraId="0000003F">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12.5 Life cycle of powdery mildew on cannabis leaf (from Carlson Stock Art…pay $299.99)</w:t>
      </w:r>
    </w:p>
    <w:p w:rsidR="00000000" w:rsidDel="00000000" w:rsidP="00000000" w:rsidRDefault="00000000" w:rsidRPr="00000000" w14:paraId="00000040">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 of a powdery mildew begins, like other ascomycete fungi, with a spore (either a sexual ascospore or an asexual conidium) (Fig. 5).When a spore lands on an area that is suitable for growth it will form a germ tube, a primary hyphae strand. The hyphae will grow from stored energy, but quickly need access to nutrients for survival. </w:t>
      </w:r>
    </w:p>
    <w:p w:rsidR="00000000" w:rsidDel="00000000" w:rsidP="00000000" w:rsidRDefault="00000000" w:rsidRPr="00000000" w14:paraId="00000042">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obligate parasite, PM must invade host tissue in order to siphon off nutrition.  In order to gain access to host tissue, a specialized structure, called an appressorium, capable of exerting high amounts of pressure onto a concentrated point on the plant surface is formed by the developing fungi (Fig. 6). Often appressoria will form above inherent weaknesses, such as directly above a stomata or at the meeting point between two epidermal cells. While a pressure peg exerts force on the leaf surface the hyphae also releases enzymes that degrade the cuticle and cell walls of the plant tissue it is trying to penetrate. If successful, the puncture peg will form a hole into the plant body through which it extends a specialized hypha termed, haustorium. </w:t>
      </w:r>
    </w:p>
    <w:p w:rsidR="00000000" w:rsidDel="00000000" w:rsidP="00000000" w:rsidRDefault="00000000" w:rsidRPr="00000000" w14:paraId="000000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Haustoria are lobed, prong-like projections able to penetrate the cell wall of plant cells (though not the membrane).  The haustorium becomes engulfed by the plant's plasma membrane, allowing the fungus  to absorb nutrients from the plant in the extracellular space between the plant cell membrane and wall.  A specialized, convoluted membrane is formed by the fungus within the space (called the extrahaustorial matrix) along the plant membrane in order to maximize the surface area across which it may absorb nutrients (Micali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2010). The fungus now has a source of nutrients to continue to grow and mature and translocates this food throughout its entire body -including the epiphytic portions (Fig 5).</w:t>
      </w:r>
    </w:p>
    <w:p w:rsidR="00000000" w:rsidDel="00000000" w:rsidP="00000000" w:rsidRDefault="00000000" w:rsidRPr="00000000" w14:paraId="000000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mycelium can now form secondary hyphae which continue to spread endophytically to nearby plant cells, as well as epiphytically over the leaf surface and produce additional appresoria to create new points of invasion through which the fungus may access more areas of the plant body. After a short period of vegetative growth in a conducive environment, the fungus will produce conidiophores. Erysiphales are capable of producing conidia in great numbers. </w:t>
      </w:r>
    </w:p>
    <w:p w:rsidR="00000000" w:rsidDel="00000000" w:rsidP="00000000" w:rsidRDefault="00000000" w:rsidRPr="00000000" w14:paraId="000000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recently, only the asexual state had been observed on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Szarka et al, however, observed </w:t>
      </w:r>
      <w:r w:rsidDel="00000000" w:rsidR="00000000" w:rsidRPr="00000000">
        <w:rPr>
          <w:rFonts w:ascii="Times New Roman" w:cs="Times New Roman" w:eastAsia="Times New Roman" w:hAnsi="Times New Roman"/>
          <w:i w:val="1"/>
          <w:iCs w:val="1"/>
          <w:sz w:val="24"/>
          <w:szCs w:val="24"/>
          <w:rtl w:val="0"/>
        </w:rPr>
        <w:t xml:space="preserve">G. spadiceus</w:t>
      </w:r>
      <w:r w:rsidDel="00000000" w:rsidR="00000000" w:rsidRPr="00000000">
        <w:rPr>
          <w:rFonts w:ascii="Times New Roman" w:cs="Times New Roman" w:eastAsia="Times New Roman" w:hAnsi="Times New Roman"/>
          <w:sz w:val="24"/>
          <w:szCs w:val="24"/>
          <w:rtl w:val="0"/>
        </w:rPr>
        <w:t xml:space="preserve"> readily forming chasmothecia in autumn on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 Kentucky (2019). </w:t>
      </w:r>
      <w:r w:rsidDel="00000000" w:rsidR="00000000" w:rsidRPr="00000000">
        <w:rPr>
          <w:rFonts w:ascii="Times New Roman" w:cs="Times New Roman" w:eastAsia="Times New Roman" w:hAnsi="Times New Roman"/>
          <w:i w:val="1"/>
          <w:iCs w:val="1"/>
          <w:sz w:val="24"/>
          <w:szCs w:val="24"/>
          <w:rtl w:val="0"/>
        </w:rPr>
        <w:t xml:space="preserve">Podosphera macularis</w:t>
      </w:r>
      <w:r w:rsidDel="00000000" w:rsidR="00000000" w:rsidRPr="00000000">
        <w:rPr>
          <w:rFonts w:ascii="Times New Roman" w:cs="Times New Roman" w:eastAsia="Times New Roman" w:hAnsi="Times New Roman"/>
          <w:sz w:val="24"/>
          <w:szCs w:val="24"/>
          <w:rtl w:val="0"/>
        </w:rPr>
        <w:t xml:space="preserve"> is also capable of forming chasmothecia on cannabis plants (Weldon et al, 2020). Chasmothecia  (or formerly, cleistothecia), are the sexual structures formed by members of the Erisyphales (Fig. 6). They appear as dark, spherical structures made of tightly interwoven hyphae with simple appendages. Inside the chasmothecia are multiple-many asci, each containing 8 ascospores (Fig. 6). Once the asci and ascospores are mature, the chasmothecium will burst and the spores will be released and dispersed into the environment.  </w:t>
      </w:r>
    </w:p>
    <w:p w:rsidR="00000000" w:rsidDel="00000000" w:rsidP="00000000" w:rsidRDefault="00000000" w:rsidRPr="00000000" w14:paraId="00000047">
      <w:pP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89493" cy="2304455"/>
            <wp:effectExtent b="0" l="0" r="0" t="0"/>
            <wp:docPr id="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589493" cy="230445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12.6 Powdery mildew chasmothecia releasing sexual ascospores. Photo credit to Dr. N. Gauthier.</w:t>
      </w:r>
    </w:p>
    <w:p w:rsidR="00000000" w:rsidDel="00000000" w:rsidP="00000000" w:rsidRDefault="00000000" w:rsidRPr="00000000" w14:paraId="00000049">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usual lack of chasmothecia on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among may indicate a biological impediment to fruiting body formation when the most common powdery mildew species infects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If so, there may be alternate hosts on which the sexual stage of the pathogen occurs. Alternatively, these races affecting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may have lost their sexual state, or such asexual populations are isolated from compatible mating types and only exist exclusively as an anamorph locally. </w:t>
      </w:r>
    </w:p>
    <w:p w:rsidR="00000000" w:rsidDel="00000000" w:rsidP="00000000" w:rsidRDefault="00000000" w:rsidRPr="00000000" w14:paraId="000000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current state of the</w:t>
      </w:r>
      <w:r w:rsidDel="00000000" w:rsidR="00000000" w:rsidRPr="00000000">
        <w:rPr>
          <w:rFonts w:ascii="Times New Roman" w:cs="Times New Roman" w:eastAsia="Times New Roman" w:hAnsi="Times New Roman"/>
          <w:i w:val="1"/>
          <w:iCs w:val="1"/>
          <w:sz w:val="24"/>
          <w:szCs w:val="24"/>
          <w:rtl w:val="0"/>
        </w:rPr>
        <w:t xml:space="preserve"> P. macularis </w:t>
      </w:r>
      <w:r w:rsidDel="00000000" w:rsidR="00000000" w:rsidRPr="00000000">
        <w:rPr>
          <w:rFonts w:ascii="Times New Roman" w:cs="Times New Roman" w:eastAsia="Times New Roman" w:hAnsi="Times New Roman"/>
          <w:sz w:val="24"/>
          <w:szCs w:val="24"/>
          <w:rtl w:val="0"/>
        </w:rPr>
        <w:t xml:space="preserve">population in the Pacific Northwest, where currently only the MAT1-1 type is known. Currently there is a quarantine targeting hop powdery mildew in the United States to prevent the introduction of the MAT1-2 mating type into the Northwest.  The production of chasmothecia on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by </w:t>
      </w:r>
      <w:r w:rsidDel="00000000" w:rsidR="00000000" w:rsidRPr="00000000">
        <w:rPr>
          <w:rFonts w:ascii="Times New Roman" w:cs="Times New Roman" w:eastAsia="Times New Roman" w:hAnsi="Times New Roman"/>
          <w:i w:val="1"/>
          <w:iCs w:val="1"/>
          <w:sz w:val="24"/>
          <w:szCs w:val="24"/>
          <w:rtl w:val="0"/>
        </w:rPr>
        <w:t xml:space="preserve">P. macularis </w:t>
      </w:r>
      <w:r w:rsidDel="00000000" w:rsidR="00000000" w:rsidRPr="00000000">
        <w:rPr>
          <w:rFonts w:ascii="Times New Roman" w:cs="Times New Roman" w:eastAsia="Times New Roman" w:hAnsi="Times New Roman"/>
          <w:sz w:val="24"/>
          <w:szCs w:val="24"/>
          <w:rtl w:val="0"/>
        </w:rPr>
        <w:t xml:space="preserve">presents risk to the hop and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industries throughout the US by potentially facilitating the spread of sexual mating types into the PNW, which would be followed by a proliferation of pathovar genetic diversity (Weldon et al, 2020).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may also serve to move dangerous pathovars that are emerging in the PNW to new areas. </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Powdery mildew can overwinter in the form of this resistant chasmothecia structure. Therefore PM can lay dormant in your soils or fields and then when the environment is sufficient for growth, the chasmothecia will open and release spores into the wind. If the spores land on a suitable host, the spore will germinate, a germ tube will form and the life cycle begins again (Fig. 5).</w:t>
      </w:r>
    </w:p>
    <w:p w:rsidR="00000000" w:rsidDel="00000000" w:rsidP="00000000" w:rsidRDefault="00000000" w:rsidRPr="00000000" w14:paraId="0000004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b w:val="1"/>
          <w:bCs w:val="1"/>
          <w:color w:val="252525"/>
          <w:sz w:val="23"/>
          <w:szCs w:val="23"/>
          <w:highlight w:val="white"/>
        </w:rPr>
      </w:pPr>
      <w:r w:rsidDel="00000000" w:rsidR="00000000" w:rsidRPr="00000000">
        <w:rPr>
          <w:rFonts w:ascii="Times New Roman" w:cs="Times New Roman" w:eastAsia="Times New Roman" w:hAnsi="Times New Roman"/>
          <w:b w:val="1"/>
          <w:bCs w:val="1"/>
          <w:color w:val="252525"/>
          <w:sz w:val="23"/>
          <w:szCs w:val="23"/>
          <w:highlight w:val="white"/>
          <w:rtl w:val="0"/>
        </w:rPr>
        <w:t xml:space="preserve">Prevention </w:t>
      </w:r>
    </w:p>
    <w:p w:rsidR="00000000" w:rsidDel="00000000" w:rsidP="00000000" w:rsidRDefault="00000000" w:rsidRPr="00000000" w14:paraId="0000005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wide variety of treatments for powdery mildew, both at the store and in the literature, and everyone seems to have their own opinions on what works best at what time. The proverb that an ounce of prevention is worth a pound of treatment is especially true when it comes to fungal diseases. The best way to deal with PM is to never get it in the first place. This is accomplished by having a robust IPM program, including set scouting schedules and good cultural practices. </w:t>
      </w:r>
    </w:p>
    <w:p w:rsidR="00000000" w:rsidDel="00000000" w:rsidP="00000000" w:rsidRDefault="00000000" w:rsidRPr="00000000" w14:paraId="000000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general, PM species affecting </w:t>
      </w:r>
      <w:r w:rsidDel="00000000" w:rsidR="00000000" w:rsidRPr="00000000">
        <w:rPr>
          <w:rFonts w:ascii="Times New Roman" w:cs="Times New Roman" w:eastAsia="Times New Roman" w:hAnsi="Times New Roman"/>
          <w:i w:val="1"/>
          <w:iCs w:val="1"/>
          <w:sz w:val="24"/>
          <w:szCs w:val="24"/>
          <w:rtl w:val="0"/>
        </w:rPr>
        <w:t xml:space="preserve">Cannabis</w:t>
      </w:r>
      <w:r w:rsidDel="00000000" w:rsidR="00000000" w:rsidRPr="00000000">
        <w:rPr>
          <w:rFonts w:ascii="Times New Roman" w:cs="Times New Roman" w:eastAsia="Times New Roman" w:hAnsi="Times New Roman"/>
          <w:sz w:val="24"/>
          <w:szCs w:val="24"/>
          <w:rtl w:val="0"/>
        </w:rPr>
        <w:t xml:space="preserve"> thrive in warm, humid, and poorly lit conditions. Anywhere from 60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F to 85</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F and humidity levels above 75% can create an ideal habitat for these fungi (Amsalem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2006). Additionally, variable humidity is necessary for the dissemination and subsequent germination of spores to create new infections (Dewey Scientific, Cannabis cultivation podcast 2021). Spores are able to spread during periods of low humidity and are able to germinate at high humidity. Large swings in day/night temperature and humidity can exacerbate the issue with some PM species (</w:t>
      </w:r>
      <w:r w:rsidDel="00000000" w:rsidR="00000000" w:rsidRPr="00000000">
        <w:rPr>
          <w:rFonts w:ascii="Times New Roman" w:cs="Times New Roman" w:eastAsia="Times New Roman" w:hAnsi="Times New Roman"/>
          <w:color w:val="222222"/>
          <w:sz w:val="24"/>
          <w:szCs w:val="24"/>
          <w:highlight w:val="white"/>
          <w:rtl w:val="0"/>
        </w:rPr>
        <w:t xml:space="preserve">Mahaffee </w:t>
      </w:r>
      <w:r w:rsidDel="00000000" w:rsidR="00000000" w:rsidRPr="00000000">
        <w:rPr>
          <w:rFonts w:ascii="Times New Roman" w:cs="Times New Roman" w:eastAsia="Times New Roman" w:hAnsi="Times New Roman"/>
          <w:i w:val="1"/>
          <w:iCs w:val="1"/>
          <w:color w:val="222222"/>
          <w:sz w:val="24"/>
          <w:szCs w:val="24"/>
          <w:highlight w:val="white"/>
          <w:rtl w:val="0"/>
        </w:rPr>
        <w:t xml:space="preserve">et al</w:t>
      </w:r>
      <w:r w:rsidDel="00000000" w:rsidR="00000000" w:rsidRPr="00000000">
        <w:rPr>
          <w:rFonts w:ascii="Times New Roman" w:cs="Times New Roman" w:eastAsia="Times New Roman" w:hAnsi="Times New Roman"/>
          <w:color w:val="222222"/>
          <w:sz w:val="24"/>
          <w:szCs w:val="24"/>
          <w:highlight w:val="white"/>
          <w:rtl w:val="0"/>
        </w:rPr>
        <w:t xml:space="preserve">. 2003)</w:t>
      </w:r>
      <w:r w:rsidDel="00000000" w:rsidR="00000000" w:rsidRPr="00000000">
        <w:rPr>
          <w:rFonts w:ascii="Times New Roman" w:cs="Times New Roman" w:eastAsia="Times New Roman" w:hAnsi="Times New Roman"/>
          <w:sz w:val="24"/>
          <w:szCs w:val="24"/>
          <w:rtl w:val="0"/>
        </w:rPr>
        <w:t xml:space="preserve">. Higher light intensity is also associated with reduced disease incidence, with the shaded interiors of canopies being most at risk for PM infection (Amsalem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2006).  </w:t>
      </w:r>
    </w:p>
    <w:p w:rsidR="00000000" w:rsidDel="00000000" w:rsidP="00000000" w:rsidRDefault="00000000" w:rsidRPr="00000000" w14:paraId="000000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growers clean out the interior of canopies by defoliating and removing plant tissue, believing increased airflow will reduce powdery mildew infections. While this may actually reduce infections, the practice is likely effective due to increased light penetration, rather than or in addition to a localized reduction in canopy humidity. However, some researchers have noted that after harvesting equipment goes through the field and agitates plant biomass, disease pressure is increased (Correll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1988). Regardless, maintaining a canopy with good light penetration and airflow seems to reduce PM incidence and severity. </w:t>
      </w:r>
    </w:p>
    <w:p w:rsidR="00000000" w:rsidDel="00000000" w:rsidP="00000000" w:rsidRDefault="00000000" w:rsidRPr="00000000" w14:paraId="000000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different species of powdery mildews will have slightly different ecological niches and may respond differently to cultural controls. As the science progresses and the species causing disease in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are better understood, more specific measures can be taken to help control PM. For instance, alternate hosts may be a significant factor in maintaining a reservoir for PM innocula. Knowing what other plant species are capable of serving as alternate hosts for the relevant PM species will greatly assist growers in keeping the local area clear of PM.  </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preventative treatments, biological sprays and root drenches are recommended (Table 12.2). A strong resident microbial community, both in your soil and in the phyllosphere (area surrounding leaf surface), has been shown to increase plants’ innate resistance to pathogens.  Prophylactic treatment with compost teas have been shown to effectively reduce fungal diseases under field conditions (Weltzien, 1989). The logic here is that you will be inoculating the leaf surfaces with a growing community of healthy microbes. Many endophytic microbes are able to travel from the roots into aerial plant portions, so foliar sprays are not necessarily required to cause full-plant infection. Beneficial microbes act in myriad ways to reduce PM infections.</w:t>
      </w:r>
    </w:p>
    <w:p w:rsidR="00000000" w:rsidDel="00000000" w:rsidP="00000000" w:rsidRDefault="00000000" w:rsidRPr="00000000" w14:paraId="0000005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Biological sprays could be a compost tea, a mixture of effective microorganisms, or plant fermentations (Weltzien, 1989). Commercial products are available of </w:t>
      </w:r>
      <w:r w:rsidDel="00000000" w:rsidR="00000000" w:rsidRPr="00000000">
        <w:rPr>
          <w:rFonts w:ascii="Times New Roman" w:cs="Times New Roman" w:eastAsia="Times New Roman" w:hAnsi="Times New Roman"/>
          <w:i w:val="1"/>
          <w:iCs w:val="1"/>
          <w:sz w:val="24"/>
          <w:szCs w:val="24"/>
          <w:rtl w:val="0"/>
        </w:rPr>
        <w:t xml:space="preserve">Bacillus subtilis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Bacillus amyloliquefaciens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Lactobacillus </w:t>
      </w:r>
      <w:r w:rsidDel="00000000" w:rsidR="00000000" w:rsidRPr="00000000">
        <w:rPr>
          <w:rFonts w:ascii="Times New Roman" w:cs="Times New Roman" w:eastAsia="Times New Roman" w:hAnsi="Times New Roman"/>
          <w:sz w:val="24"/>
          <w:szCs w:val="24"/>
          <w:rtl w:val="0"/>
        </w:rPr>
        <w:t xml:space="preserve">species, </w:t>
      </w:r>
      <w:r w:rsidDel="00000000" w:rsidR="00000000" w:rsidRPr="00000000">
        <w:rPr>
          <w:rFonts w:ascii="Times New Roman" w:cs="Times New Roman" w:eastAsia="Times New Roman" w:hAnsi="Times New Roman"/>
          <w:i w:val="1"/>
          <w:iCs w:val="1"/>
          <w:sz w:val="24"/>
          <w:szCs w:val="24"/>
          <w:rtl w:val="0"/>
        </w:rPr>
        <w:t xml:space="preserve">Streptomyces lydicus</w:t>
      </w:r>
      <w:r w:rsidDel="00000000" w:rsidR="00000000" w:rsidRPr="00000000">
        <w:rPr>
          <w:rFonts w:ascii="Times New Roman" w:cs="Times New Roman" w:eastAsia="Times New Roman" w:hAnsi="Times New Roman"/>
          <w:sz w:val="24"/>
          <w:szCs w:val="24"/>
          <w:rtl w:val="0"/>
        </w:rPr>
        <w:t xml:space="preserve">, and many others. Most of these commercial and naturally occurring symbionts act similarly (pathogen niche occupation, and by activating plant ISR). However, some directly antagonize disease organisms by producing antifungal compounds or acting as hyperparasites (Romero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2006).  </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Streptomyces lydicus</w:t>
      </w:r>
      <w:r w:rsidDel="00000000" w:rsidR="00000000" w:rsidRPr="00000000">
        <w:rPr>
          <w:rFonts w:ascii="Times New Roman" w:cs="Times New Roman" w:eastAsia="Times New Roman" w:hAnsi="Times New Roman"/>
          <w:sz w:val="24"/>
          <w:szCs w:val="24"/>
          <w:rtl w:val="0"/>
        </w:rPr>
        <w:t xml:space="preserve"> is an example of a microorganism that impedes powdery mildew growth through chemical defenses. This soil dwelling actinobacterium (filamentous bacterium) produces many different novel metabolites. Some of these compounds that are excreted are antifungal and antibiotic in nature, and thus are very important in the agricultural and pharmacological industries. </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Natamycin is one such anti-fungal compound produced by </w:t>
      </w:r>
      <w:r w:rsidDel="00000000" w:rsidR="00000000" w:rsidRPr="00000000">
        <w:rPr>
          <w:rFonts w:ascii="Times New Roman" w:cs="Times New Roman" w:eastAsia="Times New Roman" w:hAnsi="Times New Roman"/>
          <w:i w:val="1"/>
          <w:iCs w:val="1"/>
          <w:sz w:val="24"/>
          <w:szCs w:val="24"/>
          <w:rtl w:val="0"/>
        </w:rPr>
        <w:t xml:space="preserve">Streptomyces lydicus </w:t>
      </w:r>
      <w:r w:rsidDel="00000000" w:rsidR="00000000" w:rsidRPr="00000000">
        <w:rPr>
          <w:rFonts w:ascii="Times New Roman" w:cs="Times New Roman" w:eastAsia="Times New Roman" w:hAnsi="Times New Roman"/>
          <w:sz w:val="24"/>
          <w:szCs w:val="24"/>
          <w:rtl w:val="0"/>
        </w:rPr>
        <w:t xml:space="preserve">(Atta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2012).</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compound will bind to ergosterol in the plasma membrane of fungi and inhibit protein transport, thus starving fungal cells of key nutrients and components they need to continue living eventually leading to the death of the fungus (Welscher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2008). Natamycin is a broad spectrum antifungal compound and will target any fungus that contains ergosterol in the membrane (Atta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2012). </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Strains of </w:t>
      </w:r>
      <w:r w:rsidDel="00000000" w:rsidR="00000000" w:rsidRPr="00000000">
        <w:rPr>
          <w:rFonts w:ascii="Times New Roman" w:cs="Times New Roman" w:eastAsia="Times New Roman" w:hAnsi="Times New Roman"/>
          <w:i w:val="1"/>
          <w:iCs w:val="1"/>
          <w:sz w:val="24"/>
          <w:szCs w:val="24"/>
          <w:rtl w:val="0"/>
        </w:rPr>
        <w:t xml:space="preserve">Bacillus subtilis</w:t>
      </w:r>
      <w:r w:rsidDel="00000000" w:rsidR="00000000" w:rsidRPr="00000000">
        <w:rPr>
          <w:rFonts w:ascii="Times New Roman" w:cs="Times New Roman" w:eastAsia="Times New Roman" w:hAnsi="Times New Roman"/>
          <w:sz w:val="24"/>
          <w:szCs w:val="24"/>
          <w:rtl w:val="0"/>
        </w:rPr>
        <w:t xml:space="preserve"> have been shown to be effective at suppressing powdery mildews as well (Shoda, 2000). This is a very competitive bacterial species that is able to persist in harsh environments through the production of spores. In addition to being able to readily colonize leaf tissue, some </w:t>
      </w:r>
      <w:r w:rsidDel="00000000" w:rsidR="00000000" w:rsidRPr="00000000">
        <w:rPr>
          <w:rFonts w:ascii="Times New Roman" w:cs="Times New Roman" w:eastAsia="Times New Roman" w:hAnsi="Times New Roman"/>
          <w:i w:val="1"/>
          <w:iCs w:val="1"/>
          <w:sz w:val="24"/>
          <w:szCs w:val="24"/>
          <w:rtl w:val="0"/>
        </w:rPr>
        <w:t xml:space="preserve">B. subtilis</w:t>
      </w:r>
      <w:r w:rsidDel="00000000" w:rsidR="00000000" w:rsidRPr="00000000">
        <w:rPr>
          <w:rFonts w:ascii="Times New Roman" w:cs="Times New Roman" w:eastAsia="Times New Roman" w:hAnsi="Times New Roman"/>
          <w:sz w:val="24"/>
          <w:szCs w:val="24"/>
          <w:rtl w:val="0"/>
        </w:rPr>
        <w:t xml:space="preserve"> stains produce myriad antifungal compounds including surfactin, fengycin, and iturin A or bacillomycin that enable this microbe to outcompete pathogens (Romero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2007).</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Alternate modes of action that biocontrol agents (BCA’s) are effective at reducing powdery mildew outbreaks is through the use of fungi that parasitize the pathogen targeted for elimination. In particular, </w:t>
      </w:r>
      <w:r w:rsidDel="00000000" w:rsidR="00000000" w:rsidRPr="00000000">
        <w:rPr>
          <w:rFonts w:ascii="Times New Roman" w:cs="Times New Roman" w:eastAsia="Times New Roman" w:hAnsi="Times New Roman"/>
          <w:i w:val="1"/>
          <w:iCs w:val="1"/>
          <w:sz w:val="24"/>
          <w:szCs w:val="24"/>
          <w:rtl w:val="0"/>
        </w:rPr>
        <w:t xml:space="preserve">Ampelomyces quisqualis </w:t>
      </w:r>
      <w:r w:rsidDel="00000000" w:rsidR="00000000" w:rsidRPr="00000000">
        <w:rPr>
          <w:rFonts w:ascii="Times New Roman" w:cs="Times New Roman" w:eastAsia="Times New Roman" w:hAnsi="Times New Roman"/>
          <w:sz w:val="24"/>
          <w:szCs w:val="24"/>
          <w:rtl w:val="0"/>
        </w:rPr>
        <w:t xml:space="preserve">is a hyperparasite on some powdery mildew fungi. A conidial suspension is typically prepared and then applied to infected plants. Once the conidia of the hyperparasite land on the PM, </w:t>
      </w:r>
      <w:r w:rsidDel="00000000" w:rsidR="00000000" w:rsidRPr="00000000">
        <w:rPr>
          <w:rFonts w:ascii="Times New Roman" w:cs="Times New Roman" w:eastAsia="Times New Roman" w:hAnsi="Times New Roman"/>
          <w:i w:val="1"/>
          <w:iCs w:val="1"/>
          <w:sz w:val="24"/>
          <w:szCs w:val="24"/>
          <w:rtl w:val="0"/>
        </w:rPr>
        <w:t xml:space="preserve">A. quisqualis </w:t>
      </w:r>
      <w:r w:rsidDel="00000000" w:rsidR="00000000" w:rsidRPr="00000000">
        <w:rPr>
          <w:rFonts w:ascii="Times New Roman" w:cs="Times New Roman" w:eastAsia="Times New Roman" w:hAnsi="Times New Roman"/>
          <w:sz w:val="24"/>
          <w:szCs w:val="24"/>
          <w:rtl w:val="0"/>
        </w:rPr>
        <w:t xml:space="preserve">conidia begin to germinate and invade the host tissue. This parasite will degenerate the host (PM) tissue by extracting nutrients from the host cytoplasm, thereby starving the pathogen (Kiss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2004). The conidia, hyphae and sexual spores are all subject to invasion of the hyperparasite (Kiss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2003). </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w:t>
      </w:r>
      <w:r w:rsidDel="00000000" w:rsidR="00000000" w:rsidRPr="00000000">
        <w:rPr>
          <w:rFonts w:ascii="Times New Roman" w:cs="Times New Roman" w:eastAsia="Times New Roman" w:hAnsi="Times New Roman"/>
          <w:i w:val="1"/>
          <w:iCs w:val="1"/>
          <w:sz w:val="24"/>
          <w:szCs w:val="24"/>
          <w:rtl w:val="0"/>
        </w:rPr>
        <w:t xml:space="preserve">A. quisqualis </w:t>
      </w:r>
      <w:r w:rsidDel="00000000" w:rsidR="00000000" w:rsidRPr="00000000">
        <w:rPr>
          <w:rFonts w:ascii="Times New Roman" w:cs="Times New Roman" w:eastAsia="Times New Roman" w:hAnsi="Times New Roman"/>
          <w:sz w:val="24"/>
          <w:szCs w:val="24"/>
          <w:rtl w:val="0"/>
        </w:rPr>
        <w:t xml:space="preserve">for biocontrol is limited by the obligate nature of the hyperparasite; at least some powdery mildew must be present for </w:t>
      </w:r>
      <w:r w:rsidDel="00000000" w:rsidR="00000000" w:rsidRPr="00000000">
        <w:rPr>
          <w:rFonts w:ascii="Times New Roman" w:cs="Times New Roman" w:eastAsia="Times New Roman" w:hAnsi="Times New Roman"/>
          <w:i w:val="1"/>
          <w:iCs w:val="1"/>
          <w:sz w:val="24"/>
          <w:szCs w:val="24"/>
          <w:rtl w:val="0"/>
        </w:rPr>
        <w:t xml:space="preserve">A. quisqualis</w:t>
      </w:r>
      <w:r w:rsidDel="00000000" w:rsidR="00000000" w:rsidRPr="00000000">
        <w:rPr>
          <w:rFonts w:ascii="Times New Roman" w:cs="Times New Roman" w:eastAsia="Times New Roman" w:hAnsi="Times New Roman"/>
          <w:sz w:val="24"/>
          <w:szCs w:val="24"/>
          <w:rtl w:val="0"/>
        </w:rPr>
        <w:t xml:space="preserve"> to establish and repeated application of conidial solutions is required, however there have been successful reports of PM control among some crops (Gadoury 1995). Further research is needed to determine the efficacy of using this biocontrol with </w:t>
      </w:r>
      <w:r w:rsidDel="00000000" w:rsidR="00000000" w:rsidRPr="00000000">
        <w:rPr>
          <w:rFonts w:ascii="Times New Roman" w:cs="Times New Roman" w:eastAsia="Times New Roman" w:hAnsi="Times New Roman"/>
          <w:i w:val="1"/>
          <w:iCs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specifically. </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widely proven antagonist of powdery mildew is </w:t>
      </w:r>
      <w:r w:rsidDel="00000000" w:rsidR="00000000" w:rsidRPr="00000000">
        <w:rPr>
          <w:rFonts w:ascii="Times New Roman" w:cs="Times New Roman" w:eastAsia="Times New Roman" w:hAnsi="Times New Roman"/>
          <w:i w:val="1"/>
          <w:iCs w:val="1"/>
          <w:sz w:val="24"/>
          <w:szCs w:val="24"/>
          <w:rtl w:val="0"/>
        </w:rPr>
        <w:t xml:space="preserve">Trichoderma harzianum </w:t>
      </w:r>
      <w:r w:rsidDel="00000000" w:rsidR="00000000" w:rsidRPr="00000000">
        <w:rPr>
          <w:rFonts w:ascii="Times New Roman" w:cs="Times New Roman" w:eastAsia="Times New Roman" w:hAnsi="Times New Roman"/>
          <w:sz w:val="24"/>
          <w:szCs w:val="24"/>
          <w:rtl w:val="0"/>
        </w:rPr>
        <w:t xml:space="preserve">(Elad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1998). This BCA has several modes of fighting off pathogenic fungi. </w:t>
      </w:r>
      <w:r w:rsidDel="00000000" w:rsidR="00000000" w:rsidRPr="00000000">
        <w:rPr>
          <w:rFonts w:ascii="Times New Roman" w:cs="Times New Roman" w:eastAsia="Times New Roman" w:hAnsi="Times New Roman"/>
          <w:i w:val="1"/>
          <w:iCs w:val="1"/>
          <w:sz w:val="24"/>
          <w:szCs w:val="24"/>
          <w:rtl w:val="0"/>
        </w:rPr>
        <w:t xml:space="preserve">Trichoderma </w:t>
      </w:r>
      <w:r w:rsidDel="00000000" w:rsidR="00000000" w:rsidRPr="00000000">
        <w:rPr>
          <w:rFonts w:ascii="Times New Roman" w:cs="Times New Roman" w:eastAsia="Times New Roman" w:hAnsi="Times New Roman"/>
          <w:sz w:val="24"/>
          <w:szCs w:val="24"/>
          <w:rtl w:val="0"/>
        </w:rPr>
        <w:t xml:space="preserve">exhibits competition with PM for resources (food/light/space), produces antifungal compounds, acts directly as a hyperparasite of PM fungi, induces innate plant resistance, and can stimulate plant growth (Kiss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2004). This BCA acts as a generalist (Naher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2014), inhibiting the growth of a number of fungal pathogens.</w:t>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Table 12.2. Common organic preventatives and treatments for Powdery Mildew that are acceptable for use on </w:t>
      </w:r>
      <w:r w:rsidDel="00000000" w:rsidR="00000000" w:rsidRPr="00000000">
        <w:rPr>
          <w:rFonts w:ascii="Times New Roman" w:cs="Times New Roman" w:eastAsia="Times New Roman" w:hAnsi="Times New Roman"/>
          <w:i w:val="1"/>
          <w:iCs w:val="1"/>
          <w:color w:val="222222"/>
          <w:sz w:val="24"/>
          <w:szCs w:val="24"/>
          <w:highlight w:val="white"/>
          <w:rtl w:val="0"/>
        </w:rPr>
        <w:t xml:space="preserve">Cannabis. </w:t>
      </w:r>
      <w:r w:rsidDel="00000000" w:rsidR="00000000" w:rsidRPr="00000000">
        <w:rPr>
          <w:rFonts w:ascii="Times New Roman" w:cs="Times New Roman" w:eastAsia="Times New Roman" w:hAnsi="Times New Roman"/>
          <w:color w:val="222222"/>
          <w:sz w:val="24"/>
          <w:szCs w:val="24"/>
          <w:highlight w:val="white"/>
          <w:rtl w:val="0"/>
        </w:rPr>
        <w:t xml:space="preserve">All sprays, even water, have some action by physically removing spores and hyphae from the plant surfaces. </w:t>
      </w:r>
    </w:p>
    <w:p w:rsidR="00000000" w:rsidDel="00000000" w:rsidP="00000000" w:rsidRDefault="00000000" w:rsidRPr="00000000" w14:paraId="0000005E">
      <w:pPr>
        <w:spacing w:line="240" w:lineRule="auto"/>
        <w:rPr>
          <w:rFonts w:ascii="Times New Roman" w:cs="Times New Roman" w:eastAsia="Times New Roman" w:hAnsi="Times New Roman"/>
          <w:i w:val="1"/>
          <w:iCs w:val="1"/>
          <w:color w:val="222222"/>
          <w:sz w:val="24"/>
          <w:szCs w:val="24"/>
          <w:highlight w:val="white"/>
        </w:rPr>
      </w:pPr>
      <w:r w:rsidDel="00000000" w:rsidR="00000000" w:rsidRPr="00000000">
        <w:rPr>
          <w:rtl w:val="0"/>
        </w:rPr>
      </w:r>
    </w:p>
    <w:tbl>
      <w:tblPr>
        <w:tblStyle w:val="Table3"/>
        <w:tblW w:w="9359.999999999998" w:type="dxa"/>
        <w:jc w:val="left"/>
        <w:tblInd w:w="-100.0" w:type="dxa"/>
        <w:tblLayout w:type="fixed"/>
        <w:tblLook w:val="0400"/>
      </w:tblPr>
      <w:tblGrid>
        <w:gridCol w:w="2242"/>
        <w:gridCol w:w="2889"/>
        <w:gridCol w:w="4229"/>
        <w:tblGridChange w:id="0">
          <w:tblGrid>
            <w:gridCol w:w="2242"/>
            <w:gridCol w:w="2889"/>
            <w:gridCol w:w="4229"/>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Product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Active ingredient(s)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Mode of action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numPr>
                <w:ilvl w:val="0"/>
                <w:numId w:val="13"/>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Serenade</w:t>
            </w:r>
            <w:r w:rsidDel="00000000" w:rsidR="00000000" w:rsidRPr="00000000">
              <w:rPr>
                <w:rtl w:val="0"/>
              </w:rPr>
            </w:r>
          </w:p>
          <w:p w:rsidR="00000000" w:rsidDel="00000000" w:rsidP="00000000" w:rsidRDefault="00000000" w:rsidRPr="00000000" w14:paraId="00000063">
            <w:pPr>
              <w:numPr>
                <w:ilvl w:val="0"/>
                <w:numId w:val="13"/>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Double Nickle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Bacillus subtilis</w:t>
            </w:r>
            <w:r w:rsidDel="00000000" w:rsidR="00000000" w:rsidRPr="00000000">
              <w:rPr>
                <w:rtl w:val="0"/>
              </w:rPr>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Bacillus amyloliquifaciens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Direct competition</w:t>
            </w:r>
            <w:r w:rsidDel="00000000" w:rsidR="00000000" w:rsidRPr="00000000">
              <w:rPr>
                <w:rtl w:val="0"/>
              </w:rPr>
            </w:r>
          </w:p>
          <w:p w:rsidR="00000000" w:rsidDel="00000000" w:rsidP="00000000" w:rsidRDefault="00000000" w:rsidRPr="00000000" w14:paraId="00000067">
            <w:pPr>
              <w:numPr>
                <w:ilvl w:val="0"/>
                <w:numId w:val="5"/>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Activates induced systemic resistance (ISR)</w:t>
            </w:r>
            <w:r w:rsidDel="00000000" w:rsidR="00000000" w:rsidRPr="00000000">
              <w:rPr>
                <w:rtl w:val="0"/>
              </w:rPr>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9">
            <w:pPr>
              <w:numPr>
                <w:ilvl w:val="0"/>
                <w:numId w:val="6"/>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GreenCure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Potassium bicarbonate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numPr>
                <w:ilvl w:val="0"/>
                <w:numId w:val="17"/>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Raise pH leaf surface</w:t>
            </w:r>
            <w:r w:rsidDel="00000000" w:rsidR="00000000" w:rsidRPr="00000000">
              <w:rPr>
                <w:rtl w:val="0"/>
              </w:rPr>
            </w:r>
          </w:p>
          <w:p w:rsidR="00000000" w:rsidDel="00000000" w:rsidP="00000000" w:rsidRDefault="00000000" w:rsidRPr="00000000" w14:paraId="0000006C">
            <w:pPr>
              <w:numPr>
                <w:ilvl w:val="0"/>
                <w:numId w:val="17"/>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Dries out mycelium due to osmotic potential</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numPr>
                <w:ilvl w:val="0"/>
                <w:numId w:val="10"/>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Actinovate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Streptomyces lydicus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numPr>
                <w:ilvl w:val="0"/>
                <w:numId w:val="15"/>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Secretes antifungal compounds (natamycin)</w:t>
            </w:r>
            <w:r w:rsidDel="00000000" w:rsidR="00000000" w:rsidRPr="00000000">
              <w:rPr>
                <w:rtl w:val="0"/>
              </w:rPr>
            </w:r>
          </w:p>
          <w:p w:rsidR="00000000" w:rsidDel="00000000" w:rsidP="00000000" w:rsidRDefault="00000000" w:rsidRPr="00000000" w14:paraId="00000070">
            <w:pPr>
              <w:numPr>
                <w:ilvl w:val="0"/>
                <w:numId w:val="15"/>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Direct competition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numPr>
                <w:ilvl w:val="0"/>
                <w:numId w:val="1"/>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Regalia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222222"/>
                <w:sz w:val="24"/>
                <w:szCs w:val="24"/>
                <w:highlight w:val="white"/>
                <w:rtl w:val="0"/>
              </w:rPr>
              <w:t xml:space="preserve">Raenoutria sachalinensis </w:t>
            </w:r>
            <w:r w:rsidDel="00000000" w:rsidR="00000000" w:rsidRPr="00000000">
              <w:rPr>
                <w:rFonts w:ascii="Times New Roman" w:cs="Times New Roman" w:eastAsia="Times New Roman" w:hAnsi="Times New Roman"/>
                <w:color w:val="222222"/>
                <w:sz w:val="24"/>
                <w:szCs w:val="24"/>
                <w:highlight w:val="white"/>
                <w:rtl w:val="0"/>
              </w:rPr>
              <w:t xml:space="preserve">extract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numPr>
                <w:ilvl w:val="0"/>
                <w:numId w:val="7"/>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Activates induced systemic resistance (ISR)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numPr>
                <w:ilvl w:val="0"/>
                <w:numId w:val="14"/>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Elemental 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Sulfur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6">
            <w:pPr>
              <w:numPr>
                <w:ilvl w:val="0"/>
                <w:numId w:val="8"/>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Interferes with several fungal life functions (e.g. spore germination)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7">
            <w:pPr>
              <w:numPr>
                <w:ilvl w:val="0"/>
                <w:numId w:val="12"/>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Bordeaux mixture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Copper sulfate and hydrated lime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9">
            <w:pPr>
              <w:numPr>
                <w:ilvl w:val="0"/>
                <w:numId w:val="16"/>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Copper ions inhibit spore germination, hydrated lime raises pH</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numPr>
                <w:ilvl w:val="0"/>
                <w:numId w:val="9"/>
              </w:numPr>
              <w:spacing w:line="48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Neem Oil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Plant oils, azadirachtin and other terpenoids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Antifungal compounds</w:t>
            </w:r>
            <w:r w:rsidDel="00000000" w:rsidR="00000000" w:rsidRPr="00000000">
              <w:rPr>
                <w:rtl w:val="0"/>
              </w:rPr>
            </w:r>
          </w:p>
          <w:p w:rsidR="00000000" w:rsidDel="00000000" w:rsidP="00000000" w:rsidRDefault="00000000" w:rsidRPr="00000000" w14:paraId="0000007D">
            <w:pPr>
              <w:numPr>
                <w:ilvl w:val="0"/>
                <w:numId w:val="11"/>
              </w:numPr>
              <w:spacing w:line="480" w:lineRule="auto"/>
              <w:ind w:left="720" w:hanging="360"/>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highlight w:val="white"/>
                <w:rtl w:val="0"/>
              </w:rPr>
              <w:t xml:space="preserve">Physical barrier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numPr>
                <w:ilvl w:val="0"/>
                <w:numId w:val="2"/>
              </w:numPr>
              <w:spacing w:line="48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Dr. Zymes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spacing w:line="48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Citric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0">
            <w:pPr>
              <w:numPr>
                <w:ilvl w:val="0"/>
                <w:numId w:val="4"/>
              </w:numPr>
              <w:spacing w:line="480" w:lineRule="auto"/>
              <w:ind w:left="720" w:hanging="360"/>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Unfavorable pH </w:t>
            </w:r>
          </w:p>
        </w:tc>
      </w:tr>
    </w:tbl>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Treatment </w:t>
      </w:r>
    </w:p>
    <w:p w:rsidR="00000000" w:rsidDel="00000000" w:rsidP="00000000" w:rsidRDefault="00000000" w:rsidRPr="00000000" w14:paraId="000000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preventative measures are not sufficient and symptoms of PM appear on leaf surfaces, there are still plenty of steps you can take to ensure minimum impact on your garden (Table 2). The first step is to manually remove infected tissue. Spray the garden down with a high pH solution or elemental sulfur (only if plants are not yet flowering) to limit spore movement and disrupt fungal growth before removing infected material. Researchers have shown that spraying the plants down, even if it is with just plain water, can reduce disease incidence (Jarvis and Slingsby 1977). Conidia do not do well when saturated in water (Perera 1972). Place infected leaves into a container and frequently disinfect your hands and shears as you perform this maintenance. </w:t>
      </w:r>
    </w:p>
    <w:p w:rsidR="00000000" w:rsidDel="00000000" w:rsidP="00000000" w:rsidRDefault="00000000" w:rsidRPr="00000000" w14:paraId="000000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Perhaps one of the oldest treatments for powdery mildew</w:t>
      </w:r>
      <w:r w:rsidDel="00000000" w:rsidR="00000000" w:rsidRPr="00000000">
        <w:rPr>
          <w:rFonts w:ascii="Times New Roman" w:cs="Times New Roman" w:eastAsia="Times New Roman" w:hAnsi="Times New Roman"/>
          <w:sz w:val="24"/>
          <w:szCs w:val="24"/>
          <w:rtl w:val="0"/>
        </w:rPr>
        <w:t xml:space="preserve"> comes from the vineyard growers of Europe (Martin, 1932). The Bordeaux mixture stems from the early 1900’s and is a mixture of copper sulfate and hydrated lime. This treatment is approved for use in organic production and is very effective at inhibiting fungal growth. The copper ion prevents conidia germination and the hydrated lime raises the pH of the leaf surface to a point that the fungus cannot tolerate (Somers, 1965). This is best used as a preventative treatment although has been shown to be effective as a contact fungicide, killing the fungus after it has gotten a foot hold. </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common treatments include baking soda (sodium bicarbonate), potassium bicarbonate, elemental sulfur, neem oil, boron, or high silicon fertilizers (Bowen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1999). There have also been reports of varying concentrations of milk being an effective treatment for the reduction of powdery mildew (Fig. 8)(Bettiol 1999, Crisp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2006). Although no one is certain why milk is an effective treatment, researchers hypothesize it could be due to free radical production, antifungal fatty acid presence, or simply an osmotic imbalance (Crisp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2006)</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situations will determine which treatment will be most appropriate. For instance, you do not want to be spraying elemental sulfur on flowering plants, especially if they are destined for extraction. Doing so will result in a burnt rubber aroma (not in a good way) in the concentrated product. Using a cocktail of multiple ingredients or rotating products that have different modes of action seems to be a logical and effective way to treat infected plants. This way the fungus is less likely to develop a tolerance or resistance to any particular ingredient. </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possible, the environment of your space may be controlled to discourage PM growth. This could include raising your temperature and decreasing the relative humidity of your room, or increasing light intensity. Whole garden heat treatments (holding the garden at 100</w:t>
      </w:r>
      <w:r w:rsidDel="00000000" w:rsidR="00000000" w:rsidRPr="00000000">
        <w:rPr>
          <w:rFonts w:ascii="Times New Roman" w:cs="Times New Roman" w:eastAsia="Times New Roman" w:hAnsi="Times New Roman"/>
          <w:sz w:val="24"/>
          <w:szCs w:val="24"/>
          <w:vertAlign w:val="superscript"/>
          <w:rtl w:val="0"/>
        </w:rPr>
        <w:t xml:space="preserve">o</w:t>
      </w:r>
      <w:r w:rsidDel="00000000" w:rsidR="00000000" w:rsidRPr="00000000">
        <w:rPr>
          <w:rFonts w:ascii="Times New Roman" w:cs="Times New Roman" w:eastAsia="Times New Roman" w:hAnsi="Times New Roman"/>
          <w:sz w:val="24"/>
          <w:szCs w:val="24"/>
          <w:rtl w:val="0"/>
        </w:rPr>
        <w:t xml:space="preserve">F for 2 hours) may reduce fungal growth (Perera, 1972). Ultraviolet light treatment systems can significantly reduce fungal inocula and subsequent disease (such as the CleanLight Pro or similar device). </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 summary:</w:t>
      </w:r>
    </w:p>
    <w:p w:rsidR="00000000" w:rsidDel="00000000" w:rsidP="00000000" w:rsidRDefault="00000000" w:rsidRPr="00000000" w14:paraId="0000008A">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Powdery mildew can be caused on cannabis from a number of different fungal species</w:t>
      </w:r>
    </w:p>
    <w:p w:rsidR="00000000" w:rsidDel="00000000" w:rsidP="00000000" w:rsidRDefault="00000000" w:rsidRPr="00000000" w14:paraId="0000008B">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are typically host specific so PM on other plant species likely will not be able to infect Cannabis plants</w:t>
      </w:r>
    </w:p>
    <w:p w:rsidR="00000000" w:rsidDel="00000000" w:rsidP="00000000" w:rsidRDefault="00000000" w:rsidRPr="00000000" w14:paraId="0000008C">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Environmental conditions and chemical agents can be used to decrease PM infection rates</w:t>
      </w:r>
    </w:p>
    <w:p w:rsidR="00000000" w:rsidDel="00000000" w:rsidP="00000000" w:rsidRDefault="00000000" w:rsidRPr="00000000" w14:paraId="0000008D">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require a host plant to grow and complete lifecycle</w:t>
      </w:r>
    </w:p>
    <w:p w:rsidR="00000000" w:rsidDel="00000000" w:rsidP="00000000" w:rsidRDefault="00000000" w:rsidRPr="00000000" w14:paraId="0000008E">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infections are superficial and not systemic</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jpg"/><Relationship Id="rId10" Type="http://schemas.openxmlformats.org/officeDocument/2006/relationships/image" Target="media/image1.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jp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