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 14</w:t>
      </w:r>
    </w:p>
    <w:p w:rsidR="00000000" w:rsidDel="00000000" w:rsidP="00000000" w:rsidRDefault="00000000" w:rsidRPr="00000000" w14:paraId="00000002">
      <w:pPr>
        <w:spacing w:line="480" w:lineRule="auto"/>
        <w:ind w:firstLine="720"/>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Damping off</w:t>
      </w:r>
      <w:r w:rsidDel="00000000" w:rsidR="00000000" w:rsidRPr="00000000">
        <w:rPr>
          <w:rtl w:val="0"/>
        </w:rPr>
      </w:r>
    </w:p>
    <w:p w:rsidR="00000000" w:rsidDel="00000000" w:rsidP="00000000" w:rsidRDefault="00000000" w:rsidRPr="00000000" w14:paraId="00000003">
      <w:pPr>
        <w:spacing w:line="480" w:lineRule="auto"/>
        <w:rPr>
          <w:b w:val="1"/>
          <w:bCs w:val="1"/>
          <w:color w:val="333333"/>
          <w:sz w:val="21"/>
          <w:szCs w:val="21"/>
          <w:highlight w:val="white"/>
        </w:rPr>
      </w:pPr>
      <w:r w:rsidDel="00000000" w:rsidR="00000000" w:rsidRPr="00000000">
        <w:rPr>
          <w:rtl w:val="0"/>
        </w:rPr>
      </w:r>
    </w:p>
    <w:tbl>
      <w:tblPr>
        <w:tblStyle w:val="Table1"/>
        <w:tblW w:w="943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500"/>
        <w:gridCol w:w="1440"/>
        <w:gridCol w:w="1560"/>
        <w:gridCol w:w="1830"/>
        <w:gridCol w:w="1785"/>
        <w:tblGridChange w:id="0">
          <w:tblGrid>
            <w:gridCol w:w="1320"/>
            <w:gridCol w:w="1500"/>
            <w:gridCol w:w="1440"/>
            <w:gridCol w:w="1560"/>
            <w:gridCol w:w="1830"/>
            <w:gridCol w:w="178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Taxonomy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Rhizoctonia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Botrytis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Fusarium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Pythium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Macrophomina</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Kingdom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w:t>
            </w:r>
          </w:p>
        </w:tc>
        <w:tc>
          <w:tcPr>
            <w:tcMar>
              <w:top w:w="100.0" w:type="dxa"/>
              <w:left w:w="100.0" w:type="dxa"/>
              <w:bottom w:w="100.0" w:type="dxa"/>
              <w:right w:w="100.0" w:type="dxa"/>
            </w:tcMar>
            <w:vAlign w:val="top"/>
          </w:tcPr>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w:t>
            </w:r>
          </w:p>
        </w:tc>
        <w:tc>
          <w:tcPr>
            <w:tcMar>
              <w:top w:w="100.0" w:type="dxa"/>
              <w:left w:w="100.0" w:type="dxa"/>
              <w:bottom w:w="100.0" w:type="dxa"/>
              <w:right w:w="100.0" w:type="dxa"/>
            </w:tcMar>
            <w:vAlign w:val="top"/>
          </w:tcPr>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w:t>
            </w:r>
          </w:p>
        </w:tc>
        <w:tc>
          <w:tcPr>
            <w:tcMar>
              <w:top w:w="100.0" w:type="dxa"/>
              <w:left w:w="100.0" w:type="dxa"/>
              <w:bottom w:w="100.0" w:type="dxa"/>
              <w:right w:w="100.0" w:type="dxa"/>
            </w:tcMar>
            <w:vAlign w:val="top"/>
          </w:tcPr>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Chromista</w:t>
            </w:r>
          </w:p>
        </w:tc>
        <w:tc>
          <w:tcPr>
            <w:tcMar>
              <w:top w:w="100.0" w:type="dxa"/>
              <w:left w:w="100.0" w:type="dxa"/>
              <w:bottom w:w="100.0" w:type="dxa"/>
              <w:right w:w="100.0" w:type="dxa"/>
            </w:tcMar>
            <w:vAlign w:val="top"/>
          </w:tcPr>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Phylum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Basidiomycota</w:t>
            </w:r>
          </w:p>
        </w:tc>
        <w:tc>
          <w:tcPr>
            <w:tcMar>
              <w:top w:w="100.0" w:type="dxa"/>
              <w:left w:w="100.0" w:type="dxa"/>
              <w:bottom w:w="100.0" w:type="dxa"/>
              <w:right w:w="100.0" w:type="dxa"/>
            </w:tcMar>
            <w:vAlign w:val="top"/>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Ascomycota</w:t>
            </w:r>
          </w:p>
        </w:tc>
        <w:tc>
          <w:tcPr>
            <w:tcMar>
              <w:top w:w="100.0" w:type="dxa"/>
              <w:left w:w="100.0" w:type="dxa"/>
              <w:bottom w:w="100.0" w:type="dxa"/>
              <w:right w:w="100.0" w:type="dxa"/>
            </w:tcMar>
            <w:vAlign w:val="top"/>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Ascomycota</w:t>
            </w:r>
          </w:p>
        </w:tc>
        <w:tc>
          <w:tcPr>
            <w:tcMar>
              <w:top w:w="100.0" w:type="dxa"/>
              <w:left w:w="100.0" w:type="dxa"/>
              <w:bottom w:w="100.0" w:type="dxa"/>
              <w:right w:w="100.0" w:type="dxa"/>
            </w:tcMar>
            <w:vAlign w:val="top"/>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Heterokontophyta</w:t>
            </w:r>
          </w:p>
        </w:tc>
        <w:tc>
          <w:tcPr>
            <w:tcMar>
              <w:top w:w="100.0" w:type="dxa"/>
              <w:left w:w="100.0" w:type="dxa"/>
              <w:bottom w:w="100.0" w:type="dxa"/>
              <w:right w:w="100.0" w:type="dxa"/>
            </w:tcMar>
            <w:vAlign w:val="top"/>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Ascomycota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Agaricomycetes</w:t>
            </w:r>
          </w:p>
        </w:tc>
        <w:tc>
          <w:tcPr>
            <w:tcMar>
              <w:top w:w="100.0" w:type="dxa"/>
              <w:left w:w="100.0" w:type="dxa"/>
              <w:bottom w:w="100.0" w:type="dxa"/>
              <w:right w:w="100.0" w:type="dxa"/>
            </w:tcMar>
            <w:vAlign w:val="top"/>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Leotiomycetes</w:t>
            </w:r>
          </w:p>
        </w:tc>
        <w:tc>
          <w:tcPr>
            <w:tcMar>
              <w:top w:w="100.0" w:type="dxa"/>
              <w:left w:w="100.0" w:type="dxa"/>
              <w:bottom w:w="100.0" w:type="dxa"/>
              <w:right w:w="100.0" w:type="dxa"/>
            </w:tcMar>
            <w:vAlign w:val="top"/>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Sordariomycetes</w:t>
            </w:r>
          </w:p>
        </w:tc>
        <w:tc>
          <w:tcPr>
            <w:tcMar>
              <w:top w:w="100.0" w:type="dxa"/>
              <w:left w:w="100.0" w:type="dxa"/>
              <w:bottom w:w="100.0" w:type="dxa"/>
              <w:right w:w="100.0" w:type="dxa"/>
            </w:tcMar>
            <w:vAlign w:val="top"/>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Oomycota</w:t>
            </w:r>
          </w:p>
        </w:tc>
        <w:tc>
          <w:tcPr>
            <w:tcMar>
              <w:top w:w="100.0" w:type="dxa"/>
              <w:left w:w="100.0" w:type="dxa"/>
              <w:bottom w:w="100.0" w:type="dxa"/>
              <w:right w:w="100.0" w:type="dxa"/>
            </w:tcMar>
            <w:vAlign w:val="top"/>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Dothideomycetes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Cantharellales</w:t>
            </w:r>
          </w:p>
        </w:tc>
        <w:tc>
          <w:tcPr>
            <w:tcMar>
              <w:top w:w="100.0" w:type="dxa"/>
              <w:left w:w="100.0" w:type="dxa"/>
              <w:bottom w:w="100.0" w:type="dxa"/>
              <w:right w:w="100.0" w:type="dxa"/>
            </w:tcMar>
            <w:vAlign w:val="top"/>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Helotiales</w:t>
            </w:r>
          </w:p>
        </w:tc>
        <w:tc>
          <w:tcPr>
            <w:tcMar>
              <w:top w:w="100.0" w:type="dxa"/>
              <w:left w:w="100.0" w:type="dxa"/>
              <w:bottom w:w="100.0" w:type="dxa"/>
              <w:right w:w="100.0" w:type="dxa"/>
            </w:tcMar>
            <w:vAlign w:val="top"/>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Hypocreales</w:t>
            </w:r>
          </w:p>
        </w:tc>
        <w:tc>
          <w:tcPr>
            <w:tcMar>
              <w:top w:w="100.0" w:type="dxa"/>
              <w:left w:w="100.0" w:type="dxa"/>
              <w:bottom w:w="100.0" w:type="dxa"/>
              <w:right w:w="100.0" w:type="dxa"/>
            </w:tcMar>
            <w:vAlign w:val="top"/>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Peronosporales</w:t>
            </w:r>
          </w:p>
        </w:tc>
        <w:tc>
          <w:tcPr>
            <w:tcMar>
              <w:top w:w="100.0" w:type="dxa"/>
              <w:left w:w="100.0" w:type="dxa"/>
              <w:bottom w:w="100.0" w:type="dxa"/>
              <w:right w:w="100.0" w:type="dxa"/>
            </w:tcMar>
            <w:vAlign w:val="top"/>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Botryosphaeriales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Ceratobasidiaceae</w:t>
            </w:r>
          </w:p>
        </w:tc>
        <w:tc>
          <w:tcPr>
            <w:tcMar>
              <w:top w:w="100.0" w:type="dxa"/>
              <w:left w:w="100.0" w:type="dxa"/>
              <w:bottom w:w="100.0" w:type="dxa"/>
              <w:right w:w="100.0" w:type="dxa"/>
            </w:tcMar>
            <w:vAlign w:val="top"/>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Sclerotiniaceae</w:t>
            </w:r>
          </w:p>
        </w:tc>
        <w:tc>
          <w:tcPr>
            <w:tcMar>
              <w:top w:w="100.0" w:type="dxa"/>
              <w:left w:w="100.0" w:type="dxa"/>
              <w:bottom w:w="100.0" w:type="dxa"/>
              <w:right w:w="100.0" w:type="dxa"/>
            </w:tcMar>
            <w:vAlign w:val="top"/>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Nectriaceae</w:t>
            </w:r>
          </w:p>
        </w:tc>
        <w:tc>
          <w:tcPr>
            <w:tcMar>
              <w:top w:w="100.0" w:type="dxa"/>
              <w:left w:w="100.0" w:type="dxa"/>
              <w:bottom w:w="100.0" w:type="dxa"/>
              <w:right w:w="100.0" w:type="dxa"/>
            </w:tcMar>
            <w:vAlign w:val="top"/>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Pythiaceae</w:t>
            </w:r>
          </w:p>
        </w:tc>
        <w:tc>
          <w:tcPr>
            <w:tcMar>
              <w:top w:w="100.0" w:type="dxa"/>
              <w:left w:w="100.0" w:type="dxa"/>
              <w:bottom w:w="100.0" w:type="dxa"/>
              <w:right w:w="100.0" w:type="dxa"/>
            </w:tcMar>
            <w:vAlign w:val="top"/>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Botryosphaeriaceae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Rhizoctonia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Pythium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Macrophomina</w:t>
            </w: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 solani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 solani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 oxysporum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 sulphurem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 avenaceum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 graminearum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 aphanidermatum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 ultimum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 myriotylym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tl w:val="0"/>
              </w:rPr>
            </w:r>
          </w:p>
        </w:tc>
      </w:tr>
    </w:tbl>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Damping off, often incorrectly called dampening off, is common on many horticultural plants. The term is used to classify diseases caused by multiple fungi that mainly affect plants in the seedling stage. Typically, damping off  (DO) kills the plant before or shortly after the seed germinates or on unrooted/newly rooted cuttings. Damping off does occur in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gardens and understanding this disease will help alleviate growers from losing immature plants.</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that are infected with these fungi may germinate and emerge from the soil but within a few days they are weakened by the fungus growing on the stem or root tissue. Often, the pathogen will infect the stem right where it emerges from the soil (post-emergent). This results in plants that are wilted and falling over. However, DO pathogens can also cause pre-emergent disease as well, preventing seedling from ever emerging from the soil (Neher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1987).</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see that a plant has fallen victim to damping off, it is typically too late to act. Plants that are infected with these fungi usually will be too damaged to recover after the symptoms are observed. The same damping off fungi can infect a number of host plants, making the fungi that cause DO generalists. This is similar to the bud rot causing fungus,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which itself can cause damping off in seedlings (Darvas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1978). </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Thankfully, this disease is mainly restricted to seedlings or young plants. As seedlings mature they express more resistance traits, including production of secondary metabolites and increased structural defense. Damping off is a particularly high risk for hemp fields, where farmers are directly sowing a large number of seeds into soil (Gibson 1956). If the soil is too cold and wet or other conditions favorable for the fungus, the pathogen can grow and infect the farmers' hard work (Yitbarek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1988). Spores of the fungus could be waiting in the medium that the seed is planted into, on the seed coat itself, or blown in by the wind. </w:t>
      </w:r>
    </w:p>
    <w:p w:rsidR="00000000" w:rsidDel="00000000" w:rsidP="00000000" w:rsidRDefault="00000000" w:rsidRPr="00000000" w14:paraId="0000003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a pathogen in a particular soil does not necessarily lead to plant infection, although some researchers have observed that inoculum levels can be directly correlated with infection rates (Yitbarek et al., 1988). Neher et al. noted that environmental factors, the virulence of pathogens, and the susceptibility of the host all influence disease severity and mortality rates.</w:t>
      </w:r>
    </w:p>
    <w:p w:rsidR="00000000" w:rsidDel="00000000" w:rsidP="00000000" w:rsidRDefault="00000000" w:rsidRPr="00000000" w14:paraId="0000003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have also shown that the diversity of the microbial community in soil can significantly reduce infection rates (Ross et al., 2019). In the future, microbial consortia may prove to be more effective biocontrol agents (BCAs) than single-species products. Microbial teas and compost applications can increase microbial diversity, though they are unselective with respect to species. On the other hand, single-species products containing known antagonists may be more effective when combined with other products.</w:t>
      </w:r>
    </w:p>
    <w:p w:rsidR="00000000" w:rsidDel="00000000" w:rsidP="00000000" w:rsidRDefault="00000000" w:rsidRPr="00000000" w14:paraId="0000003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fungi can cause this disease, it may also be caused by Oomycetes, or water molds, which are not true fungi. Originally classified as fungi based on their morphology, water molds have since been reclassified to the phylum Heterokonta (protists) based on ancestry, placing them as close relatives of photosynthetic algae.</w:t>
      </w:r>
    </w:p>
    <w:p w:rsidR="00000000" w:rsidDel="00000000" w:rsidP="00000000" w:rsidRDefault="00000000" w:rsidRPr="00000000" w14:paraId="0000003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water molds act as parasites or pathogens. As mentioned earlier, the great Irish potato famine was caused by a water mold from the genus </w:t>
      </w:r>
      <w:r w:rsidDel="00000000" w:rsidR="00000000" w:rsidRPr="00000000">
        <w:rPr>
          <w:rFonts w:ascii="Times New Roman" w:cs="Times New Roman" w:eastAsia="Times New Roman" w:hAnsi="Times New Roman"/>
          <w:i w:val="1"/>
          <w:iCs w:val="1"/>
          <w:sz w:val="24"/>
          <w:szCs w:val="24"/>
          <w:rtl w:val="0"/>
        </w:rPr>
        <w:t xml:space="preserve">Phytophthora</w:t>
      </w:r>
      <w:r w:rsidDel="00000000" w:rsidR="00000000" w:rsidRPr="00000000">
        <w:rPr>
          <w:rFonts w:ascii="Times New Roman" w:cs="Times New Roman" w:eastAsia="Times New Roman" w:hAnsi="Times New Roman"/>
          <w:sz w:val="24"/>
          <w:szCs w:val="24"/>
          <w:rtl w:val="0"/>
        </w:rPr>
        <w:t xml:space="preserve">. Interestingly, no species of </w:t>
      </w:r>
      <w:r w:rsidDel="00000000" w:rsidR="00000000" w:rsidRPr="00000000">
        <w:rPr>
          <w:rFonts w:ascii="Times New Roman" w:cs="Times New Roman" w:eastAsia="Times New Roman" w:hAnsi="Times New Roman"/>
          <w:i w:val="1"/>
          <w:iCs w:val="1"/>
          <w:sz w:val="24"/>
          <w:szCs w:val="24"/>
          <w:rtl w:val="0"/>
        </w:rPr>
        <w:t xml:space="preserve">Phytophthora</w:t>
      </w:r>
      <w:r w:rsidDel="00000000" w:rsidR="00000000" w:rsidRPr="00000000">
        <w:rPr>
          <w:rFonts w:ascii="Times New Roman" w:cs="Times New Roman" w:eastAsia="Times New Roman" w:hAnsi="Times New Roman"/>
          <w:sz w:val="24"/>
          <w:szCs w:val="24"/>
          <w:rtl w:val="0"/>
        </w:rPr>
        <w:t xml:space="preserve"> are known to infect Cannabis, including the generalist </w:t>
      </w:r>
      <w:r w:rsidDel="00000000" w:rsidR="00000000" w:rsidRPr="00000000">
        <w:rPr>
          <w:rFonts w:ascii="Times New Roman" w:cs="Times New Roman" w:eastAsia="Times New Roman" w:hAnsi="Times New Roman"/>
          <w:i w:val="1"/>
          <w:iCs w:val="1"/>
          <w:sz w:val="24"/>
          <w:szCs w:val="24"/>
          <w:rtl w:val="0"/>
        </w:rPr>
        <w:t xml:space="preserve">P. cinnamomi</w:t>
      </w:r>
      <w:r w:rsidDel="00000000" w:rsidR="00000000" w:rsidRPr="00000000">
        <w:rPr>
          <w:rFonts w:ascii="Times New Roman" w:cs="Times New Roman" w:eastAsia="Times New Roman" w:hAnsi="Times New Roman"/>
          <w:sz w:val="24"/>
          <w:szCs w:val="24"/>
          <w:rtl w:val="0"/>
        </w:rPr>
        <w:t xml:space="preserve"> (at least not yet identified to do so). In fact, Cannabis is even recommended as a rotation crop to control </w:t>
      </w:r>
      <w:r w:rsidDel="00000000" w:rsidR="00000000" w:rsidRPr="00000000">
        <w:rPr>
          <w:rFonts w:ascii="Times New Roman" w:cs="Times New Roman" w:eastAsia="Times New Roman" w:hAnsi="Times New Roman"/>
          <w:i w:val="1"/>
          <w:iCs w:val="1"/>
          <w:sz w:val="24"/>
          <w:szCs w:val="24"/>
          <w:rtl w:val="0"/>
        </w:rPr>
        <w:t xml:space="preserve">Phytophthora</w:t>
      </w:r>
      <w:r w:rsidDel="00000000" w:rsidR="00000000" w:rsidRPr="00000000">
        <w:rPr>
          <w:rFonts w:ascii="Times New Roman" w:cs="Times New Roman" w:eastAsia="Times New Roman" w:hAnsi="Times New Roman"/>
          <w:sz w:val="24"/>
          <w:szCs w:val="24"/>
          <w:rtl w:val="0"/>
        </w:rPr>
        <w:t xml:space="preserve"> (Israel, 1981). On the other hand, </w:t>
      </w:r>
      <w:r w:rsidDel="00000000" w:rsidR="00000000" w:rsidRPr="00000000">
        <w:rPr>
          <w:rFonts w:ascii="Times New Roman" w:cs="Times New Roman" w:eastAsia="Times New Roman" w:hAnsi="Times New Roman"/>
          <w:i w:val="1"/>
          <w:iCs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another Oomycete, is a common cause of damping off in Cannabis.</w:t>
      </w:r>
    </w:p>
    <w:p w:rsidR="00000000" w:rsidDel="00000000" w:rsidP="00000000" w:rsidRDefault="00000000" w:rsidRPr="00000000" w14:paraId="0000003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distinction between water molds and fungi is that water molds produce mobile asexual zoospores, which can actively disperse in water. As a result, damp, waterlogged soils with low oxygen levels create optimal conditions for these pathogens to thrive, particularly when a susceptible host is planted nearby.</w:t>
      </w:r>
    </w:p>
    <w:p w:rsidR="00000000" w:rsidDel="00000000" w:rsidP="00000000" w:rsidRDefault="00000000" w:rsidRPr="00000000" w14:paraId="0000003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Biology &amp; Life Cycle</w:t>
      </w:r>
    </w:p>
    <w:p w:rsidR="00000000" w:rsidDel="00000000" w:rsidP="00000000" w:rsidRDefault="00000000" w:rsidRPr="00000000" w14:paraId="0000004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Fungi</w:t>
        <w:br w:type="textWrapping"/>
        <w:tab/>
      </w:r>
      <w:r w:rsidDel="00000000" w:rsidR="00000000" w:rsidRPr="00000000">
        <w:rPr>
          <w:rFonts w:ascii="Times New Roman" w:cs="Times New Roman" w:eastAsia="Times New Roman" w:hAnsi="Times New Roman"/>
          <w:sz w:val="24"/>
          <w:szCs w:val="24"/>
          <w:rtl w:val="0"/>
        </w:rPr>
        <w:t xml:space="preserve">A wide range of fungal species cause damping-off disease across various plant species. Many of these fungal pathogens can infect Cannabis plants. </w:t>
      </w:r>
      <w:r w:rsidDel="00000000" w:rsidR="00000000" w:rsidRPr="00000000">
        <w:rPr>
          <w:rFonts w:ascii="Times New Roman" w:cs="Times New Roman" w:eastAsia="Times New Roman" w:hAnsi="Times New Roman"/>
          <w:i w:val="1"/>
          <w:iCs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a generalist pathogen capable of infecting a broad variety of host plants, is commonly found in important food crops such as radish (Henis et al., 1978), soybean, tomato, rice, potato, alfalfa, and more (Anderson, 1982), including </w:t>
      </w:r>
      <w:r w:rsidDel="00000000" w:rsidR="00000000" w:rsidRPr="00000000">
        <w:rPr>
          <w:rFonts w:ascii="Times New Roman" w:cs="Times New Roman" w:eastAsia="Times New Roman" w:hAnsi="Times New Roman"/>
          <w:i w:val="1"/>
          <w:iCs w:val="1"/>
          <w:sz w:val="24"/>
          <w:szCs w:val="24"/>
          <w:rtl w:val="0"/>
        </w:rPr>
        <w:t xml:space="preserve">Cannabis sativa</w:t>
      </w:r>
      <w:r w:rsidDel="00000000" w:rsidR="00000000" w:rsidRPr="00000000">
        <w:rPr>
          <w:rFonts w:ascii="Times New Roman" w:cs="Times New Roman" w:eastAsia="Times New Roman" w:hAnsi="Times New Roman"/>
          <w:sz w:val="24"/>
          <w:szCs w:val="24"/>
          <w:rtl w:val="0"/>
        </w:rPr>
        <w:t xml:space="preserve"> (McPartland and Nicholson, 2003).</w:t>
      </w:r>
    </w:p>
    <w:p w:rsidR="00000000" w:rsidDel="00000000" w:rsidP="00000000" w:rsidRDefault="00000000" w:rsidRPr="00000000" w14:paraId="0000004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is the asexual name for the basidiomycete fungus, with its sexual state (teleomorph) being </w:t>
      </w:r>
      <w:r w:rsidDel="00000000" w:rsidR="00000000" w:rsidRPr="00000000">
        <w:rPr>
          <w:rFonts w:ascii="Times New Roman" w:cs="Times New Roman" w:eastAsia="Times New Roman" w:hAnsi="Times New Roman"/>
          <w:i w:val="1"/>
          <w:iCs w:val="1"/>
          <w:sz w:val="24"/>
          <w:szCs w:val="24"/>
          <w:rtl w:val="0"/>
        </w:rPr>
        <w:t xml:space="preserve">Thanatephorus cucumeris</w:t>
      </w:r>
      <w:r w:rsidDel="00000000" w:rsidR="00000000" w:rsidRPr="00000000">
        <w:rPr>
          <w:rFonts w:ascii="Times New Roman" w:cs="Times New Roman" w:eastAsia="Times New Roman" w:hAnsi="Times New Roman"/>
          <w:sz w:val="24"/>
          <w:szCs w:val="24"/>
          <w:rtl w:val="0"/>
        </w:rPr>
        <w:t xml:space="preserve">. Anderson (1982) explains that </w:t>
      </w:r>
      <w:r w:rsidDel="00000000" w:rsidR="00000000" w:rsidRPr="00000000">
        <w:rPr>
          <w:rFonts w:ascii="Times New Roman" w:cs="Times New Roman" w:eastAsia="Times New Roman" w:hAnsi="Times New Roman"/>
          <w:i w:val="1"/>
          <w:iCs w:val="1"/>
          <w:sz w:val="24"/>
          <w:szCs w:val="24"/>
          <w:rtl w:val="0"/>
        </w:rPr>
        <w:t xml:space="preserve">R. solani</w:t>
      </w:r>
      <w:r w:rsidDel="00000000" w:rsidR="00000000" w:rsidRPr="00000000">
        <w:rPr>
          <w:rFonts w:ascii="Times New Roman" w:cs="Times New Roman" w:eastAsia="Times New Roman" w:hAnsi="Times New Roman"/>
          <w:sz w:val="24"/>
          <w:szCs w:val="24"/>
          <w:rtl w:val="0"/>
        </w:rPr>
        <w:t xml:space="preserve"> is not a single species but a species complex, making its study and control challenging.</w:t>
      </w:r>
    </w:p>
    <w:p w:rsidR="00000000" w:rsidDel="00000000" w:rsidP="00000000" w:rsidRDefault="00000000" w:rsidRPr="00000000" w14:paraId="0000004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fungus produces haploid basidiospores, which germinate and are capable of producing asexual conidia. </w:t>
      </w:r>
      <w:r w:rsidDel="00000000" w:rsidR="00000000" w:rsidRPr="00000000">
        <w:rPr>
          <w:rFonts w:ascii="Times New Roman" w:cs="Times New Roman" w:eastAsia="Times New Roman" w:hAnsi="Times New Roman"/>
          <w:i w:val="1"/>
          <w:iCs w:val="1"/>
          <w:sz w:val="24"/>
          <w:szCs w:val="24"/>
          <w:rtl w:val="0"/>
        </w:rPr>
        <w:t xml:space="preserve">Rhizoctonia</w:t>
      </w:r>
      <w:r w:rsidDel="00000000" w:rsidR="00000000" w:rsidRPr="00000000">
        <w:rPr>
          <w:rFonts w:ascii="Times New Roman" w:cs="Times New Roman" w:eastAsia="Times New Roman" w:hAnsi="Times New Roman"/>
          <w:sz w:val="24"/>
          <w:szCs w:val="24"/>
          <w:rtl w:val="0"/>
        </w:rPr>
        <w:t xml:space="preserve">can also form microsclerotia (Anderson, 1982). It is a facultative pathogen, able to survive on dead material, and can be grown and sexually mated in vitro (Carling et al., 1987).</w:t>
      </w:r>
    </w:p>
    <w:p w:rsidR="00000000" w:rsidDel="00000000" w:rsidP="00000000" w:rsidRDefault="00000000" w:rsidRPr="00000000" w14:paraId="0000004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damping-off fungi belong to the phylum </w:t>
      </w:r>
      <w:r w:rsidDel="00000000" w:rsidR="00000000" w:rsidRPr="00000000">
        <w:rPr>
          <w:rFonts w:ascii="Times New Roman" w:cs="Times New Roman" w:eastAsia="Times New Roman" w:hAnsi="Times New Roman"/>
          <w:i w:val="1"/>
          <w:iCs w:val="1"/>
          <w:sz w:val="24"/>
          <w:szCs w:val="24"/>
          <w:rtl w:val="0"/>
        </w:rPr>
        <w:t xml:space="preserve">Ascomycota</w:t>
      </w:r>
      <w:r w:rsidDel="00000000" w:rsidR="00000000" w:rsidRPr="00000000">
        <w:rPr>
          <w:rFonts w:ascii="Times New Roman" w:cs="Times New Roman" w:eastAsia="Times New Roman" w:hAnsi="Times New Roman"/>
          <w:sz w:val="24"/>
          <w:szCs w:val="24"/>
          <w:rtl w:val="0"/>
        </w:rPr>
        <w:t xml:space="preserve">, including the genera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Macrophomina</w:t>
      </w:r>
      <w:r w:rsidDel="00000000" w:rsidR="00000000" w:rsidRPr="00000000">
        <w:rPr>
          <w:rFonts w:ascii="Times New Roman" w:cs="Times New Roman" w:eastAsia="Times New Roman" w:hAnsi="Times New Roman"/>
          <w:sz w:val="24"/>
          <w:szCs w:val="24"/>
          <w:rtl w:val="0"/>
        </w:rPr>
        <w:t xml:space="preserve">. Bloomberg (1978) noted that temperature was the most significant environmental factor influencing disease incidence caused by damping-off fungi. The biology of most of these fungi is discussed elsewhere in this book. It's important to note that species of both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Macrophomina</w:t>
      </w:r>
      <w:r w:rsidDel="00000000" w:rsidR="00000000" w:rsidRPr="00000000">
        <w:rPr>
          <w:rFonts w:ascii="Times New Roman" w:cs="Times New Roman" w:eastAsia="Times New Roman" w:hAnsi="Times New Roman"/>
          <w:sz w:val="24"/>
          <w:szCs w:val="24"/>
          <w:rtl w:val="0"/>
        </w:rPr>
        <w:t xml:space="preserve"> readily form sclerotia, which may serve as a distinguishing feature for farmers or agronomists.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species can also produce chlamydospores, which serve as resting structures that allow the fungus to survive in harsh environments for extended periods.</w:t>
      </w:r>
    </w:p>
    <w:p w:rsidR="00000000" w:rsidDel="00000000" w:rsidP="00000000" w:rsidRDefault="00000000" w:rsidRPr="00000000" w14:paraId="0000004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Oomycota</w:t>
        <w:br w:type="textWrapping"/>
        <w:tab/>
      </w:r>
      <w:r w:rsidDel="00000000" w:rsidR="00000000" w:rsidRPr="00000000">
        <w:rPr>
          <w:rFonts w:ascii="Times New Roman" w:cs="Times New Roman" w:eastAsia="Times New Roman" w:hAnsi="Times New Roman"/>
          <w:sz w:val="24"/>
          <w:szCs w:val="24"/>
          <w:rtl w:val="0"/>
        </w:rPr>
        <w:t xml:space="preserve">Water molds share some superficial similarities with fungi, such as filamentous growth and the presence of cell walls (Table 1). However, the materials that comprise the cell walls of Oomycetes are cellulose and beta-glucans, rather than chitin, which is found in fungi. Additionally, water mold spores (zoospores) have two flagella, which help them move and navigate through liquid substrates. The only true fungi that possess flagella are the chytrid zoospores, which have a single posterior flagellum.</w:t>
      </w:r>
    </w:p>
    <w:p w:rsidR="00000000" w:rsidDel="00000000" w:rsidP="00000000" w:rsidRDefault="00000000" w:rsidRPr="00000000" w14:paraId="0000004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Oomycete hyphae are coenocytic (aseptate), which is why some people caution farmers to watch out for hyphae without septa when inspecting soil or root samples under the microscope. However, not all aseptate fungi are harmful (e.g., the mycorrhizal </w:t>
      </w:r>
      <w:r w:rsidDel="00000000" w:rsidR="00000000" w:rsidRPr="00000000">
        <w:rPr>
          <w:rFonts w:ascii="Times New Roman" w:cs="Times New Roman" w:eastAsia="Times New Roman" w:hAnsi="Times New Roman"/>
          <w:i w:val="1"/>
          <w:iCs w:val="1"/>
          <w:sz w:val="24"/>
          <w:szCs w:val="24"/>
          <w:rtl w:val="0"/>
        </w:rPr>
        <w:t xml:space="preserve">Glomeromycota</w:t>
      </w:r>
      <w:r w:rsidDel="00000000" w:rsidR="00000000" w:rsidRPr="00000000">
        <w:rPr>
          <w:rFonts w:ascii="Times New Roman" w:cs="Times New Roman" w:eastAsia="Times New Roman" w:hAnsi="Times New Roman"/>
          <w:sz w:val="24"/>
          <w:szCs w:val="24"/>
          <w:rtl w:val="0"/>
        </w:rPr>
        <w:t xml:space="preserve"> and many harmless saprophytic </w:t>
      </w:r>
      <w:r w:rsidDel="00000000" w:rsidR="00000000" w:rsidRPr="00000000">
        <w:rPr>
          <w:rFonts w:ascii="Times New Roman" w:cs="Times New Roman" w:eastAsia="Times New Roman" w:hAnsi="Times New Roman"/>
          <w:i w:val="1"/>
          <w:iCs w:val="1"/>
          <w:sz w:val="24"/>
          <w:szCs w:val="24"/>
          <w:rtl w:val="0"/>
        </w:rPr>
        <w:t xml:space="preserve">Zygomycota</w:t>
      </w:r>
      <w:r w:rsidDel="00000000" w:rsidR="00000000" w:rsidRPr="00000000">
        <w:rPr>
          <w:rFonts w:ascii="Times New Roman" w:cs="Times New Roman" w:eastAsia="Times New Roman" w:hAnsi="Times New Roman"/>
          <w:sz w:val="24"/>
          <w:szCs w:val="24"/>
          <w:rtl w:val="0"/>
        </w:rPr>
        <w:t xml:space="preserve">), and not all septate fungi are beneficial (most fungal pathogens are septate). Though these organisms are related to algae, they have lost the ability to perform photosynthesis.</w:t>
      </w:r>
    </w:p>
    <w:p w:rsidR="00000000" w:rsidDel="00000000" w:rsidP="00000000" w:rsidRDefault="00000000" w:rsidRPr="00000000" w14:paraId="00000046">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38375" cy="2468299"/>
            <wp:effectExtent b="0" l="0" r="0" t="0"/>
            <wp:docPr descr="https://lh4.googleusercontent.com/rxRhhOplzFhqVep0oK4sgym9SUcmiAE1MKw6MgeC1pJ3zGPRfJ5vf8rYWsag8xyF2GF9wkE78mrClkU7jv0y2zEzotlcZQEYFAJkGGZ0A86KnL40uJs5cvwb4k8XxwxfyNE_1tP4" id="1" name="image1.png"/>
            <a:graphic>
              <a:graphicData uri="http://schemas.openxmlformats.org/drawingml/2006/picture">
                <pic:pic>
                  <pic:nvPicPr>
                    <pic:cNvPr descr="https://lh4.googleusercontent.com/rxRhhOplzFhqVep0oK4sgym9SUcmiAE1MKw6MgeC1pJ3zGPRfJ5vf8rYWsag8xyF2GF9wkE78mrClkU7jv0y2zEzotlcZQEYFAJkGGZ0A86KnL40uJs5cvwb4k8XxwxfyNE_1tP4" id="0" name="image1.png"/>
                    <pic:cNvPicPr preferRelativeResize="0"/>
                  </pic:nvPicPr>
                  <pic:blipFill>
                    <a:blip r:embed="rId6"/>
                    <a:srcRect b="0" l="0" r="0" t="0"/>
                    <a:stretch>
                      <a:fillRect/>
                    </a:stretch>
                  </pic:blipFill>
                  <pic:spPr>
                    <a:xfrm>
                      <a:off x="0" y="0"/>
                      <a:ext cx="2238375" cy="246829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14.1. A) Leaf cross-section of </w:t>
      </w:r>
      <w:r w:rsidDel="00000000" w:rsidR="00000000" w:rsidRPr="00000000">
        <w:rPr>
          <w:rFonts w:ascii="Times New Roman" w:cs="Times New Roman" w:eastAsia="Times New Roman" w:hAnsi="Times New Roman"/>
          <w:i w:val="1"/>
          <w:iCs w:val="1"/>
          <w:sz w:val="24"/>
          <w:szCs w:val="24"/>
          <w:rtl w:val="0"/>
        </w:rPr>
        <w:t xml:space="preserve">Pytopthora infestans</w:t>
      </w:r>
      <w:r w:rsidDel="00000000" w:rsidR="00000000" w:rsidRPr="00000000">
        <w:rPr>
          <w:rFonts w:ascii="Times New Roman" w:cs="Times New Roman" w:eastAsia="Times New Roman" w:hAnsi="Times New Roman"/>
          <w:sz w:val="24"/>
          <w:szCs w:val="24"/>
          <w:rtl w:val="0"/>
        </w:rPr>
        <w:t xml:space="preserve"> hyphae growing through leaf tissue, B) P. infestans sporophores sprouting through stomata. C) Palisade mesophyll layer of leaf D) Under (abaxial) side of leaf E) Sporangia hold zoospores F,G,H) Sporangium development J) Mobile zoospores K) Germinating zoospores L) Antheridium and Oogonium fusion M,N)  Development of oospore (wikisource).</w:t>
      </w:r>
    </w:p>
    <w:p w:rsidR="00000000" w:rsidDel="00000000" w:rsidP="00000000" w:rsidRDefault="00000000" w:rsidRPr="00000000" w14:paraId="00000048">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Oomycetes like </w:t>
      </w:r>
      <w:r w:rsidDel="00000000" w:rsidR="00000000" w:rsidRPr="00000000">
        <w:rPr>
          <w:rFonts w:ascii="Times New Roman" w:cs="Times New Roman" w:eastAsia="Times New Roman" w:hAnsi="Times New Roman"/>
          <w:i w:val="1"/>
          <w:iCs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have a complex life cycle with various forms and growth patterns. The life cycle of water molds begins, much like fungi, with a spore. Upon landing on a suitable growth substrate, such as plant tissue, the spore germinates and begins to grow hyphae. Similar to fungi, </w:t>
      </w:r>
      <w:r w:rsidDel="00000000" w:rsidR="00000000" w:rsidRPr="00000000">
        <w:rPr>
          <w:rFonts w:ascii="Times New Roman" w:cs="Times New Roman" w:eastAsia="Times New Roman" w:hAnsi="Times New Roman"/>
          <w:i w:val="1"/>
          <w:iCs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accesses host tissue by developing an appressorium, releasing extracellular enzymes that facilitate the damage and penetration of host tissue. The hyphae then invade the host tissue and siphon nutrients, fueling the growth of the oomycete (Fig. 1).</w:t>
      </w:r>
    </w:p>
    <w:p w:rsidR="00000000" w:rsidDel="00000000" w:rsidP="00000000" w:rsidRDefault="00000000" w:rsidRPr="00000000" w14:paraId="0000004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molds are typically transmitted through water and have even been found in some irrigation systems (Ali-Shtayeh et al., 1991). Therefore, eliminating stagnant or standing water in or near fields can help reduce the risk of harboring pathogens in close proximity to crops. Once a field is infected, the zoospores of the fungus can encyst in a dormant state. When environmental conditions become favorable again, the cysts can germinate and reinfect plants. This makes soil remediation challenging once it has been contaminated by these organisms.</w:t>
      </w:r>
    </w:p>
    <w:p w:rsidR="00000000" w:rsidDel="00000000" w:rsidP="00000000" w:rsidRDefault="00000000" w:rsidRPr="00000000" w14:paraId="0000004B">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Prevention &amp; Treatment</w:t>
      </w:r>
    </w:p>
    <w:p w:rsidR="00000000" w:rsidDel="00000000" w:rsidP="00000000" w:rsidRDefault="00000000" w:rsidRPr="00000000" w14:paraId="0000004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treatment of damping-off depends on the specific disease organism, its location (seed vs. soil), and environmental conditions. As always, prevention is the most effective approach to managing damping-off disease. For seed planting, various seed coat treatments can be applied directly to the seeds. Seeds can be pretreated with organisms antagonistic to damping-off, such as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products (e.g., Rootshield WP), or surface sterilized with a dilute bleach solution or alcohol (Lifshitz et al., 1986; Wenny and Dumroese, 1987).</w:t>
      </w:r>
    </w:p>
    <w:p w:rsidR="00000000" w:rsidDel="00000000" w:rsidP="00000000" w:rsidRDefault="00000000" w:rsidRPr="00000000" w14:paraId="0000004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biocontrol agents (BCAs) in agriculture is becoming increasingly popular due to the rising resistance to chemical pesticides and growing concerns about the potential damage some chemicals can cause to soils and humans (Coninck et al., 2020). Many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species used as BCAs act as mycoparasites to certain damping-off organisms, parasitizing the plant pathogen directly while also promoting the production of plant growth-promoting compounds (Bedine Boat et al., 2019).</w:t>
      </w:r>
    </w:p>
    <w:p w:rsidR="00000000" w:rsidDel="00000000" w:rsidP="00000000" w:rsidRDefault="00000000" w:rsidRPr="00000000" w14:paraId="0000004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Treatments can also be applied to the growing medium prior to planting, becoming less necessary as the seedlings mature. When starting seeds in pots, the growing medium can be pasteurized to eliminate potential disease organisms (Warcup and Baker, 1963). Steam sterilization may also be used to treat large areas of soil on both field and greenhouse scales. However, steam sterilization is more accurately described as pasteurization, as it does not kill all life in the soil. Specific temperature ranges and treatment times can kill pathogenic species while preserving beneficial organisms (Tanaka et al., 2003). Beneficial organisms can also be selectively inoculated into treated soil.</w:t>
      </w:r>
    </w:p>
    <w:p w:rsidR="00000000" w:rsidDel="00000000" w:rsidP="00000000" w:rsidRDefault="00000000" w:rsidRPr="00000000" w14:paraId="0000004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Rotating crops in contaminated soil can help reduce the population of damping-off species, particularly if Brassicas are used in the rotation and crop residue is incorporated post-harvest (Njoroge et al., 2009) (see Chapter 22, “Soil Treatments”). Growing crops that the pathogen cannot infect forces the pathogen to compete solely as a saprophyte, where it must compete with other aggressive microorganisms. Rotating crops until no sign of damping-off remains may be a long-term method of eradicating these pathogens from a field (Cheah et al., 2008).</w:t>
      </w:r>
    </w:p>
    <w:p w:rsidR="00000000" w:rsidDel="00000000" w:rsidP="00000000" w:rsidRDefault="00000000" w:rsidRPr="00000000" w14:paraId="0000005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avoid over-watering seedlings and to prevent them from germinating in cool, damp conditions. Using a seedling heat mat indoors can help address this issue. Outdoors, make sure to plant seeds only after the last frost in your area. Clean all equipment prior to planting, and ensure the soil is as healthy as possible. Providing adequate airflow and temperature is also essential for germination, as this reduces the chance of pathogen growth while stimulating healthy plant growth. Lastly, always use high-quality genetics to ensure the best chance of success.</w:t>
      </w:r>
    </w:p>
    <w:p w:rsidR="00000000" w:rsidDel="00000000" w:rsidP="00000000" w:rsidRDefault="00000000" w:rsidRPr="00000000" w14:paraId="0000005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52">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Damping off is a catch-all term for fungal pathogens that usually infect seedling growth but can occur in more mature plants as well</w:t>
      </w:r>
    </w:p>
    <w:p w:rsidR="00000000" w:rsidDel="00000000" w:rsidP="00000000" w:rsidRDefault="00000000" w:rsidRPr="00000000" w14:paraId="00000053">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systemic infection blocks vascular tissue of the plant from transporting nutrients throughout the plant body</w:t>
      </w:r>
    </w:p>
    <w:p w:rsidR="00000000" w:rsidDel="00000000" w:rsidP="00000000" w:rsidRDefault="00000000" w:rsidRPr="00000000" w14:paraId="0000005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reservoirs for DO fungi can be the seed coat, the soil/potting medium, or air-borne spores</w:t>
      </w:r>
    </w:p>
    <w:p w:rsidR="00000000" w:rsidDel="00000000" w:rsidP="00000000" w:rsidRDefault="00000000" w:rsidRPr="00000000" w14:paraId="0000005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disease is difficult to combat after symptoms are observed on plants</w:t>
      </w:r>
    </w:p>
    <w:p w:rsidR="00000000" w:rsidDel="00000000" w:rsidP="00000000" w:rsidRDefault="00000000" w:rsidRPr="00000000" w14:paraId="00000056">
      <w:pPr>
        <w:spacing w:line="24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