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color w:val="333333"/>
          <w:sz w:val="21"/>
          <w:szCs w:val="21"/>
          <w:highlight w:val="white"/>
        </w:rPr>
      </w:pPr>
      <w:bookmarkStart w:colFirst="0" w:colLast="0" w:name="_gjdgxs" w:id="0"/>
      <w:bookmarkEnd w:id="0"/>
      <w:r w:rsidDel="00000000" w:rsidR="00000000" w:rsidRPr="00000000">
        <w:rPr>
          <w:b w:val="1"/>
          <w:bCs w:val="1"/>
          <w:color w:val="333333"/>
          <w:sz w:val="21"/>
          <w:szCs w:val="21"/>
          <w:highlight w:val="white"/>
          <w:rtl w:val="0"/>
        </w:rPr>
        <w:t xml:space="preserve">Chapter 17</w:t>
      </w:r>
    </w:p>
    <w:p w:rsidR="00000000" w:rsidDel="00000000" w:rsidP="00000000" w:rsidRDefault="00000000" w:rsidRPr="00000000" w14:paraId="00000002">
      <w:pPr>
        <w:spacing w:line="480" w:lineRule="auto"/>
        <w:jc w:val="center"/>
        <w:rPr>
          <w:b w:val="1"/>
          <w:bCs w:val="1"/>
          <w:color w:val="333333"/>
          <w:sz w:val="21"/>
          <w:szCs w:val="21"/>
          <w:highlight w:val="white"/>
        </w:rPr>
      </w:pPr>
      <w:bookmarkStart w:colFirst="0" w:colLast="0" w:name="_605d1cdseqt9" w:id="1"/>
      <w:bookmarkEnd w:id="1"/>
      <w:r w:rsidDel="00000000" w:rsidR="00000000" w:rsidRPr="00000000">
        <w:rPr>
          <w:b w:val="1"/>
          <w:bCs w:val="1"/>
          <w:color w:val="333333"/>
          <w:sz w:val="21"/>
          <w:szCs w:val="21"/>
          <w:highlight w:val="white"/>
          <w:rtl w:val="0"/>
        </w:rPr>
        <w:t xml:space="preserve">Leaf Spots</w:t>
      </w:r>
    </w:p>
    <w:p w:rsidR="00000000" w:rsidDel="00000000" w:rsidP="00000000" w:rsidRDefault="00000000" w:rsidRPr="00000000" w14:paraId="00000003">
      <w:pPr>
        <w:spacing w:line="480" w:lineRule="auto"/>
        <w:rPr>
          <w:i w:val="1"/>
          <w:iCs w:val="1"/>
          <w:color w:val="333333"/>
          <w:sz w:val="21"/>
          <w:szCs w:val="21"/>
          <w:highlight w:val="white"/>
        </w:rPr>
      </w:pPr>
      <w:r w:rsidDel="00000000" w:rsidR="00000000" w:rsidRPr="00000000">
        <w:rPr>
          <w:i w:val="1"/>
          <w:iCs w:val="1"/>
          <w:color w:val="333333"/>
          <w:sz w:val="21"/>
          <w:szCs w:val="21"/>
          <w:highlight w:val="white"/>
        </w:rPr>
        <w:drawing>
          <wp:inline distB="0" distT="0" distL="0" distR="0">
            <wp:extent cx="5891213" cy="2182398"/>
            <wp:effectExtent b="0" l="0" r="0" t="0"/>
            <wp:docPr descr="https://lh4.googleusercontent.com/YZCfTmjhZLHKRPM9nBPkQIm23uQ2PWWUSr0k9IM-BZUVl7f8bdf1_ctVkUqqo6jV-1NGMHLuQqDlCgW-Az8UBJWz6QZTm7aPfKLrn_9HhijpOyZKxwJ1WlUH3REsq6arz-b06DQE" id="2" name="image2.png"/>
            <a:graphic>
              <a:graphicData uri="http://schemas.openxmlformats.org/drawingml/2006/picture">
                <pic:pic>
                  <pic:nvPicPr>
                    <pic:cNvPr descr="https://lh4.googleusercontent.com/YZCfTmjhZLHKRPM9nBPkQIm23uQ2PWWUSr0k9IM-BZUVl7f8bdf1_ctVkUqqo6jV-1NGMHLuQqDlCgW-Az8UBJWz6QZTm7aPfKLrn_9HhijpOyZKxwJ1WlUH3REsq6arz-b06DQE" id="0" name="image2.png"/>
                    <pic:cNvPicPr preferRelativeResize="0"/>
                  </pic:nvPicPr>
                  <pic:blipFill>
                    <a:blip r:embed="rId6"/>
                    <a:srcRect b="0" l="0" r="-1000" t="0"/>
                    <a:stretch>
                      <a:fillRect/>
                    </a:stretch>
                  </pic:blipFill>
                  <pic:spPr>
                    <a:xfrm>
                      <a:off x="0" y="0"/>
                      <a:ext cx="5891213" cy="218239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480" w:lineRule="auto"/>
        <w:rPr>
          <w:i w:val="1"/>
          <w:iCs w:val="1"/>
          <w:color w:val="333333"/>
          <w:sz w:val="21"/>
          <w:szCs w:val="21"/>
          <w:highlight w:val="white"/>
        </w:rPr>
      </w:pP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spot is another general term that is used to characterize numerous diseases caused by a plethora of different bacteria or fungi. As the name suggests, this is a disease that manifests itself on the leaves of plants and appears as a chlorotic spot that eventually dies (necrosis) (Fig. 1). Oftentimes, growers can confuse these infections with nutrient deficiencies. Although not typically as devastating as other fungal pathogens, leaf spots are going to decrease photosynthesis, thereby decreasing sugar production and resulting in poor plant growth and less than optimal yields. </w:t>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31480" cy="2719388"/>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rot="16200000">
                      <a:off x="0" y="0"/>
                      <a:ext cx="3631480" cy="271938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17.1 </w:t>
      </w:r>
      <w:r w:rsidDel="00000000" w:rsidR="00000000" w:rsidRPr="00000000">
        <w:rPr>
          <w:rFonts w:ascii="Times New Roman" w:cs="Times New Roman" w:eastAsia="Times New Roman" w:hAnsi="Times New Roman"/>
          <w:i w:val="1"/>
          <w:iCs w:val="1"/>
          <w:sz w:val="24"/>
          <w:szCs w:val="24"/>
          <w:rtl w:val="0"/>
        </w:rPr>
        <w:t xml:space="preserve">Septoria </w:t>
      </w:r>
      <w:r w:rsidDel="00000000" w:rsidR="00000000" w:rsidRPr="00000000">
        <w:rPr>
          <w:rFonts w:ascii="Times New Roman" w:cs="Times New Roman" w:eastAsia="Times New Roman" w:hAnsi="Times New Roman"/>
          <w:sz w:val="24"/>
          <w:szCs w:val="24"/>
          <w:rtl w:val="0"/>
        </w:rPr>
        <w:t xml:space="preserve">causing leaf spot symptoms on flowering hemp plants. Photo by Dr. Nicole Gauthier.</w:t>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fungi that can lead to leaf spots are listed above. Note that all of the ‘true fungi’ in this group are Ascomycetes.  The symptoms of leaf spots are generally the similar; irregular or regular botches on the foliage of various plants (Fig 1). In some cases, this can eventually lead to overall defoliation if left untreated. </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the features of leaf spots caused by pathogens are distinct from nutrient deficiencies. One common feature of many pathogen-induced leaf spots is the presence of a halo of necrotic tissue around pathogen infected tissue. This represents the host plant’s attempt to wall off the pathogen from living tissue by killing plant cells surrounding the infection in a systemic acquired resistance (SAR) induced hypersensitive response. </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Biology</w:t>
      </w:r>
      <w:r w:rsidDel="00000000" w:rsidR="00000000" w:rsidRPr="00000000">
        <w:rPr>
          <w:rtl w:val="0"/>
        </w:rPr>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Spores from casual fungi land on susceptible plant surfaces, germinate, and form an appresoria with which they penetrate the plant surface to gain access to internal plant tissue. Leaf spot organisms cause localized infections. Some may exist as asymptomatic endophytes for a period of time or under certain conditions before causing disease. For instance, </w:t>
      </w:r>
      <w:r w:rsidDel="00000000" w:rsidR="00000000" w:rsidRPr="00000000">
        <w:rPr>
          <w:rFonts w:ascii="Times New Roman" w:cs="Times New Roman" w:eastAsia="Times New Roman" w:hAnsi="Times New Roman"/>
          <w:i w:val="1"/>
          <w:iCs w:val="1"/>
          <w:sz w:val="24"/>
          <w:szCs w:val="24"/>
          <w:rtl w:val="0"/>
        </w:rPr>
        <w:t xml:space="preserve">Alternaria</w:t>
      </w:r>
      <w:r w:rsidDel="00000000" w:rsidR="00000000" w:rsidRPr="00000000">
        <w:rPr>
          <w:rFonts w:ascii="Times New Roman" w:cs="Times New Roman" w:eastAsia="Times New Roman" w:hAnsi="Times New Roman"/>
          <w:sz w:val="24"/>
          <w:szCs w:val="24"/>
          <w:rtl w:val="0"/>
        </w:rPr>
        <w:t xml:space="preserve"> is commonly isolated as an endophyte from a broad variety of host plants, including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though it is also recognized as a leaf spot pathogen (Taghinasab and Jabaji 2020).</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Nearly all fungi which cause leaf spots either reproduce exclusively via asexual conidiospores (</w:t>
      </w:r>
      <w:r w:rsidDel="00000000" w:rsidR="00000000" w:rsidRPr="00000000">
        <w:rPr>
          <w:rFonts w:ascii="Times New Roman" w:cs="Times New Roman" w:eastAsia="Times New Roman" w:hAnsi="Times New Roman"/>
          <w:i w:val="1"/>
          <w:iCs w:val="1"/>
          <w:sz w:val="24"/>
          <w:szCs w:val="24"/>
          <w:rtl w:val="0"/>
        </w:rPr>
        <w:t xml:space="preserve">Cercospora, Pseudocercospora, Alternaria</w:t>
      </w:r>
      <w:r w:rsidDel="00000000" w:rsidR="00000000" w:rsidRPr="00000000">
        <w:rPr>
          <w:rFonts w:ascii="Times New Roman" w:cs="Times New Roman" w:eastAsia="Times New Roman" w:hAnsi="Times New Roman"/>
          <w:sz w:val="24"/>
          <w:szCs w:val="24"/>
          <w:rtl w:val="0"/>
        </w:rPr>
        <w:t xml:space="preserve">), or primarily so (</w:t>
      </w:r>
      <w:r w:rsidDel="00000000" w:rsidR="00000000" w:rsidRPr="00000000">
        <w:rPr>
          <w:rFonts w:ascii="Times New Roman" w:cs="Times New Roman" w:eastAsia="Times New Roman" w:hAnsi="Times New Roman"/>
          <w:i w:val="1"/>
          <w:iCs w:val="1"/>
          <w:sz w:val="24"/>
          <w:szCs w:val="24"/>
          <w:rtl w:val="0"/>
        </w:rPr>
        <w:t xml:space="preserve">Septoria</w:t>
      </w:r>
      <w:r w:rsidDel="00000000" w:rsidR="00000000" w:rsidRPr="00000000">
        <w:rPr>
          <w:rFonts w:ascii="Times New Roman" w:cs="Times New Roman" w:eastAsia="Times New Roman" w:hAnsi="Times New Roman"/>
          <w:sz w:val="24"/>
          <w:szCs w:val="24"/>
          <w:rtl w:val="0"/>
        </w:rPr>
        <w:t xml:space="preserve">). Because of this, secondary disease cycles can rapidly progress within a single season from a small initial inoculum source. </w:t>
      </w:r>
      <w:r w:rsidDel="00000000" w:rsidR="00000000" w:rsidRPr="00000000">
        <w:rPr>
          <w:rFonts w:ascii="Times New Roman" w:cs="Times New Roman" w:eastAsia="Times New Roman" w:hAnsi="Times New Roman"/>
          <w:i w:val="1"/>
          <w:iCs w:val="1"/>
          <w:sz w:val="24"/>
          <w:szCs w:val="24"/>
          <w:rtl w:val="0"/>
        </w:rPr>
        <w:t xml:space="preserve">Septoria </w:t>
      </w:r>
      <w:r w:rsidDel="00000000" w:rsidR="00000000" w:rsidRPr="00000000">
        <w:rPr>
          <w:rFonts w:ascii="Times New Roman" w:cs="Times New Roman" w:eastAsia="Times New Roman" w:hAnsi="Times New Roman"/>
          <w:sz w:val="24"/>
          <w:szCs w:val="24"/>
          <w:rtl w:val="0"/>
        </w:rPr>
        <w:t xml:space="preserve">also may form sexual fruiting structures (perithecia), persisting overwinter on crop debris where it forms sexual fruiting bodies and disseminates via ascospores the next season (O’Connell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2005).</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Prevention and Treatment</w:t>
      </w:r>
      <w:r w:rsidDel="00000000" w:rsidR="00000000" w:rsidRPr="00000000">
        <w:rPr>
          <w:rtl w:val="0"/>
        </w:rPr>
      </w:r>
    </w:p>
    <w:p w:rsidR="00000000" w:rsidDel="00000000" w:rsidP="00000000" w:rsidRDefault="00000000" w:rsidRPr="00000000" w14:paraId="00000010">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plants are healthy, vigorous, and pathogen free from the start is important for</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avoiding leaf spot diseases. Proper plant nutrition will reduce disease occurrence and severity; nitrogen deficiencies are associated with leaf spot. Because leaf spot organisms survive on crop debris through the off-season, removing diseased crop residue and encouraging high saprophytic activity in the soil can reduce inoculum load and survival. </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All of the pesticide applications used for powdery mildew can be utilized against leaf spot fungi (Table 11.1). Foliar applications of compost teas or other microbial inocula throughout the vegetative growth phase may also reduce leaf spot occurrence. Kumar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found that in competition studies </w:t>
      </w:r>
      <w:r w:rsidDel="00000000" w:rsidR="00000000" w:rsidRPr="00000000">
        <w:rPr>
          <w:rFonts w:ascii="Times New Roman" w:cs="Times New Roman" w:eastAsia="Times New Roman" w:hAnsi="Times New Roman"/>
          <w:i w:val="1"/>
          <w:iCs w:val="1"/>
          <w:sz w:val="24"/>
          <w:szCs w:val="24"/>
          <w:rtl w:val="0"/>
        </w:rPr>
        <w:t xml:space="preserve">Trichoderma harzianum, T. viride, and T. virens </w:t>
      </w:r>
      <w:r w:rsidDel="00000000" w:rsidR="00000000" w:rsidRPr="00000000">
        <w:rPr>
          <w:rFonts w:ascii="Times New Roman" w:cs="Times New Roman" w:eastAsia="Times New Roman" w:hAnsi="Times New Roman"/>
          <w:sz w:val="24"/>
          <w:szCs w:val="24"/>
          <w:rtl w:val="0"/>
        </w:rPr>
        <w:t xml:space="preserve">all were able to outgrow leaf spot causing fungus </w:t>
      </w:r>
      <w:r w:rsidDel="00000000" w:rsidR="00000000" w:rsidRPr="00000000">
        <w:rPr>
          <w:rFonts w:ascii="Times New Roman" w:cs="Times New Roman" w:eastAsia="Times New Roman" w:hAnsi="Times New Roman"/>
          <w:i w:val="1"/>
          <w:iCs w:val="1"/>
          <w:sz w:val="24"/>
          <w:szCs w:val="24"/>
          <w:rtl w:val="0"/>
        </w:rPr>
        <w:t xml:space="preserve">Alternaria alternata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22222"/>
          <w:sz w:val="24"/>
          <w:szCs w:val="24"/>
          <w:highlight w:val="white"/>
          <w:rtl w:val="0"/>
        </w:rPr>
        <w:t xml:space="preserve">Srivastava et al 2012</w:t>
      </w:r>
      <w:r w:rsidDel="00000000" w:rsidR="00000000" w:rsidRPr="00000000">
        <w:rPr>
          <w:rFonts w:ascii="Times New Roman" w:cs="Times New Roman" w:eastAsia="Times New Roman" w:hAnsi="Times New Roman"/>
          <w:sz w:val="24"/>
          <w:szCs w:val="24"/>
          <w:rtl w:val="0"/>
        </w:rPr>
        <w:t xml:space="preserve">). The same study showed that of the three </w:t>
      </w:r>
      <w:r w:rsidDel="00000000" w:rsidR="00000000" w:rsidRPr="00000000">
        <w:rPr>
          <w:rFonts w:ascii="Times New Roman" w:cs="Times New Roman" w:eastAsia="Times New Roman" w:hAnsi="Times New Roman"/>
          <w:i w:val="1"/>
          <w:iCs w:val="1"/>
          <w:sz w:val="24"/>
          <w:szCs w:val="24"/>
          <w:rtl w:val="0"/>
        </w:rPr>
        <w:t xml:space="preserve">Trichoderma </w:t>
      </w:r>
      <w:r w:rsidDel="00000000" w:rsidR="00000000" w:rsidRPr="00000000">
        <w:rPr>
          <w:rFonts w:ascii="Times New Roman" w:cs="Times New Roman" w:eastAsia="Times New Roman" w:hAnsi="Times New Roman"/>
          <w:sz w:val="24"/>
          <w:szCs w:val="24"/>
          <w:rtl w:val="0"/>
        </w:rPr>
        <w:t xml:space="preserve">species tested, </w:t>
      </w:r>
      <w:r w:rsidDel="00000000" w:rsidR="00000000" w:rsidRPr="00000000">
        <w:rPr>
          <w:rFonts w:ascii="Times New Roman" w:cs="Times New Roman" w:eastAsia="Times New Roman" w:hAnsi="Times New Roman"/>
          <w:i w:val="1"/>
          <w:iCs w:val="1"/>
          <w:sz w:val="24"/>
          <w:szCs w:val="24"/>
          <w:rtl w:val="0"/>
        </w:rPr>
        <w:t xml:space="preserve">T. viride </w:t>
      </w:r>
      <w:r w:rsidDel="00000000" w:rsidR="00000000" w:rsidRPr="00000000">
        <w:rPr>
          <w:rFonts w:ascii="Times New Roman" w:cs="Times New Roman" w:eastAsia="Times New Roman" w:hAnsi="Times New Roman"/>
          <w:sz w:val="24"/>
          <w:szCs w:val="24"/>
          <w:rtl w:val="0"/>
        </w:rPr>
        <w:t xml:space="preserve">was able to directly parasitize and lyse the hyphae of the pathogen (</w:t>
      </w:r>
      <w:r w:rsidDel="00000000" w:rsidR="00000000" w:rsidRPr="00000000">
        <w:rPr>
          <w:rFonts w:ascii="Times New Roman" w:cs="Times New Roman" w:eastAsia="Times New Roman" w:hAnsi="Times New Roman"/>
          <w:color w:val="222222"/>
          <w:sz w:val="24"/>
          <w:szCs w:val="24"/>
          <w:highlight w:val="white"/>
          <w:rtl w:val="0"/>
        </w:rPr>
        <w:t xml:space="preserve">Srivastava et al 2012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Breeding resistant cultivars may be the most economical and ecologically feasible way to develop plants that are more resistant to certain fungal pathogens (Danon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1982). However, developing resistant varieties to leaf spot fungi will only be adventitious if the resistance offers broad protection against the large range of fungi capable of causing leaf disease, or in areas where specific pathogen species causing significant losses may be targeted in a breeding program. </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Interestingly, Indian researchers found that by creating a 1:1 water extraction with dried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leaves and mixing the solution with a prepared nutrient agar, this inhibited the growth of </w:t>
      </w:r>
      <w:r w:rsidDel="00000000" w:rsidR="00000000" w:rsidRPr="00000000">
        <w:rPr>
          <w:rFonts w:ascii="Times New Roman" w:cs="Times New Roman" w:eastAsia="Times New Roman" w:hAnsi="Times New Roman"/>
          <w:i w:val="1"/>
          <w:iCs w:val="1"/>
          <w:sz w:val="24"/>
          <w:szCs w:val="24"/>
          <w:rtl w:val="0"/>
        </w:rPr>
        <w:t xml:space="preserve">A. alternata in vitro</w:t>
      </w:r>
      <w:r w:rsidDel="00000000" w:rsidR="00000000" w:rsidRPr="00000000">
        <w:rPr>
          <w:rFonts w:ascii="Times New Roman" w:cs="Times New Roman" w:eastAsia="Times New Roman" w:hAnsi="Times New Roman"/>
          <w:sz w:val="24"/>
          <w:szCs w:val="24"/>
          <w:rtl w:val="0"/>
        </w:rPr>
        <w:t xml:space="preserve"> (Kumar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2015). This could potentially be a simple solution for leaf spot fungi farmers generally and warrants further investigation. </w:t>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01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spot is another disease named after the plant symptoms that is caused by a number of different organisms, typically bacteria or fungi</w:t>
      </w:r>
    </w:p>
    <w:p w:rsidR="00000000" w:rsidDel="00000000" w:rsidP="00000000" w:rsidRDefault="00000000" w:rsidRPr="00000000" w14:paraId="00000019">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Growing/breeding plants resistant to leaf spot organisms and clean cultural practices can alleviate pressure from these pathogens</w:t>
      </w:r>
    </w:p>
    <w:p w:rsidR="00000000" w:rsidDel="00000000" w:rsidP="00000000" w:rsidRDefault="00000000" w:rsidRPr="00000000" w14:paraId="0000001A">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Organic fungicides and biocontrol agents can be used if the disease is severe</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