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rPr>
      </w:pPr>
      <w:r w:rsidDel="00000000" w:rsidR="00000000" w:rsidRPr="00000000">
        <w:rPr>
          <w:b w:val="1"/>
          <w:bCs w:val="1"/>
          <w:rtl w:val="0"/>
        </w:rPr>
        <w:t xml:space="preserve">Chapter 22</w:t>
      </w:r>
    </w:p>
    <w:p w:rsidR="00000000" w:rsidDel="00000000" w:rsidP="00000000" w:rsidRDefault="00000000" w:rsidRPr="00000000" w14:paraId="00000002">
      <w:pPr>
        <w:spacing w:line="276" w:lineRule="auto"/>
        <w:jc w:val="center"/>
        <w:rPr>
          <w:b w:val="1"/>
          <w:bCs w:val="1"/>
        </w:rPr>
      </w:pPr>
      <w:r w:rsidDel="00000000" w:rsidR="00000000" w:rsidRPr="00000000">
        <w:rPr>
          <w:rtl w:val="0"/>
        </w:rPr>
      </w:r>
    </w:p>
    <w:p w:rsidR="00000000" w:rsidDel="00000000" w:rsidP="00000000" w:rsidRDefault="00000000" w:rsidRPr="00000000" w14:paraId="00000003">
      <w:pPr>
        <w:spacing w:line="276" w:lineRule="auto"/>
        <w:jc w:val="center"/>
        <w:rPr>
          <w:b w:val="1"/>
          <w:bCs w:val="1"/>
        </w:rPr>
      </w:pPr>
      <w:r w:rsidDel="00000000" w:rsidR="00000000" w:rsidRPr="00000000">
        <w:rPr>
          <w:b w:val="1"/>
          <w:bCs w:val="1"/>
          <w:rtl w:val="0"/>
        </w:rPr>
        <w:t xml:space="preserve">Aerial and Foliar Treatments</w:t>
      </w:r>
    </w:p>
    <w:p w:rsidR="00000000" w:rsidDel="00000000" w:rsidP="00000000" w:rsidRDefault="00000000" w:rsidRPr="00000000" w14:paraId="00000004">
      <w:pPr>
        <w:spacing w:line="276" w:lineRule="auto"/>
        <w:jc w:val="center"/>
        <w:rPr>
          <w:b w:val="1"/>
          <w:bCs w:val="1"/>
        </w:rPr>
      </w:pPr>
      <w:r w:rsidDel="00000000" w:rsidR="00000000" w:rsidRPr="00000000">
        <w:rPr>
          <w:rtl w:val="0"/>
        </w:rPr>
      </w:r>
    </w:p>
    <w:p w:rsidR="00000000" w:rsidDel="00000000" w:rsidP="00000000" w:rsidRDefault="00000000" w:rsidRPr="00000000" w14:paraId="0000000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when a farmer fosters a healthy soil environment and starts with clean plant propagants, whether seed or clone, problems may move into an area under cultivation through the air. Again, the importance of routine scouting and daily observation of plants cannot be overstated. As stated before, an ounce of prevention is worth a pound of cure. However, issues almost always arise, and cultivators must know what they have in their arsenal to decrease the impact of pests on overall yields.</w:t>
      </w:r>
    </w:p>
    <w:p w:rsidR="00000000" w:rsidDel="00000000" w:rsidP="00000000" w:rsidRDefault="00000000" w:rsidRPr="00000000" w14:paraId="0000000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Indoor farmers may limit the introduction of airborne pathogens by physically filtering incoming air. Many fungal spores, particularly conidia, are very small and can only be filtered by high-efficiency particulate air filters, though lower-rated filters may still reduce pathogen load in the air. Air treatments, including ultraviolet light and ozone, may also be used to kill living spores and airborne bacteria. However, both ultraviolet light and ozone pose dangers to humans, so their application must be performed in a way that eliminates human exposure. When problems arise on above-ground tissue, cultural controls and applied products may be used to minimize losses or, ideally, rectify the problem completely.</w:t>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of the chapters in Section 3 of this book deal with aerial and foliar fungal pathogens. These include powdery mildew, bud rot, cankers, and leaf spots. All of these are primarily airborne diseases, where the causal agents disperse spores in the wind onto actively growing crops. A farmer should always aim to reduce risks posed to a crop by these invaders by cultivating healthy plants capable of robust physical defenses and innate immunity. In addition to proper plant nutrition and environmental optimization, ensuring a healthy plant microbiome is another step toward crop protection. However, beyond providing a strong foundation of plant defenses, preventing and responding to airborne pathogens may also necessitate the application of aerial and foliar treatments.</w:t>
      </w:r>
    </w:p>
    <w:p w:rsidR="00000000" w:rsidDel="00000000" w:rsidP="00000000" w:rsidRDefault="00000000" w:rsidRPr="00000000" w14:paraId="00000008">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farmer should begin by:</w:t>
      </w:r>
    </w:p>
    <w:p w:rsidR="00000000" w:rsidDel="00000000" w:rsidP="00000000" w:rsidRDefault="00000000" w:rsidRPr="00000000" w14:paraId="0000000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Choosing the proper crop genetics to match their local threats.</w:t>
      </w:r>
    </w:p>
    <w:p w:rsidR="00000000" w:rsidDel="00000000" w:rsidP="00000000" w:rsidRDefault="00000000" w:rsidRPr="00000000" w14:paraId="0000000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Optimizing their growing environment (within the confines of the particular system).</w:t>
      </w:r>
    </w:p>
    <w:p w:rsidR="00000000" w:rsidDel="00000000" w:rsidP="00000000" w:rsidRDefault="00000000" w:rsidRPr="00000000" w14:paraId="0000000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Cultivating healthy, microbiome-rich plants.</w:t>
      </w:r>
    </w:p>
    <w:p w:rsidR="00000000" w:rsidDel="00000000" w:rsidP="00000000" w:rsidRDefault="00000000" w:rsidRPr="00000000" w14:paraId="0000000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Using appropriate horticultural techniques, such as pruning and canopy management, to eliminate microclimates favorable to disease.</w:t>
      </w:r>
    </w:p>
    <w:p w:rsidR="00000000" w:rsidDel="00000000" w:rsidP="00000000" w:rsidRDefault="00000000" w:rsidRPr="00000000" w14:paraId="0000000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efforts should limit the ability of airborne invaders to colonize a crop and reduce the severity of damage if pathogen outbreaks do occur. Specific biological control options antagonistic to potential threats may be applied, though these methods perform best when applications begin before disease outbreaks occur as a regular part of an integrated pest management plan. The last option in dealing with aerial pathogens is the application of chemical controls (Table 1). Chemical controls are limited for most Cannabis growers due to the lack of EPA-registered products labeled for use on this still newly legalized crop. Despite this, several organic products may be applied as aerial sprays where local laws permit. This includes products that fall under the EPA 25b exemption.</w:t>
      </w:r>
    </w:p>
    <w:p w:rsidR="00000000" w:rsidDel="00000000" w:rsidP="00000000" w:rsidRDefault="00000000" w:rsidRPr="00000000" w14:paraId="0000000E">
      <w:pPr>
        <w:spacing w:line="240" w:lineRule="auto"/>
        <w:rPr/>
      </w:pPr>
      <w:r w:rsidDel="00000000" w:rsidR="00000000" w:rsidRPr="00000000">
        <w:rPr>
          <w:rtl w:val="0"/>
        </w:rPr>
        <w:t xml:space="preserve">Table 22.1. Biological and chemical control agents commercially available for use in </w:t>
      </w:r>
      <w:r w:rsidDel="00000000" w:rsidR="00000000" w:rsidRPr="00000000">
        <w:rPr>
          <w:i w:val="1"/>
          <w:iCs w:val="1"/>
          <w:rtl w:val="0"/>
        </w:rPr>
        <w:t xml:space="preserve">Cannabis</w:t>
      </w:r>
      <w:r w:rsidDel="00000000" w:rsidR="00000000" w:rsidRPr="00000000">
        <w:rPr>
          <w:rtl w:val="0"/>
        </w:rPr>
        <w:t xml:space="preserve"> production capable of plant protection against aerial fungal pathogens.</w:t>
      </w:r>
    </w:p>
    <w:p w:rsidR="00000000" w:rsidDel="00000000" w:rsidP="00000000" w:rsidRDefault="00000000" w:rsidRPr="00000000" w14:paraId="0000000F">
      <w:pPr>
        <w:spacing w:line="24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Active Ingredient or biocontrol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Brand names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i w:val="1"/>
                <w:iCs w:val="1"/>
              </w:rPr>
            </w:pPr>
            <w:r w:rsidDel="00000000" w:rsidR="00000000" w:rsidRPr="00000000">
              <w:rPr>
                <w:i w:val="1"/>
                <w:iCs w:val="1"/>
                <w:rtl w:val="0"/>
              </w:rPr>
              <w:t xml:space="preserve">Bacillus subtilis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Serenade, Cease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i w:val="1"/>
                <w:iCs w:val="1"/>
              </w:rPr>
            </w:pPr>
            <w:r w:rsidDel="00000000" w:rsidR="00000000" w:rsidRPr="00000000">
              <w:rPr>
                <w:i w:val="1"/>
                <w:iCs w:val="1"/>
                <w:rtl w:val="0"/>
              </w:rPr>
              <w:t xml:space="preserve">Gliocladium catenulatum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Prestop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i w:val="1"/>
                <w:iCs w:val="1"/>
              </w:rPr>
            </w:pPr>
            <w:r w:rsidDel="00000000" w:rsidR="00000000" w:rsidRPr="00000000">
              <w:rPr>
                <w:i w:val="1"/>
                <w:iCs w:val="1"/>
                <w:rtl w:val="0"/>
              </w:rPr>
              <w:t xml:space="preserve">Beauveria bassiana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Mycotrol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i w:val="1"/>
                <w:iCs w:val="1"/>
                <w:color w:val="333333"/>
                <w:rtl w:val="0"/>
              </w:rPr>
              <w:t xml:space="preserve">Ulocladium oudemansii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Botrystop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i w:val="1"/>
                <w:iCs w:val="1"/>
              </w:rPr>
            </w:pPr>
            <w:r w:rsidDel="00000000" w:rsidR="00000000" w:rsidRPr="00000000">
              <w:rPr>
                <w:i w:val="1"/>
                <w:iCs w:val="1"/>
                <w:rtl w:val="0"/>
              </w:rPr>
              <w:t xml:space="preserve">Streptomyces griseoviridis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Mycostop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i w:val="1"/>
                <w:iCs w:val="1"/>
              </w:rPr>
            </w:pPr>
            <w:r w:rsidDel="00000000" w:rsidR="00000000" w:rsidRPr="00000000">
              <w:rPr>
                <w:i w:val="1"/>
                <w:iCs w:val="1"/>
                <w:rtl w:val="0"/>
              </w:rPr>
              <w:t xml:space="preserve">Streptomyces lydicus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Actinovate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i w:val="1"/>
                <w:iCs w:val="1"/>
              </w:rPr>
            </w:pPr>
            <w:r w:rsidDel="00000000" w:rsidR="00000000" w:rsidRPr="00000000">
              <w:rPr>
                <w:i w:val="1"/>
                <w:iCs w:val="1"/>
                <w:color w:val="444444"/>
                <w:highlight w:val="white"/>
                <w:rtl w:val="0"/>
              </w:rPr>
              <w:t xml:space="preserve">Bacillus amyloliquefaciens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Stargus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i w:val="1"/>
                <w:iCs w:val="1"/>
              </w:rPr>
            </w:pPr>
            <w:r w:rsidDel="00000000" w:rsidR="00000000" w:rsidRPr="00000000">
              <w:rPr>
                <w:i w:val="1"/>
                <w:iCs w:val="1"/>
                <w:rtl w:val="0"/>
              </w:rPr>
              <w:t xml:space="preserve">Trichoderma harzianum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RootShield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i w:val="1"/>
                <w:iCs w:val="1"/>
                <w:color w:val="444444"/>
                <w:highlight w:val="white"/>
                <w:rtl w:val="0"/>
              </w:rPr>
              <w:t xml:space="preserve">Reynoutria sachalinensis</w:t>
            </w:r>
            <w:r w:rsidDel="00000000" w:rsidR="00000000" w:rsidRPr="00000000">
              <w:rPr>
                <w:rtl w:val="0"/>
              </w:rPr>
              <w:t xml:space="preserve"> (plant extract)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Regalia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Neem oil and azadirachtin (plant extract)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Commonly available as an oil extract from many brands. Trilogy is a clarified oil. Azatrol and azamax contain isolated azadirachtin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Potassium carbonate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Milstop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Potassium silicate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AgSil 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Micronized sulfur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Elemental sulfur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Copper sulfate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Copper Sulfate Heptahydrate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Calcium oxide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Hydrated Lime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Mineral oil/paraffins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Suffoil 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highlight w:val="white"/>
                <w:rtl w:val="0"/>
              </w:rPr>
              <w:t xml:space="preserve">Peroxyacetic acid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Jet 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Hydrogen peroxide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Oxidate 2.0, Hydrogaurd</w:t>
            </w:r>
          </w:p>
        </w:tc>
      </w:tr>
    </w:tbl>
    <w:p w:rsidR="00000000" w:rsidDel="00000000" w:rsidP="00000000" w:rsidRDefault="00000000" w:rsidRPr="00000000" w14:paraId="0000003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products approved for use on Cannabis are exempt from EPA registration. The EPA 25b exemption is a list of approximately 45 'minimum risk' active ingredients deemed generally safe and allowed for use in pesticide products that do not need to be registered with the EPA. The list includes essential oils such as thyme and spearmint oil, as well as salts such as sodium chloride and potassium sorbate (40 CFR 180). Typically, all other pesticide products must first be registered with the Environmental Protection Agency before they can be sold at stores or to growers. This is a lengthy and rigorous process that requires manufacturers to supply data on efficacy, environmental impact, host specificity, product chemistry, etc. The intention is that by submitting all the supporting evidence, pesticides on the market will be safe to use and free of adulterants.</w:t>
      </w:r>
    </w:p>
    <w:p w:rsidR="00000000" w:rsidDel="00000000" w:rsidP="00000000" w:rsidRDefault="00000000" w:rsidRPr="00000000" w14:paraId="0000003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Pesticide products have lengthy labels with information such as usage rates, applicable crops, safety information, re-entry intervals, and how and when to apply them. Growers must read label information before applying pesticides, which should be applied as labeled. In many states, the Department of Agriculture requires a pesticide handling license to administer pesticides.</w:t>
      </w:r>
    </w:p>
    <w:p w:rsidR="00000000" w:rsidDel="00000000" w:rsidP="00000000" w:rsidRDefault="00000000" w:rsidRPr="00000000" w14:paraId="0000003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Biological pesticides are products that contain active ingredients that are biological control agents (BCAs), which are living organisms that inhibit or deter the growth of particular pathogens (Table 2). Some of these organisms produce toxins that antagonize the growth of pathogens (e.g., </w:t>
      </w:r>
      <w:r w:rsidDel="00000000" w:rsidR="00000000" w:rsidRPr="00000000">
        <w:rPr>
          <w:rFonts w:ascii="Times New Roman" w:cs="Times New Roman" w:eastAsia="Times New Roman" w:hAnsi="Times New Roman"/>
          <w:i w:val="1"/>
          <w:iCs w:val="1"/>
          <w:sz w:val="24"/>
          <w:szCs w:val="24"/>
          <w:rtl w:val="0"/>
        </w:rPr>
        <w:t xml:space="preserve">Streptomyces lydicus</w:t>
      </w:r>
      <w:r w:rsidDel="00000000" w:rsidR="00000000" w:rsidRPr="00000000">
        <w:rPr>
          <w:rFonts w:ascii="Times New Roman" w:cs="Times New Roman" w:eastAsia="Times New Roman" w:hAnsi="Times New Roman"/>
          <w:sz w:val="24"/>
          <w:szCs w:val="24"/>
          <w:rtl w:val="0"/>
        </w:rPr>
        <w:t xml:space="preserve">), whereas others may directly parasitize pathogenic fungi (e.g., </w:t>
      </w:r>
      <w:r w:rsidDel="00000000" w:rsidR="00000000" w:rsidRPr="00000000">
        <w:rPr>
          <w:rFonts w:ascii="Times New Roman" w:cs="Times New Roman" w:eastAsia="Times New Roman" w:hAnsi="Times New Roman"/>
          <w:i w:val="1"/>
          <w:iCs w:val="1"/>
          <w:sz w:val="24"/>
          <w:szCs w:val="24"/>
          <w:rtl w:val="0"/>
        </w:rPr>
        <w:t xml:space="preserve">Trichoderma harzianum</w:t>
      </w:r>
      <w:r w:rsidDel="00000000" w:rsidR="00000000" w:rsidRPr="00000000">
        <w:rPr>
          <w:rFonts w:ascii="Times New Roman" w:cs="Times New Roman" w:eastAsia="Times New Roman" w:hAnsi="Times New Roman"/>
          <w:sz w:val="24"/>
          <w:szCs w:val="24"/>
          <w:rtl w:val="0"/>
        </w:rPr>
        <w:t xml:space="preserve">). Using actively aerated compost teas as preventative measures to decrease potential pathogen infection has been shown to be effective, though there are many variables with this method (Scheuerell and Mahafee, 2002). The most likely mechanism of action for compost teas is outcompeting pathogens for space and resources, though many teas likely contain direct antagonists (BCAs). If the phyllosphere is filled with communities of beneficial organisms, there will be less habitat and fewer nutrients for unwanted microbes to establish themselves.</w:t>
      </w:r>
    </w:p>
    <w:p w:rsidR="00000000" w:rsidDel="00000000" w:rsidP="00000000" w:rsidRDefault="00000000" w:rsidRPr="00000000" w14:paraId="0000003A">
      <w:pPr>
        <w:spacing w:line="240" w:lineRule="auto"/>
        <w:rPr/>
      </w:pPr>
      <w:r w:rsidDel="00000000" w:rsidR="00000000" w:rsidRPr="00000000">
        <w:rPr>
          <w:rtl w:val="0"/>
        </w:rPr>
        <w:t xml:space="preserve">Table 22.2  Matching pathogens with BCA treatments. + indicates which biocontrols are effective against those pathogens</w:t>
      </w:r>
    </w:p>
    <w:tbl>
      <w:tblPr>
        <w:tblStyle w:val="Table2"/>
        <w:tblW w:w="964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320"/>
        <w:gridCol w:w="1320"/>
        <w:gridCol w:w="1320"/>
        <w:gridCol w:w="1320"/>
        <w:gridCol w:w="1320"/>
        <w:gridCol w:w="1575"/>
        <w:tblGridChange w:id="0">
          <w:tblGrid>
            <w:gridCol w:w="1470"/>
            <w:gridCol w:w="1320"/>
            <w:gridCol w:w="1320"/>
            <w:gridCol w:w="1320"/>
            <w:gridCol w:w="1320"/>
            <w:gridCol w:w="1320"/>
            <w:gridCol w:w="1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Botrytis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Powder Mildew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Fusarium Wilt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Leaf spot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Septoria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Phytophthora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i w:val="1"/>
                <w:iCs w:val="1"/>
                <w:sz w:val="24"/>
                <w:szCs w:val="24"/>
                <w:rtl w:val="0"/>
              </w:rPr>
              <w:t xml:space="preserve">Ulocladium oudemansii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i w:val="1"/>
                <w:iCs w:val="1"/>
                <w:rtl w:val="0"/>
              </w:rPr>
              <w:t xml:space="preserve">Beauveria bassiana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i w:val="1"/>
                <w:iCs w:val="1"/>
              </w:rPr>
            </w:pPr>
            <w:r w:rsidDel="00000000" w:rsidR="00000000" w:rsidRPr="00000000">
              <w:rPr>
                <w:i w:val="1"/>
                <w:iCs w:val="1"/>
                <w:rtl w:val="0"/>
              </w:rPr>
              <w:t xml:space="preserve">Bacillus subtilis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i w:val="1"/>
                <w:iCs w:val="1"/>
              </w:rPr>
            </w:pPr>
            <w:r w:rsidDel="00000000" w:rsidR="00000000" w:rsidRPr="00000000">
              <w:rPr>
                <w:i w:val="1"/>
                <w:iCs w:val="1"/>
                <w:rtl w:val="0"/>
              </w:rPr>
              <w:t xml:space="preserve">Streptomyces lydicus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i w:val="1"/>
                <w:iCs w:val="1"/>
              </w:rPr>
            </w:pPr>
            <w:r w:rsidDel="00000000" w:rsidR="00000000" w:rsidRPr="00000000">
              <w:rPr>
                <w:i w:val="1"/>
                <w:iCs w:val="1"/>
                <w:rtl w:val="0"/>
              </w:rPr>
              <w:t xml:space="preserve">Trichoderma harzianum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pPr>
            <w:r w:rsidDel="00000000" w:rsidR="00000000" w:rsidRPr="00000000">
              <w:rPr>
                <w:rtl w:val="0"/>
              </w:rPr>
              <w:t xml:space="preserve">+</w:t>
            </w:r>
          </w:p>
        </w:tc>
      </w:tr>
    </w:tbl>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Sourcing high-quality compost is paramount for successful tea brewing. The biological populations will grow exponentially in the process, so when the solution is applied to the plant, the microbes are actively growing. There are four distinct stages of microbial populations when grown in culture with limited food: lag, exponential (log phase), stationary, and death.</w:t>
      </w:r>
    </w:p>
    <w:p w:rsidR="00000000" w:rsidDel="00000000" w:rsidP="00000000" w:rsidRDefault="00000000" w:rsidRPr="00000000" w14:paraId="0000006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process becomes more complicated when many species are present, as in compost teas, as some species may become food for others as they die. This results in a succession of different species becoming more numerous or dominating the culture over time. Applying the tea when the total microbe population is in exponential growth is ideal, as this ensures a diversity of active and living microbial communities.</w:t>
      </w:r>
    </w:p>
    <w:p w:rsidR="00000000" w:rsidDel="00000000" w:rsidP="00000000" w:rsidRDefault="00000000" w:rsidRPr="00000000" w14:paraId="00000068">
      <w:pPr>
        <w:spacing w:line="480" w:lineRule="auto"/>
        <w:rPr/>
      </w:pPr>
      <w:r w:rsidDel="00000000" w:rsidR="00000000" w:rsidRPr="00000000">
        <w:rPr>
          <w:rtl w:val="0"/>
        </w:rPr>
      </w:r>
    </w:p>
    <w:p w:rsidR="00000000" w:rsidDel="00000000" w:rsidP="00000000" w:rsidRDefault="00000000" w:rsidRPr="00000000" w14:paraId="00000069">
      <w:pPr>
        <w:spacing w:line="480" w:lineRule="auto"/>
        <w:rPr>
          <w:b w:val="1"/>
          <w:bCs w:val="1"/>
        </w:rPr>
      </w:pPr>
      <w:r w:rsidDel="00000000" w:rsidR="00000000" w:rsidRPr="00000000">
        <w:rPr>
          <w:b w:val="1"/>
          <w:bCs w:val="1"/>
          <w:rtl w:val="0"/>
        </w:rPr>
        <w:t xml:space="preserve">In summary:</w:t>
      </w:r>
    </w:p>
    <w:p w:rsidR="00000000" w:rsidDel="00000000" w:rsidP="00000000" w:rsidRDefault="00000000" w:rsidRPr="00000000" w14:paraId="0000006A">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fungal pathogens produce spores that are dispersed by air currents and thus can easily travel from one farm to another</w:t>
      </w:r>
    </w:p>
    <w:p w:rsidR="00000000" w:rsidDel="00000000" w:rsidP="00000000" w:rsidRDefault="00000000" w:rsidRPr="00000000" w14:paraId="0000006B">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Growers can use cultural, chemical, or biological treatments to help reduce disease rate</w:t>
      </w:r>
    </w:p>
    <w:p w:rsidR="00000000" w:rsidDel="00000000" w:rsidP="00000000" w:rsidRDefault="00000000" w:rsidRPr="00000000" w14:paraId="0000006C">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Starting with quality genetics and clean propagants will go along way in preventing fungal diseases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