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 xml:space="preserve">Two vertical bars must be included in the graph of the application. The user should be able to move the bars to encapsulate a desired segment of data from which the </w:t>
            </w:r>
            <w:proofErr w:type="gramStart"/>
            <w:r w:rsidRPr="3DD30A25">
              <w:rPr>
                <w:color w:val="000000" w:themeColor="text1"/>
              </w:rPr>
              <w:t>mean</w:t>
            </w:r>
            <w:proofErr w:type="gramEnd"/>
            <w:r w:rsidRPr="3DD30A25">
              <w:rPr>
                <w:color w:val="000000" w:themeColor="text1"/>
              </w:rPr>
              <w:t xml:space="preserve">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lastRenderedPageBreak/>
        <w:t xml:space="preserve">The system </w:t>
      </w:r>
      <w:proofErr w:type="gramStart"/>
      <w:r w:rsidRPr="3DD30A25">
        <w:rPr>
          <w:color w:val="000000" w:themeColor="text1"/>
        </w:rPr>
        <w:t>shall</w:t>
      </w:r>
      <w:proofErr w:type="gramEnd"/>
      <w:r w:rsidRPr="3DD30A25">
        <w:rPr>
          <w:color w:val="000000" w:themeColor="text1"/>
        </w:rPr>
        <w:t xml:space="preserve">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 xml:space="preserve">The system </w:t>
      </w:r>
      <w:proofErr w:type="gramStart"/>
      <w:r w:rsidRPr="3DD30A25">
        <w:rPr>
          <w:color w:val="000000" w:themeColor="text1"/>
        </w:rPr>
        <w:t>shall</w:t>
      </w:r>
      <w:proofErr w:type="gramEnd"/>
      <w:r w:rsidRPr="3DD30A25">
        <w:rPr>
          <w:color w:val="000000" w:themeColor="text1"/>
        </w:rPr>
        <w:t xml:space="preserve">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proofErr w:type="gramStart"/>
            <w:r w:rsidRPr="3DD30A25">
              <w:t>File</w:t>
            </w:r>
            <w:proofErr w:type="gramEnd"/>
            <w:r w:rsidRPr="3DD30A25">
              <w:t xml:space="preserv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919187B" w14:textId="7BF82B08"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BE7D7D5" w14:textId="7234CC2B"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8A641D" w14:textId="5B694F40"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321C857" w14:textId="55D5F75F"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0F3E5F6" w14:textId="1881CA2C"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lastRenderedPageBreak/>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lastRenderedPageBreak/>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lastRenderedPageBreak/>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lastRenderedPageBreak/>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0DC8C776">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1"/>
      <w:bookmarkEnd w:id="42"/>
    </w:p>
    <w:p w14:paraId="442ED64E" w14:textId="77777777" w:rsidR="007246E8" w:rsidRDefault="007246E8" w:rsidP="007246E8">
      <w:r>
        <w:lastRenderedPageBreak/>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proofErr w:type="gramStart"/>
      <w:r w:rsidRPr="1A506F8C">
        <w:rPr>
          <w:color w:val="000000" w:themeColor="text1"/>
        </w:rPr>
        <w:t>pytest</w:t>
      </w:r>
      <w:proofErr w:type="spellEnd"/>
      <w:r w:rsidRPr="1A506F8C">
        <w:rPr>
          <w:color w:val="000000" w:themeColor="text1"/>
        </w:rPr>
        <w:t>-mock</w:t>
      </w:r>
      <w:proofErr w:type="gramEnd"/>
      <w:r w:rsidRPr="1A506F8C">
        <w:rPr>
          <w:color w:val="000000" w:themeColor="text1"/>
        </w:rPr>
        <w:t xml:space="preserve">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proofErr w:type="gramStart"/>
      <w:r>
        <w:t>Environment</w:t>
      </w:r>
      <w:proofErr w:type="gramEnd"/>
      <w:r>
        <w:t xml:space="preserve">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lastRenderedPageBreak/>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lastRenderedPageBreak/>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B607" w14:textId="77777777" w:rsidR="00E04EBE" w:rsidRDefault="00E04EBE">
      <w:pPr>
        <w:spacing w:after="0" w:line="240" w:lineRule="auto"/>
      </w:pPr>
      <w:r>
        <w:separator/>
      </w:r>
    </w:p>
  </w:endnote>
  <w:endnote w:type="continuationSeparator" w:id="0">
    <w:p w14:paraId="16831DCC" w14:textId="77777777" w:rsidR="00E04EBE" w:rsidRDefault="00E04EBE">
      <w:pPr>
        <w:spacing w:after="0" w:line="240" w:lineRule="auto"/>
      </w:pPr>
      <w:r>
        <w:continuationSeparator/>
      </w:r>
    </w:p>
  </w:endnote>
  <w:endnote w:type="continuationNotice" w:id="1">
    <w:p w14:paraId="28B149C3" w14:textId="77777777" w:rsidR="009F186D" w:rsidRDefault="009F1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55571" w14:textId="77777777" w:rsidR="00E04EBE" w:rsidRDefault="00E04EBE">
      <w:pPr>
        <w:spacing w:after="0" w:line="240" w:lineRule="auto"/>
      </w:pPr>
      <w:r>
        <w:separator/>
      </w:r>
    </w:p>
  </w:footnote>
  <w:footnote w:type="continuationSeparator" w:id="0">
    <w:p w14:paraId="18091D2A" w14:textId="77777777" w:rsidR="00E04EBE" w:rsidRDefault="00E04EBE">
      <w:pPr>
        <w:spacing w:after="0" w:line="240" w:lineRule="auto"/>
      </w:pPr>
      <w:r>
        <w:continuationSeparator/>
      </w:r>
    </w:p>
  </w:footnote>
  <w:footnote w:type="continuationNotice" w:id="1">
    <w:p w14:paraId="20D53A02" w14:textId="77777777" w:rsidR="009F186D" w:rsidRDefault="009F18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C0AB2"/>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21261"/>
    <w:rsid w:val="00445E37"/>
    <w:rsid w:val="0046035C"/>
    <w:rsid w:val="004C2E02"/>
    <w:rsid w:val="004C4F85"/>
    <w:rsid w:val="00500B01"/>
    <w:rsid w:val="00500BA6"/>
    <w:rsid w:val="0050333D"/>
    <w:rsid w:val="0050348F"/>
    <w:rsid w:val="00505201"/>
    <w:rsid w:val="00507966"/>
    <w:rsid w:val="00510404"/>
    <w:rsid w:val="00526D7F"/>
    <w:rsid w:val="0053042C"/>
    <w:rsid w:val="00550362"/>
    <w:rsid w:val="00551D75"/>
    <w:rsid w:val="00575CAE"/>
    <w:rsid w:val="00583AF6"/>
    <w:rsid w:val="005B0BB6"/>
    <w:rsid w:val="005E1730"/>
    <w:rsid w:val="005E6FAA"/>
    <w:rsid w:val="006019AB"/>
    <w:rsid w:val="00610DF9"/>
    <w:rsid w:val="00616988"/>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9F186D"/>
    <w:rsid w:val="00A02962"/>
    <w:rsid w:val="00A04430"/>
    <w:rsid w:val="00A2132B"/>
    <w:rsid w:val="00A21EE1"/>
    <w:rsid w:val="00A42832"/>
    <w:rsid w:val="00A52F26"/>
    <w:rsid w:val="00A53CEA"/>
    <w:rsid w:val="00A569C2"/>
    <w:rsid w:val="00A62666"/>
    <w:rsid w:val="00AD24DC"/>
    <w:rsid w:val="00AE18FA"/>
    <w:rsid w:val="00AE527F"/>
    <w:rsid w:val="00AF4E0D"/>
    <w:rsid w:val="00B10E63"/>
    <w:rsid w:val="00B17F51"/>
    <w:rsid w:val="00B267DD"/>
    <w:rsid w:val="00B774F3"/>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C7CB9"/>
    <w:rsid w:val="00DE04E3"/>
    <w:rsid w:val="00DE2788"/>
    <w:rsid w:val="00E04EBE"/>
    <w:rsid w:val="00E34F15"/>
    <w:rsid w:val="00E44629"/>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9427</Words>
  <Characters>53739</Characters>
  <Application>Microsoft Office Word</Application>
  <DocSecurity>0</DocSecurity>
  <Lines>447</Lines>
  <Paragraphs>126</Paragraphs>
  <ScaleCrop>false</ScaleCrop>
  <Company/>
  <LinksUpToDate>false</LinksUpToDate>
  <CharactersWithSpaces>63040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145</cp:revision>
  <dcterms:created xsi:type="dcterms:W3CDTF">2024-11-22T21:07:00Z</dcterms:created>
  <dcterms:modified xsi:type="dcterms:W3CDTF">2025-02-10T21:40:00Z</dcterms:modified>
</cp:coreProperties>
</file>