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Global</w:t>
      </w:r>
    </w:p>
    <w:p>
      <w:pPr>
        <w:pStyle w:val="Heading1"/>
      </w:pPr>
      <w:r>
        <w:t>rapport_scan_192.168.100.15_20240615_145013.docx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14:50:13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