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CS 405 Project Two: Security Policy Presentation</w:t>
      </w:r>
    </w:p>
    <w:p>
      <w:pPr>
        <w:jc w:val="center"/>
      </w:pPr>
      <w:r>
        <w:t>Kylie Reiter</w:t>
        <w:br/>
        <w:t>August 16, 2026</w:t>
        <w:br/>
        <w:t>Video link: [Paste unlisted YouTube link here]</w:t>
      </w:r>
    </w:p>
    <w:tbl>
      <w:tblPr>
        <w:tblStyle w:val="TableGrid"/>
        <w:tblW w:type="auto" w:w="0"/>
        <w:jc w:val="center"/>
        <w:tblLook w:firstColumn="1" w:firstRow="1" w:lastColumn="0" w:lastRow="0" w:noHBand="0" w:noVBand="1" w:val="04A0"/>
      </w:tblPr>
      <w:tblGrid>
        <w:gridCol w:w="4320"/>
        <w:gridCol w:w="4320"/>
      </w:tblGrid>
      <w:tr>
        <w:tc>
          <w:tcPr>
            <w:tcW w:type="dxa" w:w="1440"/>
            <w:vAlign w:val="center"/>
          </w:tcPr>
          <w:p>
            <w:r>
              <w:t>Slide Number</w:t>
            </w:r>
          </w:p>
        </w:tc>
        <w:tc>
          <w:tcPr>
            <w:tcW w:type="dxa" w:w="8928"/>
            <w:vAlign w:val="center"/>
          </w:tcPr>
          <w:p>
            <w:r>
              <w:t>Narrative</w:t>
            </w:r>
          </w:p>
        </w:tc>
      </w:tr>
      <w:tr>
        <w:tc>
          <w:tcPr>
            <w:tcW w:type="dxa" w:w="1440"/>
            <w:vAlign w:val="top"/>
          </w:tcPr>
          <w:p>
            <w:pPr>
              <w:jc w:val="center"/>
            </w:pPr>
            <w:r>
              <w:rPr>
                <w:rFonts w:ascii="Arial" w:hAnsi="Arial"/>
                <w:sz w:val="21"/>
              </w:rPr>
              <w:t>1</w:t>
            </w:r>
          </w:p>
        </w:tc>
        <w:tc>
          <w:tcPr>
            <w:tcW w:type="dxa" w:w="8928"/>
            <w:vAlign w:val="top"/>
          </w:tcPr>
          <w:p>
            <w:r>
              <w:rPr>
                <w:rFonts w:ascii="Arial" w:hAnsi="Arial"/>
                <w:sz w:val="21"/>
              </w:rPr>
              <w:t>Hello, my name is Kylie Reiter. This presentation introduces the Green Pace Secure Development Policy. The goal of the policy is to give the development team a consistent set of security principles, coding standards, testing practices, and implementation guidelines that can be followed as the team grows.</w:t>
            </w:r>
          </w:p>
        </w:tc>
      </w:tr>
      <w:tr>
        <w:tc>
          <w:tcPr>
            <w:tcW w:type="dxa" w:w="1440"/>
            <w:vAlign w:val="top"/>
          </w:tcPr>
          <w:p>
            <w:pPr>
              <w:jc w:val="center"/>
            </w:pPr>
            <w:r>
              <w:rPr>
                <w:rFonts w:ascii="Arial" w:hAnsi="Arial"/>
                <w:sz w:val="21"/>
              </w:rPr>
              <w:t>2</w:t>
            </w:r>
          </w:p>
        </w:tc>
        <w:tc>
          <w:tcPr>
            <w:tcW w:type="dxa" w:w="8928"/>
            <w:vAlign w:val="top"/>
          </w:tcPr>
          <w:p>
            <w:r>
              <w:rPr>
                <w:rFonts w:ascii="Arial" w:hAnsi="Arial"/>
                <w:sz w:val="21"/>
              </w:rPr>
              <w:t>Green Pace needs a standardized security policy because secure development cannot depend on individual habits. The policy establishes repeatable expectations for coding, encryption, access control, testing, automation, and monitoring. It supports defense in depth by placing security controls at multiple points in the development and production environments. If one safeguard fails, another layer can still detect or limit the attack.</w:t>
            </w:r>
          </w:p>
        </w:tc>
      </w:tr>
      <w:tr>
        <w:tc>
          <w:tcPr>
            <w:tcW w:type="dxa" w:w="1440"/>
            <w:vAlign w:val="top"/>
          </w:tcPr>
          <w:p>
            <w:pPr>
              <w:jc w:val="center"/>
            </w:pPr>
            <w:r>
              <w:rPr>
                <w:rFonts w:ascii="Arial" w:hAnsi="Arial"/>
                <w:sz w:val="21"/>
              </w:rPr>
              <w:t>3</w:t>
            </w:r>
          </w:p>
        </w:tc>
        <w:tc>
          <w:tcPr>
            <w:tcW w:type="dxa" w:w="8928"/>
            <w:vAlign w:val="top"/>
          </w:tcPr>
          <w:p>
            <w:r>
              <w:rPr>
                <w:rFonts w:ascii="Arial" w:hAnsi="Arial"/>
                <w:sz w:val="21"/>
              </w:rPr>
              <w:t>The threat matrix summarizes the risks represented by the ten coding standards. SQL injection, string and buffer errors, unsafe memory management, and unvalidated input receive the greatest attention because they can directly affect confidentiality, integrity, and availability. Data type, numeric range, pointer, and integer issues can also cause serious failures, even when they are less likely. Assertions and exception-handling problems remain important because they can hide failures or allow invalid states. The matrix helps Green Pace prioritize remediation instead of treating every finding as equally urgent.</w:t>
            </w:r>
          </w:p>
        </w:tc>
      </w:tr>
      <w:tr>
        <w:tc>
          <w:tcPr>
            <w:tcW w:type="dxa" w:w="1440"/>
            <w:vAlign w:val="top"/>
          </w:tcPr>
          <w:p>
            <w:pPr>
              <w:jc w:val="center"/>
            </w:pPr>
            <w:r>
              <w:rPr>
                <w:rFonts w:ascii="Arial" w:hAnsi="Arial"/>
                <w:sz w:val="21"/>
              </w:rPr>
              <w:t>4</w:t>
            </w:r>
          </w:p>
        </w:tc>
        <w:tc>
          <w:tcPr>
            <w:tcW w:type="dxa" w:w="8928"/>
            <w:vAlign w:val="top"/>
          </w:tcPr>
          <w:p>
            <w:r>
              <w:rPr>
                <w:rFonts w:ascii="Arial" w:hAnsi="Arial"/>
                <w:sz w:val="21"/>
              </w:rPr>
              <w:t>The ten principles connect broad security goals to specific coding standards. Input validation supports SQL injection prevention and general input validation. Compiler warnings help detect unsafe types and numeric behavior. Secure architecture, least privilege, and default deny reduce opportunities for unauthorized access. Defense in depth and quality assurance apply across many standards. The final principle, adopting a secure coding standard, ties the entire policy together and makes these expectations repeatable across the team.</w:t>
            </w:r>
          </w:p>
        </w:tc>
      </w:tr>
      <w:tr>
        <w:tc>
          <w:tcPr>
            <w:tcW w:type="dxa" w:w="1440"/>
            <w:vAlign w:val="top"/>
          </w:tcPr>
          <w:p>
            <w:pPr>
              <w:jc w:val="center"/>
            </w:pPr>
            <w:r>
              <w:rPr>
                <w:rFonts w:ascii="Arial" w:hAnsi="Arial"/>
                <w:sz w:val="21"/>
              </w:rPr>
              <w:t>5</w:t>
            </w:r>
          </w:p>
        </w:tc>
        <w:tc>
          <w:tcPr>
            <w:tcW w:type="dxa" w:w="8928"/>
            <w:vAlign w:val="top"/>
          </w:tcPr>
          <w:p>
            <w:r>
              <w:rPr>
                <w:rFonts w:ascii="Arial" w:hAnsi="Arial"/>
                <w:sz w:val="21"/>
              </w:rPr>
              <w:t>I ranked the coding standards primarily by potential impact and exploitability, then considered likelihood and remediation effort. SQL injection is first because successful exploitation can expose or modify database information. Memory protection, string correctness, and input validation follow because these weaknesses can lead to crashes, corruption, or attacker-controlled behavior. Pointer and integer issues are next. Data value, data type, exception, and assertion practices remain required, but generally present a lower immediate security priority than direct injection or memory vulnerabilities.</w:t>
            </w:r>
          </w:p>
        </w:tc>
      </w:tr>
      <w:tr>
        <w:tc>
          <w:tcPr>
            <w:tcW w:type="dxa" w:w="1440"/>
            <w:vAlign w:val="top"/>
          </w:tcPr>
          <w:p>
            <w:pPr>
              <w:jc w:val="center"/>
            </w:pPr>
            <w:r>
              <w:rPr>
                <w:rFonts w:ascii="Arial" w:hAnsi="Arial"/>
                <w:sz w:val="21"/>
              </w:rPr>
              <w:t>6</w:t>
            </w:r>
          </w:p>
        </w:tc>
        <w:tc>
          <w:tcPr>
            <w:tcW w:type="dxa" w:w="8928"/>
            <w:vAlign w:val="top"/>
          </w:tcPr>
          <w:p>
            <w:r>
              <w:rPr>
                <w:rFonts w:ascii="Arial" w:hAnsi="Arial"/>
                <w:sz w:val="21"/>
              </w:rPr>
              <w:t>Green Pace should protect data in all three states. Data in flight should use TLS to prevent interception or modification during transmission. Data at rest should be encrypted in databases, files, backups, and storage devices, with encryption keys protected separately. Data in use is more difficult because the application must process it, so Green Pace should reduce exposure with least privilege, protected memory, short data lifetimes, and secure application design. Encryption works best as part of defense in depth rather than as a replacement for access controls.</w:t>
            </w:r>
          </w:p>
        </w:tc>
      </w:tr>
      <w:tr>
        <w:tc>
          <w:tcPr>
            <w:tcW w:type="dxa" w:w="1440"/>
            <w:vAlign w:val="top"/>
          </w:tcPr>
          <w:p>
            <w:pPr>
              <w:jc w:val="center"/>
            </w:pPr>
            <w:r>
              <w:rPr>
                <w:rFonts w:ascii="Arial" w:hAnsi="Arial"/>
                <w:sz w:val="21"/>
              </w:rPr>
              <w:t>7</w:t>
            </w:r>
          </w:p>
        </w:tc>
        <w:tc>
          <w:tcPr>
            <w:tcW w:type="dxa" w:w="8928"/>
            <w:vAlign w:val="top"/>
          </w:tcPr>
          <w:p>
            <w:r>
              <w:rPr>
                <w:rFonts w:ascii="Arial" w:hAnsi="Arial"/>
                <w:sz w:val="21"/>
              </w:rPr>
              <w:t>The Triple-A framework consists of authentication, authorization, and accounting. Authentication verifies who the user is and should use unique accounts, strong credentials, and multifactor authentication where appropriate. Authorization determines what an authenticated user is allowed to do and should follow least privilege. Accounting creates the evidence needed to understand activity. Green Pace should record logins, failed attempts, database changes, new users, privilege changes, and sensitive file access. These records support audits and incident investigations.</w:t>
            </w:r>
          </w:p>
        </w:tc>
      </w:tr>
      <w:tr>
        <w:tc>
          <w:tcPr>
            <w:tcW w:type="dxa" w:w="1440"/>
            <w:vAlign w:val="top"/>
          </w:tcPr>
          <w:p>
            <w:pPr>
              <w:jc w:val="center"/>
            </w:pPr>
            <w:r>
              <w:rPr>
                <w:rFonts w:ascii="Arial" w:hAnsi="Arial"/>
                <w:sz w:val="21"/>
              </w:rPr>
              <w:t>8</w:t>
            </w:r>
          </w:p>
        </w:tc>
        <w:tc>
          <w:tcPr>
            <w:tcW w:type="dxa" w:w="8928"/>
            <w:vAlign w:val="top"/>
          </w:tcPr>
          <w:p>
            <w:r>
              <w:rPr>
                <w:rFonts w:ascii="Arial" w:hAnsi="Arial"/>
                <w:sz w:val="21"/>
              </w:rPr>
              <w:t>For the unit-testing demonstration, I selected STD-010, input validation. The first test asks whether a valid quantity of 50 is accepted. This is a positive test because the value is numeric and falls inside the allowed range of 1 through 100. The test should pass only when the validation function returns true. In Visual Studio, the Microsoft C++ unit testing framework can run the test and display the result in Test Explorer. My Visual Studio screenshot should be inserted on this slide after the test is executed.</w:t>
            </w:r>
          </w:p>
        </w:tc>
      </w:tr>
      <w:tr>
        <w:tc>
          <w:tcPr>
            <w:tcW w:type="dxa" w:w="1440"/>
            <w:vAlign w:val="top"/>
          </w:tcPr>
          <w:p>
            <w:pPr>
              <w:jc w:val="center"/>
            </w:pPr>
            <w:r>
              <w:rPr>
                <w:rFonts w:ascii="Arial" w:hAnsi="Arial"/>
                <w:sz w:val="21"/>
              </w:rPr>
              <w:t>9</w:t>
            </w:r>
          </w:p>
        </w:tc>
        <w:tc>
          <w:tcPr>
            <w:tcW w:type="dxa" w:w="8928"/>
            <w:vAlign w:val="top"/>
          </w:tcPr>
          <w:p>
            <w:r>
              <w:rPr>
                <w:rFonts w:ascii="Arial" w:hAnsi="Arial"/>
                <w:sz w:val="21"/>
              </w:rPr>
              <w:t>The second test is a negative test using a quantity of zero. Because zero is below the allowed minimum, the validation function should return false. This test confirms that the application does not only check the data type, it also checks the business rule for the valid range. A failure here would show that invalid values could reach later processing.</w:t>
            </w:r>
          </w:p>
        </w:tc>
      </w:tr>
      <w:tr>
        <w:tc>
          <w:tcPr>
            <w:tcW w:type="dxa" w:w="1440"/>
            <w:vAlign w:val="top"/>
          </w:tcPr>
          <w:p>
            <w:pPr>
              <w:jc w:val="center"/>
            </w:pPr>
            <w:r>
              <w:rPr>
                <w:rFonts w:ascii="Arial" w:hAnsi="Arial"/>
                <w:sz w:val="21"/>
              </w:rPr>
              <w:t>10</w:t>
            </w:r>
          </w:p>
        </w:tc>
        <w:tc>
          <w:tcPr>
            <w:tcW w:type="dxa" w:w="8928"/>
            <w:vAlign w:val="top"/>
          </w:tcPr>
          <w:p>
            <w:r>
              <w:rPr>
                <w:rFonts w:ascii="Arial" w:hAnsi="Arial"/>
                <w:sz w:val="21"/>
              </w:rPr>
              <w:t>The third test uses 101, which is above the maximum allowed value. The expected result is rejection. Testing both sides of the range is important because a developer could correctly implement the lower boundary while accidentally allowing values above the upper boundary. This is another example of using external testing to verify the security behavior rather than assuming the code is correct.</w:t>
            </w:r>
          </w:p>
        </w:tc>
      </w:tr>
      <w:tr>
        <w:tc>
          <w:tcPr>
            <w:tcW w:type="dxa" w:w="1440"/>
            <w:vAlign w:val="top"/>
          </w:tcPr>
          <w:p>
            <w:pPr>
              <w:jc w:val="center"/>
            </w:pPr>
            <w:r>
              <w:rPr>
                <w:rFonts w:ascii="Arial" w:hAnsi="Arial"/>
                <w:sz w:val="21"/>
              </w:rPr>
              <w:t>11</w:t>
            </w:r>
          </w:p>
        </w:tc>
        <w:tc>
          <w:tcPr>
            <w:tcW w:type="dxa" w:w="8928"/>
            <w:vAlign w:val="top"/>
          </w:tcPr>
          <w:p>
            <w:r>
              <w:rPr>
                <w:rFonts w:ascii="Arial" w:hAnsi="Arial"/>
                <w:sz w:val="21"/>
              </w:rPr>
              <w:t>The fourth test uses nonnumeric input such as the letters A B C. The program should detect the input failure, clear or handle the failed stream appropriately, and avoid calling the sensitive processing function. This test demonstrates that input validation must check expected type and format as well as numeric range. Malformed external data should be rejected as early as possible.</w:t>
            </w:r>
          </w:p>
        </w:tc>
      </w:tr>
      <w:tr>
        <w:tc>
          <w:tcPr>
            <w:tcW w:type="dxa" w:w="1440"/>
            <w:vAlign w:val="top"/>
          </w:tcPr>
          <w:p>
            <w:pPr>
              <w:jc w:val="center"/>
            </w:pPr>
            <w:r>
              <w:rPr>
                <w:rFonts w:ascii="Arial" w:hAnsi="Arial"/>
                <w:sz w:val="21"/>
              </w:rPr>
              <w:t>12</w:t>
            </w:r>
          </w:p>
        </w:tc>
        <w:tc>
          <w:tcPr>
            <w:tcW w:type="dxa" w:w="8928"/>
            <w:vAlign w:val="top"/>
          </w:tcPr>
          <w:p>
            <w:r>
              <w:rPr>
                <w:rFonts w:ascii="Arial" w:hAnsi="Arial"/>
                <w:sz w:val="21"/>
              </w:rPr>
              <w:t>The final unit test checks the boundary values of 1 and 100. Both values should be accepted because the allowed range is inclusive. Boundary testing is useful because off-by-one mistakes are common. Green Pace can take this further by adding malformed, extreme, and regression cases and by running the test suite automatically whenever code changes are submitted.</w:t>
            </w:r>
          </w:p>
        </w:tc>
      </w:tr>
      <w:tr>
        <w:tc>
          <w:tcPr>
            <w:tcW w:type="dxa" w:w="1440"/>
            <w:vAlign w:val="top"/>
          </w:tcPr>
          <w:p>
            <w:pPr>
              <w:jc w:val="center"/>
            </w:pPr>
            <w:r>
              <w:rPr>
                <w:rFonts w:ascii="Arial" w:hAnsi="Arial"/>
                <w:sz w:val="21"/>
              </w:rPr>
              <w:t>13</w:t>
            </w:r>
          </w:p>
        </w:tc>
        <w:tc>
          <w:tcPr>
            <w:tcW w:type="dxa" w:w="8928"/>
            <w:vAlign w:val="top"/>
          </w:tcPr>
          <w:p>
            <w:r>
              <w:rPr>
                <w:rFonts w:ascii="Arial" w:hAnsi="Arial"/>
                <w:sz w:val="21"/>
              </w:rPr>
              <w:t>Security automation should exist throughout the DevSecOps lifecycle. During design, the team performs threat modeling and applies secure design principles. During build, the compiler and static analysis tools identify coding issues. During verification, unit tests and vulnerability scans check expected behavior. Deployment should include secure configuration checks, and production should continue with logging, monitoring, and incident response. Security is therefore continuous instead of being a single test at the end.</w:t>
            </w:r>
          </w:p>
        </w:tc>
      </w:tr>
      <w:tr>
        <w:tc>
          <w:tcPr>
            <w:tcW w:type="dxa" w:w="1440"/>
            <w:vAlign w:val="top"/>
          </w:tcPr>
          <w:p>
            <w:pPr>
              <w:jc w:val="center"/>
            </w:pPr>
            <w:r>
              <w:rPr>
                <w:rFonts w:ascii="Arial" w:hAnsi="Arial"/>
                <w:sz w:val="21"/>
              </w:rPr>
              <w:t>14</w:t>
            </w:r>
          </w:p>
        </w:tc>
        <w:tc>
          <w:tcPr>
            <w:tcW w:type="dxa" w:w="8928"/>
            <w:vAlign w:val="top"/>
          </w:tcPr>
          <w:p>
            <w:r>
              <w:rPr>
                <w:rFonts w:ascii="Arial" w:hAnsi="Arial"/>
                <w:sz w:val="21"/>
              </w:rPr>
              <w:t>The DevSecOps pipeline uses different tools at different stages. Compiler warnings and static analysis are most useful during coding and build because developers can fix issues before release. Visual Studio Test Explorer runs C++ unit tests during verification. Vulnerability scanning and code review provide additional external checks. After deployment, Green Pace already uses operating system, firewall, and anti-malware logs, and application security events should be included as well. Critical findings and failed tests should prevent code from moving forward in the pipeline.</w:t>
            </w:r>
          </w:p>
        </w:tc>
      </w:tr>
      <w:tr>
        <w:tc>
          <w:tcPr>
            <w:tcW w:type="dxa" w:w="1440"/>
            <w:vAlign w:val="top"/>
          </w:tcPr>
          <w:p>
            <w:pPr>
              <w:jc w:val="center"/>
            </w:pPr>
            <w:r>
              <w:rPr>
                <w:rFonts w:ascii="Arial" w:hAnsi="Arial"/>
                <w:sz w:val="21"/>
              </w:rPr>
              <w:t>15</w:t>
            </w:r>
          </w:p>
        </w:tc>
        <w:tc>
          <w:tcPr>
            <w:tcW w:type="dxa" w:w="8928"/>
            <w:vAlign w:val="top"/>
          </w:tcPr>
          <w:p>
            <w:r>
              <w:rPr>
                <w:rFonts w:ascii="Arial" w:hAnsi="Arial"/>
                <w:sz w:val="21"/>
              </w:rPr>
              <w:t>Acting on security issues early provides several benefits. Vulnerabilities are usually less expensive to correct before they reach production, and early remediation reduces the chance of data loss, service interruption, or emergency patching. Waiting allows technical debt to grow and may expose users to known weaknesses. Automation also has limits. Static analysis can produce false positives and may miss business-logic flaws, so automated tools should support, not replace, developer review and testing.</w:t>
            </w:r>
          </w:p>
        </w:tc>
      </w:tr>
      <w:tr>
        <w:tc>
          <w:tcPr>
            <w:tcW w:type="dxa" w:w="1440"/>
            <w:vAlign w:val="top"/>
          </w:tcPr>
          <w:p>
            <w:pPr>
              <w:jc w:val="center"/>
            </w:pPr>
            <w:r>
              <w:rPr>
                <w:rFonts w:ascii="Arial" w:hAnsi="Arial"/>
                <w:sz w:val="21"/>
              </w:rPr>
              <w:t>16</w:t>
            </w:r>
          </w:p>
        </w:tc>
        <w:tc>
          <w:tcPr>
            <w:tcW w:type="dxa" w:w="8928"/>
            <w:vAlign w:val="top"/>
          </w:tcPr>
          <w:p>
            <w:r>
              <w:rPr>
                <w:rFonts w:ascii="Arial" w:hAnsi="Arial"/>
                <w:sz w:val="21"/>
              </w:rPr>
              <w:t>The current policy still has gaps that should be addressed as Green Pace matures. It does not define a minimum code-coverage target, detailed third-party dependency controls, or explicit CI/CD security gates. The company should also establish scheduled access reviews, encryption-key rotation procedures, and a process for feeding lessons from incidents back into coding standards. Security metrics can help determine whether these practices are actually improving outcomes.</w:t>
            </w:r>
          </w:p>
        </w:tc>
      </w:tr>
      <w:tr>
        <w:tc>
          <w:tcPr>
            <w:tcW w:type="dxa" w:w="1440"/>
            <w:vAlign w:val="top"/>
          </w:tcPr>
          <w:p>
            <w:pPr>
              <w:jc w:val="center"/>
            </w:pPr>
            <w:r>
              <w:rPr>
                <w:rFonts w:ascii="Arial" w:hAnsi="Arial"/>
                <w:sz w:val="21"/>
              </w:rPr>
              <w:t>17</w:t>
            </w:r>
          </w:p>
        </w:tc>
        <w:tc>
          <w:tcPr>
            <w:tcW w:type="dxa" w:w="8928"/>
            <w:vAlign w:val="top"/>
          </w:tcPr>
          <w:p>
            <w:r>
              <w:rPr>
                <w:rFonts w:ascii="Arial" w:hAnsi="Arial"/>
                <w:sz w:val="21"/>
              </w:rPr>
              <w:t>Moving forward, Green Pace should maintain its coding standards while aligning future revisions with established guidance such as the SEI CERT C++ Coding Standard, NIST Secure Software Development Framework, and OWASP application-security guidance. Unit tests, static analysis, least privilege, multifactor authentication, encryption, and logging should remain part of the normal development process. The policy should be reviewed at least annually and whenever major threats, incidents, regulations, or technologies change.</w:t>
            </w:r>
          </w:p>
        </w:tc>
      </w:tr>
      <w:tr>
        <w:tc>
          <w:tcPr>
            <w:tcW w:type="dxa" w:w="1440"/>
            <w:vAlign w:val="top"/>
          </w:tcPr>
          <w:p>
            <w:pPr>
              <w:jc w:val="center"/>
            </w:pPr>
            <w:r>
              <w:rPr>
                <w:rFonts w:ascii="Arial" w:hAnsi="Arial"/>
                <w:sz w:val="21"/>
              </w:rPr>
              <w:t>18</w:t>
            </w:r>
          </w:p>
        </w:tc>
        <w:tc>
          <w:tcPr>
            <w:tcW w:type="dxa" w:w="8928"/>
            <w:vAlign w:val="top"/>
          </w:tcPr>
          <w:p>
            <w:r>
              <w:rPr>
                <w:rFonts w:ascii="Arial" w:hAnsi="Arial"/>
                <w:sz w:val="21"/>
              </w:rPr>
              <w:t>These references support the recommendations in this presentation. Microsoft documents the C++ unit-testing frameworks available in Visual Studio and the use of Test Explorer. NIST provides the Secure Software Development Framework for integrating security practices into the software development lifecycle. OWASP provides practical guidance for validating untrusted input, and the Software Engineering Institute provides secure coding standards for C and C++. Together, these sources reinforce Green Pace’s defense-in-depth and secure-development approach.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