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left"/>
      </w:pPr>
      <w:r>
        <w:rPr>
          <w:rFonts w:ascii="Arial Unicode MS" w:hAnsi="Arial Unicode MS" w:eastAsia="Arial Unicode MS"/>
          <w:b/>
          <w:color w:val="315CF4"/>
          <w:sz w:val="20"/>
        </w:rPr>
        <w:t>OPERATOR CHECKLIST</w:t>
      </w:r>
    </w:p>
    <w:p>
      <w:pPr>
        <w:spacing w:before="0" w:after="140" w:line="300" w:lineRule="auto"/>
        <w:jc w:val="left"/>
      </w:pPr>
      <w:r>
        <w:rPr>
          <w:rFonts w:ascii="Arial Unicode MS" w:hAnsi="Arial Unicode MS" w:eastAsia="Arial Unicode MS"/>
          <w:b/>
          <w:color w:val="0B1530"/>
          <w:sz w:val="54"/>
        </w:rPr>
        <w:t>Blog Storage Deployment Checklist</w:t>
      </w:r>
    </w:p>
    <w:p>
      <w:pPr>
        <w:spacing w:before="0" w:after="360" w:line="300" w:lineRule="auto"/>
        <w:jc w:val="left"/>
      </w:pPr>
      <w:r>
        <w:rPr>
          <w:rFonts w:ascii="Arial Unicode MS" w:hAnsi="Arial Unicode MS" w:eastAsia="Arial Unicode MS"/>
          <w:b w:val="0"/>
          <w:color w:val="64748B"/>
          <w:sz w:val="25"/>
        </w:rPr>
        <w:t>Preflight, release verification, and rollback record for AstraStoreXion, the Django blog API, and the Vue admin client.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900"/>
        <w:gridCol w:w="1500"/>
        <w:gridCol w:w="4460"/>
      </w:tblGrid>
      <w:tr>
        <w:tc>
          <w:tcPr>
            <w:tcW w:type="dxa" w:w="1500"/>
            <w:shd w:fill="EAF0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1530"/>
                <w:sz w:val="19"/>
              </w:rPr>
              <w:t>Environment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19"/>
              </w:rPr>
              <w:t>Production server</w:t>
            </w:r>
          </w:p>
        </w:tc>
        <w:tc>
          <w:tcPr>
            <w:tcW w:type="dxa" w:w="1500"/>
            <w:shd w:fill="EAF0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1530"/>
                <w:sz w:val="19"/>
              </w:rPr>
              <w:t>Release date</w:t>
            </w:r>
          </w:p>
        </w:tc>
        <w:tc>
          <w:tcPr>
            <w:tcW w:type="dxa" w:w="4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19"/>
              </w:rPr>
              <w:t>2026-08-10</w:t>
            </w:r>
          </w:p>
        </w:tc>
      </w:tr>
      <w:tr>
        <w:tc>
          <w:tcPr>
            <w:tcW w:type="dxa" w:w="1500"/>
            <w:shd w:fill="EAF0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1530"/>
                <w:sz w:val="19"/>
              </w:rPr>
              <w:t>Storage</w:t>
            </w:r>
          </w:p>
        </w:tc>
        <w:tc>
          <w:tcPr>
            <w:tcW w:type="dxa" w:w="1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19"/>
              </w:rPr>
              <w:t>New: Xion / Legacy: local media</w:t>
            </w:r>
          </w:p>
        </w:tc>
        <w:tc>
          <w:tcPr>
            <w:tcW w:type="dxa" w:w="1500"/>
            <w:shd w:fill="EAF0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1530"/>
                <w:sz w:val="19"/>
              </w:rPr>
              <w:t>File limit</w:t>
            </w:r>
          </w:p>
        </w:tc>
        <w:tc>
          <w:tcPr>
            <w:tcW w:type="dxa" w:w="4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19"/>
              </w:rPr>
              <w:t>50 MB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Arial Unicode MS" w:hAnsi="Arial Unicode MS" w:eastAsia="Arial Unicode MS"/>
          <w:b/>
          <w:color w:val="315CF4"/>
          <w:sz w:val="32"/>
        </w:rPr>
        <w:t>1. Preflight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150"/>
        <w:gridCol w:w="5310"/>
      </w:tblGrid>
      <w:tr>
        <w:tc>
          <w:tcPr>
            <w:tcW w:type="dxa" w:w="900"/>
            <w:shd w:fill="EAF0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0B1530"/>
                <w:sz w:val="20"/>
              </w:rPr>
              <w:t>Done</w:t>
            </w:r>
          </w:p>
        </w:tc>
        <w:tc>
          <w:tcPr>
            <w:tcW w:type="dxa" w:w="3150"/>
            <w:shd w:fill="EAF0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0B1530"/>
                <w:sz w:val="20"/>
              </w:rPr>
              <w:t>Check</w:t>
            </w:r>
          </w:p>
        </w:tc>
        <w:tc>
          <w:tcPr>
            <w:tcW w:type="dxa" w:w="5310"/>
            <w:shd w:fill="EAF0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0B1530"/>
                <w:sz w:val="20"/>
              </w:rPr>
              <w:t>Acceptance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315CF4"/>
                <w:sz w:val="28"/>
              </w:rPr>
              <w:t>☐</w:t>
            </w:r>
          </w:p>
        </w:tc>
        <w:tc>
          <w:tcPr>
            <w:tcW w:type="dxa" w:w="3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2033"/>
                <w:sz w:val="21"/>
              </w:rPr>
              <w:t>Back up code and database</w:t>
            </w:r>
          </w:p>
        </w:tc>
        <w:tc>
          <w:tcPr>
            <w:tcW w:type="dxa" w:w="5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1"/>
              </w:rPr>
              <w:t>Backups are timestamped and restorable; the media directory remains untouched.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315CF4"/>
                <w:sz w:val="28"/>
              </w:rPr>
              <w:t>☐</w:t>
            </w:r>
          </w:p>
        </w:tc>
        <w:tc>
          <w:tcPr>
            <w:tcW w:type="dxa" w:w="3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2033"/>
                <w:sz w:val="21"/>
              </w:rPr>
              <w:t>Verify service-token permissions</w:t>
            </w:r>
          </w:p>
        </w:tc>
        <w:tc>
          <w:tcPr>
            <w:tcW w:type="dxa" w:w="5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1"/>
              </w:rPr>
              <w:t>The token exists only in restricted env files, never in Git, logs, or the browser.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315CF4"/>
                <w:sz w:val="28"/>
              </w:rPr>
              <w:t>☐</w:t>
            </w:r>
          </w:p>
        </w:tc>
        <w:tc>
          <w:tcPr>
            <w:tcW w:type="dxa" w:w="3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2033"/>
                <w:sz w:val="21"/>
              </w:rPr>
              <w:t>Confirm disk headroom</w:t>
            </w:r>
          </w:p>
        </w:tc>
        <w:tc>
          <w:tcPr>
            <w:tcW w:type="dxa" w:w="5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1"/>
              </w:rPr>
              <w:t>Free space covers current data plus at least one complete release package.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315CF4"/>
                <w:sz w:val="28"/>
              </w:rPr>
              <w:t>☐</w:t>
            </w:r>
          </w:p>
        </w:tc>
        <w:tc>
          <w:tcPr>
            <w:tcW w:type="dxa" w:w="3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2033"/>
                <w:sz w:val="21"/>
              </w:rPr>
              <w:t>Run the full verification suite</w:t>
            </w:r>
          </w:p>
        </w:tc>
        <w:tc>
          <w:tcPr>
            <w:tcW w:type="dxa" w:w="5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1"/>
              </w:rPr>
              <w:t>Go, Python, Django, and Vue tests plus the production build all pass.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200"/>
      </w:pPr>
      <w:r>
        <w:rPr>
          <w:rFonts w:ascii="Arial Unicode MS" w:hAnsi="Arial Unicode MS" w:eastAsia="Arial Unicode MS"/>
          <w:b/>
          <w:color w:val="315CF4"/>
          <w:sz w:val="32"/>
        </w:rPr>
        <w:t>2. Service release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150"/>
        <w:gridCol w:w="5310"/>
      </w:tblGrid>
      <w:tr>
        <w:tc>
          <w:tcPr>
            <w:tcW w:type="dxa" w:w="900"/>
            <w:shd w:fill="EAF0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0B1530"/>
                <w:sz w:val="20"/>
              </w:rPr>
              <w:t>Done</w:t>
            </w:r>
          </w:p>
        </w:tc>
        <w:tc>
          <w:tcPr>
            <w:tcW w:type="dxa" w:w="3150"/>
            <w:shd w:fill="EAF0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0B1530"/>
                <w:sz w:val="20"/>
              </w:rPr>
              <w:t>Check</w:t>
            </w:r>
          </w:p>
        </w:tc>
        <w:tc>
          <w:tcPr>
            <w:tcW w:type="dxa" w:w="5310"/>
            <w:shd w:fill="EAF0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0B1530"/>
                <w:sz w:val="20"/>
              </w:rPr>
              <w:t>Acceptance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315CF4"/>
                <w:sz w:val="28"/>
              </w:rPr>
              <w:t>☐</w:t>
            </w:r>
          </w:p>
        </w:tc>
        <w:tc>
          <w:tcPr>
            <w:tcW w:type="dxa" w:w="3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2033"/>
                <w:sz w:val="21"/>
              </w:rPr>
              <w:t>Start the Xion systemd service</w:t>
            </w:r>
          </w:p>
        </w:tc>
        <w:tc>
          <w:tcPr>
            <w:tcW w:type="dxa" w:w="5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1"/>
              </w:rPr>
              <w:t>It listens only on 127.0.0.1; /healthz and /readyz succeed.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315CF4"/>
                <w:sz w:val="28"/>
              </w:rPr>
              <w:t>☐</w:t>
            </w:r>
          </w:p>
        </w:tc>
        <w:tc>
          <w:tcPr>
            <w:tcW w:type="dxa" w:w="3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2033"/>
                <w:sz w:val="21"/>
              </w:rPr>
              <w:t>Apply Django migrations</w:t>
            </w:r>
          </w:p>
        </w:tc>
        <w:tc>
          <w:tcPr>
            <w:tcW w:type="dxa" w:w="5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1"/>
              </w:rPr>
              <w:t>UploadFile has the new fields; historical rows default to local.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315CF4"/>
                <w:sz w:val="28"/>
              </w:rPr>
              <w:t>☐</w:t>
            </w:r>
          </w:p>
        </w:tc>
        <w:tc>
          <w:tcPr>
            <w:tcW w:type="dxa" w:w="3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2033"/>
                <w:sz w:val="21"/>
              </w:rPr>
              <w:t>Enable XION_STORAGE_ENABLED</w:t>
            </w:r>
          </w:p>
        </w:tc>
        <w:tc>
          <w:tcPr>
            <w:tcW w:type="dxa" w:w="5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1"/>
              </w:rPr>
              <w:t>The blog reads the service URL, token, and 50 MB limit.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315CF4"/>
                <w:sz w:val="28"/>
              </w:rPr>
              <w:t>☐</w:t>
            </w:r>
          </w:p>
        </w:tc>
        <w:tc>
          <w:tcPr>
            <w:tcW w:type="dxa" w:w="3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2033"/>
                <w:sz w:val="21"/>
              </w:rPr>
              <w:t>Switch the frontend release</w:t>
            </w:r>
          </w:p>
        </w:tc>
        <w:tc>
          <w:tcPr>
            <w:tcW w:type="dxa" w:w="5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1"/>
              </w:rPr>
              <w:t>The current symlink changes atomically and the prior release remains available.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200"/>
      </w:pPr>
      <w:r>
        <w:rPr>
          <w:rFonts w:ascii="Arial Unicode MS" w:hAnsi="Arial Unicode MS" w:eastAsia="Arial Unicode MS"/>
          <w:b/>
          <w:color w:val="315CF4"/>
          <w:sz w:val="32"/>
        </w:rPr>
        <w:t>3. End-to-end acceptance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150"/>
        <w:gridCol w:w="5310"/>
      </w:tblGrid>
      <w:tr>
        <w:tc>
          <w:tcPr>
            <w:tcW w:type="dxa" w:w="900"/>
            <w:shd w:fill="EAF0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0B1530"/>
                <w:sz w:val="20"/>
              </w:rPr>
              <w:t>Done</w:t>
            </w:r>
          </w:p>
        </w:tc>
        <w:tc>
          <w:tcPr>
            <w:tcW w:type="dxa" w:w="3150"/>
            <w:shd w:fill="EAF0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0B1530"/>
                <w:sz w:val="20"/>
              </w:rPr>
              <w:t>Check</w:t>
            </w:r>
          </w:p>
        </w:tc>
        <w:tc>
          <w:tcPr>
            <w:tcW w:type="dxa" w:w="5310"/>
            <w:shd w:fill="EAF0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color w:val="0B1530"/>
                <w:sz w:val="20"/>
              </w:rPr>
              <w:t>Acceptance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315CF4"/>
                <w:sz w:val="28"/>
              </w:rPr>
              <w:t>☐</w:t>
            </w:r>
          </w:p>
        </w:tc>
        <w:tc>
          <w:tcPr>
            <w:tcW w:type="dxa" w:w="3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2033"/>
                <w:sz w:val="21"/>
              </w:rPr>
              <w:t>Upload PNG</w:t>
            </w:r>
          </w:p>
        </w:tc>
        <w:tc>
          <w:tcPr>
            <w:tcW w:type="dxa" w:w="5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1"/>
              </w:rPr>
              <w:t>The UI shows progress, preview works, and the backend reports xion.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315CF4"/>
                <w:sz w:val="28"/>
              </w:rPr>
              <w:t>☐</w:t>
            </w:r>
          </w:p>
        </w:tc>
        <w:tc>
          <w:tcPr>
            <w:tcW w:type="dxa" w:w="3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2033"/>
                <w:sz w:val="21"/>
              </w:rPr>
              <w:t>Upload PDF and DOCX</w:t>
            </w:r>
          </w:p>
        </w:tc>
        <w:tc>
          <w:tcPr>
            <w:tcW w:type="dxa" w:w="5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1"/>
              </w:rPr>
              <w:t>Both are classified as document; downloads preserve original names.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315CF4"/>
                <w:sz w:val="28"/>
              </w:rPr>
              <w:t>☐</w:t>
            </w:r>
          </w:p>
        </w:tc>
        <w:tc>
          <w:tcPr>
            <w:tcW w:type="dxa" w:w="3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2033"/>
                <w:sz w:val="21"/>
              </w:rPr>
              <w:t>Upload TXT</w:t>
            </w:r>
          </w:p>
        </w:tc>
        <w:tc>
          <w:tcPr>
            <w:tcW w:type="dxa" w:w="5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1"/>
              </w:rPr>
              <w:t>Size, MIME, and SHA-256 match the local fixture.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315CF4"/>
                <w:sz w:val="28"/>
              </w:rPr>
              <w:t>☐</w:t>
            </w:r>
          </w:p>
        </w:tc>
        <w:tc>
          <w:tcPr>
            <w:tcW w:type="dxa" w:w="3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2033"/>
                <w:sz w:val="21"/>
              </w:rPr>
              <w:t>Delete test files</w:t>
            </w:r>
          </w:p>
        </w:tc>
        <w:tc>
          <w:tcPr>
            <w:tcW w:type="dxa" w:w="5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1"/>
              </w:rPr>
              <w:t>Database rows and Xion objects are removed; repeated delete is safe.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color w:val="315CF4"/>
                <w:sz w:val="28"/>
              </w:rPr>
              <w:t>☐</w:t>
            </w:r>
          </w:p>
        </w:tc>
        <w:tc>
          <w:tcPr>
            <w:tcW w:type="dxa" w:w="31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172033"/>
                <w:sz w:val="21"/>
              </w:rPr>
              <w:t>Verify legacy media</w:t>
            </w:r>
          </w:p>
        </w:tc>
        <w:tc>
          <w:tcPr>
            <w:tcW w:type="dxa" w:w="531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1"/>
              </w:rPr>
              <w:t>Existing /media/ links still work without a bulk migration.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200"/>
      </w:pPr>
      <w:r>
        <w:rPr>
          <w:rFonts w:ascii="Arial Unicode MS" w:hAnsi="Arial Unicode MS" w:eastAsia="Arial Unicode MS"/>
          <w:b/>
          <w:color w:val="315CF4"/>
          <w:sz w:val="32"/>
        </w:rPr>
        <w:t>4. Rollback record</w:t>
      </w:r>
    </w:p>
    <w:p>
      <w:pPr>
        <w:spacing w:before="0" w:after="160" w:line="300" w:lineRule="auto"/>
        <w:jc w:val="left"/>
      </w:pPr>
      <w:r>
        <w:rPr>
          <w:rFonts w:ascii="Arial Unicode MS" w:hAnsi="Arial Unicode MS" w:eastAsia="Arial Unicode MS"/>
          <w:b/>
          <w:color w:val="7A5A00"/>
          <w:sz w:val="21"/>
        </w:rPr>
        <w:t>Trigger rollback when health checks fail, uploads keep returning 5xx, migration fails, or legacy media becomes unavailable.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5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1530"/>
                <w:sz w:val="20"/>
              </w:rPr>
              <w:t>Frontend</w:t>
            </w:r>
          </w:p>
        </w:tc>
        <w:tc>
          <w:tcPr>
            <w:tcW w:type="dxa" w:w="7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0"/>
              </w:rPr>
              <w:t>Point current to the previous release, then reload Nginx</w:t>
            </w:r>
          </w:p>
        </w:tc>
      </w:tr>
      <w:tr>
        <w:tc>
          <w:tcPr>
            <w:tcW w:type="dxa" w:w="1800"/>
            <w:shd w:fill="F5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1530"/>
                <w:sz w:val="20"/>
              </w:rPr>
              <w:t>Backend</w:t>
            </w:r>
          </w:p>
        </w:tc>
        <w:tc>
          <w:tcPr>
            <w:tcW w:type="dxa" w:w="7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0"/>
              </w:rPr>
              <w:t>Restore the code and .env backups; roll back the database only if required</w:t>
            </w:r>
          </w:p>
        </w:tc>
      </w:tr>
      <w:tr>
        <w:tc>
          <w:tcPr>
            <w:tcW w:type="dxa" w:w="1800"/>
            <w:shd w:fill="F5F7F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b/>
                <w:color w:val="0B1530"/>
                <w:sz w:val="20"/>
              </w:rPr>
              <w:t>Storage</w:t>
            </w:r>
          </w:p>
        </w:tc>
        <w:tc>
          <w:tcPr>
            <w:tcW w:type="dxa" w:w="75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 Unicode MS" w:hAnsi="Arial Unicode MS" w:eastAsia="Arial Unicode MS"/>
                <w:color w:val="172033"/>
                <w:sz w:val="20"/>
              </w:rPr>
              <w:t>Disable XION_STORAGE_ENABLED; keep the data directory and its objects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8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4748B"/>
        <w:sz w:val="17"/>
      </w:rPr>
      <w:t xml:space="preserve">Deployment acceptance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/>
        <w:color w:val="64748B"/>
        <w:sz w:val="17"/>
      </w:rPr>
      <w:t>ASTRASTORE XION / BLOG STORAGE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Blog Storage Deployment Checklist</dc:title>
  <dc:subject>AstraStoreXion integration test fixture</dc:subject>
  <dc:creator>AstraStoreXion</dc:creator>
  <cp:keywords>storage, blog, deployment, test fixture</cp:keywords>
  <dc:description>generated by python-docx</dc:description>
  <cp:lastModifiedBy/>
  <cp:revision>1</cp:revision>
  <dcterms:created xsi:type="dcterms:W3CDTF">2026-08-10T00:00:00Z</dcterms:created>
  <dcterms:modified xsi:type="dcterms:W3CDTF">2026-08-10T00:00:00Z</dcterms:modified>
  <cp:category/>
</cp:coreProperties>
</file>