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B9CE7" w14:textId="2F3A76A2" w:rsidR="009C5CE2" w:rsidRDefault="009C5CE2">
      <w:r w:rsidRPr="00D01A22">
        <w:rPr>
          <w:highlight w:val="yellow"/>
        </w:rPr>
        <w:t>Données Drim</w:t>
      </w:r>
      <w:r w:rsidR="00D01A22" w:rsidRPr="00D01A22">
        <w:rPr>
          <w:highlight w:val="yellow"/>
        </w:rPr>
        <w:t xml:space="preserve"> Game</w:t>
      </w:r>
      <w:r w:rsidRPr="00D01A22">
        <w:rPr>
          <w:highlight w:val="yellow"/>
        </w:rPr>
        <w:t xml:space="preserve"> Italie</w:t>
      </w:r>
    </w:p>
    <w:p w14:paraId="02E7AA9D" w14:textId="705608D6" w:rsidR="009C5CE2" w:rsidRDefault="009C5CE2"/>
    <w:p w14:paraId="2F9DEC4F" w14:textId="7151A912" w:rsidR="009C5CE2" w:rsidRDefault="009C5CE2">
      <w:r w:rsidRPr="009C5CE2">
        <w:rPr>
          <w:b/>
          <w:bCs/>
        </w:rPr>
        <w:t xml:space="preserve">Taux de </w:t>
      </w:r>
      <w:proofErr w:type="spellStart"/>
      <w:r w:rsidRPr="009C5CE2">
        <w:rPr>
          <w:b/>
          <w:bCs/>
        </w:rPr>
        <w:t>chomage</w:t>
      </w:r>
      <w:proofErr w:type="spellEnd"/>
      <w:r>
        <w:t xml:space="preserve"> (provisoire) OCDE   2010-2020</w:t>
      </w:r>
    </w:p>
    <w:p w14:paraId="6D8B4A83" w14:textId="62494439" w:rsidR="009C5CE2" w:rsidRDefault="009C5CE2">
      <w:hyperlink r:id="rId4" w:history="1">
        <w:r w:rsidRPr="00166863">
          <w:rPr>
            <w:rStyle w:val="Lienhypertexte"/>
          </w:rPr>
          <w:t>https://data.oecd.org/fr/unemp/taux-de-chomage.htm</w:t>
        </w:r>
      </w:hyperlink>
    </w:p>
    <w:p w14:paraId="38B7B5BD" w14:textId="59929C46" w:rsidR="009C5CE2" w:rsidRDefault="009C5CE2"/>
    <w:p w14:paraId="68820750" w14:textId="77826020" w:rsidR="009C5CE2" w:rsidRDefault="009C5CE2">
      <w:proofErr w:type="spellStart"/>
      <w:r>
        <w:t>Ita</w:t>
      </w:r>
      <w:proofErr w:type="spellEnd"/>
      <w:r>
        <w:t>-</w:t>
      </w:r>
      <w:proofErr w:type="gramStart"/>
      <w:r>
        <w:t>coin  (</w:t>
      </w:r>
      <w:proofErr w:type="gramEnd"/>
      <w:r>
        <w:t xml:space="preserve">Banque centrale d’Italie) 2010-2020  </w:t>
      </w:r>
    </w:p>
    <w:p w14:paraId="55D512C4" w14:textId="59CEFACB" w:rsidR="009C5CE2" w:rsidRPr="009C5CE2" w:rsidRDefault="009C5CE2">
      <w:pPr>
        <w:rPr>
          <w:b/>
          <w:bCs/>
        </w:rPr>
      </w:pPr>
      <w:r w:rsidRPr="009C5CE2">
        <w:rPr>
          <w:b/>
          <w:bCs/>
        </w:rPr>
        <w:t xml:space="preserve">Indicateur cyclique </w:t>
      </w:r>
      <w:proofErr w:type="spellStart"/>
      <w:r w:rsidRPr="009C5CE2">
        <w:rPr>
          <w:b/>
          <w:bCs/>
        </w:rPr>
        <w:t>coincident</w:t>
      </w:r>
      <w:proofErr w:type="spellEnd"/>
    </w:p>
    <w:p w14:paraId="57BE7BF8" w14:textId="179DA466" w:rsidR="009C5CE2" w:rsidRDefault="009C5CE2">
      <w:hyperlink r:id="rId5" w:history="1">
        <w:r w:rsidRPr="00166863">
          <w:rPr>
            <w:rStyle w:val="Lienhypertexte"/>
          </w:rPr>
          <w:t>https://www.bancaditalia.it/statistiche/tematiche/indicatori/indicatore-ciclico-coincidente/index.html</w:t>
        </w:r>
      </w:hyperlink>
    </w:p>
    <w:p w14:paraId="653F633A" w14:textId="77777777" w:rsidR="009C5CE2" w:rsidRPr="009C5CE2" w:rsidRDefault="009C5CE2" w:rsidP="009C5CE2">
      <w:pPr>
        <w:pStyle w:val="NormalWeb"/>
        <w:shd w:val="clear" w:color="auto" w:fill="FFFFFF"/>
        <w:spacing w:before="0" w:beforeAutospacing="0" w:after="105" w:afterAutospacing="0"/>
        <w:jc w:val="both"/>
        <w:rPr>
          <w:rFonts w:asciiTheme="minorHAnsi" w:hAnsiTheme="minorHAnsi" w:cstheme="minorHAnsi"/>
        </w:rPr>
      </w:pPr>
      <w:r w:rsidRPr="009C5CE2">
        <w:rPr>
          <w:rFonts w:asciiTheme="minorHAnsi" w:hAnsiTheme="minorHAnsi" w:cstheme="minorHAnsi"/>
        </w:rPr>
        <w:t>La Banque d'Italie produit un indicateur conjoncturel coïncident de l'économie italienne, </w:t>
      </w:r>
      <w:proofErr w:type="spellStart"/>
      <w:r w:rsidRPr="009C5CE2">
        <w:rPr>
          <w:rStyle w:val="Accentuation"/>
          <w:rFonts w:asciiTheme="minorHAnsi" w:hAnsiTheme="minorHAnsi" w:cstheme="minorHAnsi"/>
        </w:rPr>
        <w:t>Ita</w:t>
      </w:r>
      <w:proofErr w:type="spellEnd"/>
      <w:r w:rsidRPr="009C5CE2">
        <w:rPr>
          <w:rStyle w:val="Accentuation"/>
          <w:rFonts w:asciiTheme="minorHAnsi" w:hAnsiTheme="minorHAnsi" w:cstheme="minorHAnsi"/>
        </w:rPr>
        <w:t>-</w:t>
      </w:r>
      <w:proofErr w:type="gramStart"/>
      <w:r w:rsidRPr="009C5CE2">
        <w:rPr>
          <w:rStyle w:val="Accentuation"/>
          <w:rFonts w:asciiTheme="minorHAnsi" w:hAnsiTheme="minorHAnsi" w:cstheme="minorHAnsi"/>
        </w:rPr>
        <w:t>coin</w:t>
      </w:r>
      <w:r w:rsidRPr="009C5CE2">
        <w:rPr>
          <w:rFonts w:asciiTheme="minorHAnsi" w:hAnsiTheme="minorHAnsi" w:cstheme="minorHAnsi"/>
        </w:rPr>
        <w:t> ,</w:t>
      </w:r>
      <w:proofErr w:type="gramEnd"/>
      <w:r w:rsidRPr="009C5CE2">
        <w:rPr>
          <w:rFonts w:asciiTheme="minorHAnsi" w:hAnsiTheme="minorHAnsi" w:cstheme="minorHAnsi"/>
        </w:rPr>
        <w:t xml:space="preserve"> qui fournit en temps réel une estimation mensuelle de l'évolution tendancielle de l'activité économique en exploitant les informations provenant d'un large ensemble de variables, à la fois quantitatives (production industrielle , inflation, ventes au détail, flux commerciaux, indices boursiers) et qualitatifs (confiance des ménages et des entreprises, indicateurs PMI).</w:t>
      </w:r>
    </w:p>
    <w:p w14:paraId="4BCE9398" w14:textId="77777777" w:rsidR="009C5CE2" w:rsidRPr="009C5CE2" w:rsidRDefault="009C5CE2" w:rsidP="009C5CE2">
      <w:pPr>
        <w:pStyle w:val="NormalWeb"/>
        <w:shd w:val="clear" w:color="auto" w:fill="FFFFFF"/>
        <w:spacing w:before="0" w:beforeAutospacing="0" w:after="105" w:afterAutospacing="0"/>
        <w:jc w:val="both"/>
        <w:rPr>
          <w:rFonts w:asciiTheme="minorHAnsi" w:hAnsiTheme="minorHAnsi" w:cstheme="minorHAnsi"/>
        </w:rPr>
      </w:pPr>
      <w:proofErr w:type="spellStart"/>
      <w:r w:rsidRPr="009C5CE2">
        <w:rPr>
          <w:rStyle w:val="Accentuation"/>
          <w:rFonts w:asciiTheme="minorHAnsi" w:hAnsiTheme="minorHAnsi" w:cstheme="minorHAnsi"/>
        </w:rPr>
        <w:t>Ita</w:t>
      </w:r>
      <w:proofErr w:type="spellEnd"/>
      <w:r w:rsidRPr="009C5CE2">
        <w:rPr>
          <w:rStyle w:val="Accentuation"/>
          <w:rFonts w:asciiTheme="minorHAnsi" w:hAnsiTheme="minorHAnsi" w:cstheme="minorHAnsi"/>
        </w:rPr>
        <w:t>-coin</w:t>
      </w:r>
      <w:r w:rsidRPr="009C5CE2">
        <w:rPr>
          <w:rFonts w:asciiTheme="minorHAnsi" w:hAnsiTheme="minorHAnsi" w:cstheme="minorHAnsi"/>
        </w:rPr>
        <w:t xml:space="preserve"> répond donc à des finalités similaires à celles pour lesquelles l'€ -coin est utilisé, développé pour la zone euro en collaboration avec le Centre for </w:t>
      </w:r>
      <w:proofErr w:type="spellStart"/>
      <w:r w:rsidRPr="009C5CE2">
        <w:rPr>
          <w:rFonts w:asciiTheme="minorHAnsi" w:hAnsiTheme="minorHAnsi" w:cstheme="minorHAnsi"/>
        </w:rPr>
        <w:t>Economic</w:t>
      </w:r>
      <w:proofErr w:type="spellEnd"/>
      <w:r w:rsidRPr="009C5CE2">
        <w:rPr>
          <w:rFonts w:asciiTheme="minorHAnsi" w:hAnsiTheme="minorHAnsi" w:cstheme="minorHAnsi"/>
        </w:rPr>
        <w:t xml:space="preserve"> Policy </w:t>
      </w:r>
      <w:proofErr w:type="spellStart"/>
      <w:r w:rsidRPr="009C5CE2">
        <w:rPr>
          <w:rFonts w:asciiTheme="minorHAnsi" w:hAnsiTheme="minorHAnsi" w:cstheme="minorHAnsi"/>
        </w:rPr>
        <w:t>Research</w:t>
      </w:r>
      <w:proofErr w:type="spellEnd"/>
      <w:r w:rsidRPr="009C5CE2">
        <w:rPr>
          <w:rFonts w:asciiTheme="minorHAnsi" w:hAnsiTheme="minorHAnsi" w:cstheme="minorHAnsi"/>
        </w:rPr>
        <w:t xml:space="preserve"> (CEPR). </w:t>
      </w:r>
      <w:r w:rsidRPr="009C5CE2">
        <w:rPr>
          <w:rStyle w:val="Accentuation"/>
          <w:rFonts w:asciiTheme="minorHAnsi" w:hAnsiTheme="minorHAnsi" w:cstheme="minorHAnsi"/>
        </w:rPr>
        <w:t>Les</w:t>
      </w:r>
      <w:r w:rsidRPr="009C5CE2">
        <w:rPr>
          <w:rFonts w:asciiTheme="minorHAnsi" w:hAnsiTheme="minorHAnsi" w:cstheme="minorHAnsi"/>
        </w:rPr>
        <w:t xml:space="preserve"> estimations mensuelles </w:t>
      </w:r>
      <w:proofErr w:type="gramStart"/>
      <w:r w:rsidRPr="009C5CE2">
        <w:rPr>
          <w:rFonts w:asciiTheme="minorHAnsi" w:hAnsiTheme="minorHAnsi" w:cstheme="minorHAnsi"/>
        </w:rPr>
        <w:t>d' </w:t>
      </w:r>
      <w:proofErr w:type="spellStart"/>
      <w:r w:rsidRPr="009C5CE2">
        <w:rPr>
          <w:rStyle w:val="Accentuation"/>
          <w:rFonts w:asciiTheme="minorHAnsi" w:hAnsiTheme="minorHAnsi" w:cstheme="minorHAnsi"/>
        </w:rPr>
        <w:t>Ita</w:t>
      </w:r>
      <w:proofErr w:type="spellEnd"/>
      <w:proofErr w:type="gramEnd"/>
      <w:r w:rsidRPr="009C5CE2">
        <w:rPr>
          <w:rStyle w:val="Accentuation"/>
          <w:rFonts w:asciiTheme="minorHAnsi" w:hAnsiTheme="minorHAnsi" w:cstheme="minorHAnsi"/>
        </w:rPr>
        <w:t>-coin</w:t>
      </w:r>
      <w:r w:rsidRPr="009C5CE2">
        <w:rPr>
          <w:rFonts w:asciiTheme="minorHAnsi" w:hAnsiTheme="minorHAnsi" w:cstheme="minorHAnsi"/>
        </w:rPr>
        <w:t> sont légèrement affectées par les révisions des données et ont tendance à rester stables même en période de fortes fluctuations de l'activité économique.</w:t>
      </w:r>
    </w:p>
    <w:p w14:paraId="3E2AC74B" w14:textId="4B1A055F" w:rsidR="009C5CE2" w:rsidRDefault="009C5CE2">
      <w:pPr>
        <w:rPr>
          <w:rFonts w:cstheme="minorHAnsi"/>
        </w:rPr>
      </w:pPr>
    </w:p>
    <w:p w14:paraId="404CED58" w14:textId="7AE8B3B7" w:rsidR="00332BAD" w:rsidRDefault="00332BAD">
      <w:pPr>
        <w:rPr>
          <w:rFonts w:cstheme="minorHAnsi"/>
          <w:b/>
          <w:bCs/>
        </w:rPr>
      </w:pPr>
      <w:r w:rsidRPr="00332BAD">
        <w:rPr>
          <w:rFonts w:cstheme="minorHAnsi"/>
          <w:b/>
          <w:bCs/>
        </w:rPr>
        <w:t xml:space="preserve">Taux d'intérêt - dépôts - ménages et sociétés non financières </w:t>
      </w:r>
      <w:r w:rsidR="00944F8C">
        <w:rPr>
          <w:rFonts w:cstheme="minorHAnsi"/>
          <w:b/>
          <w:bCs/>
        </w:rPr>
        <w:t>–</w:t>
      </w:r>
      <w:r w:rsidRPr="00332BAD">
        <w:rPr>
          <w:rFonts w:cstheme="minorHAnsi"/>
          <w:b/>
          <w:bCs/>
        </w:rPr>
        <w:t xml:space="preserve"> encours</w:t>
      </w:r>
    </w:p>
    <w:p w14:paraId="4C438032" w14:textId="64D66628" w:rsidR="00944F8C" w:rsidRDefault="00944F8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(</w:t>
      </w:r>
      <w:proofErr w:type="spellStart"/>
      <w:proofErr w:type="gramStart"/>
      <w:r>
        <w:rPr>
          <w:rFonts w:cstheme="minorHAnsi"/>
          <w:b/>
          <w:bCs/>
        </w:rPr>
        <w:t>outstanding</w:t>
      </w:r>
      <w:proofErr w:type="spellEnd"/>
      <w:proofErr w:type="gram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amounts</w:t>
      </w:r>
      <w:proofErr w:type="spellEnd"/>
      <w:r>
        <w:rPr>
          <w:rFonts w:cstheme="minorHAnsi"/>
          <w:b/>
          <w:bCs/>
        </w:rPr>
        <w:t>)</w:t>
      </w:r>
    </w:p>
    <w:p w14:paraId="1019E9AC" w14:textId="7DB8558B" w:rsidR="00944F8C" w:rsidRDefault="00944F8C">
      <w:pPr>
        <w:rPr>
          <w:rFonts w:cstheme="minorHAnsi"/>
        </w:rPr>
      </w:pPr>
      <w:hyperlink r:id="rId6" w:history="1">
        <w:r w:rsidRPr="00944F8C">
          <w:rPr>
            <w:rStyle w:val="Lienhypertexte"/>
            <w:rFonts w:cstheme="minorHAnsi"/>
          </w:rPr>
          <w:t>https://infostat.bancaditalia.it/inquiry/home?spyglass/taxo:CUBESET=/PRINC_IND_00/PRINC_IND_01/PRINC_IND_02/PRINC_IND_02_02&amp;ITEMSELEZ=BAM_MIR.M.1300010.MIR5411.9.950.1000.SBI17.EUR.110.212:true&amp;OPEN=false/&amp;ep:LC=EN&amp;COMM=BANKITALIA&amp;ENV=LIVE&amp;CTX=DIFF&amp;IDX=1&amp;/view:CUBEIDS=/</w:t>
        </w:r>
      </w:hyperlink>
    </w:p>
    <w:p w14:paraId="23B6B434" w14:textId="332BE85D" w:rsidR="009F1A92" w:rsidRDefault="009F1A92">
      <w:pPr>
        <w:rPr>
          <w:rFonts w:cstheme="minorHAnsi"/>
        </w:rPr>
      </w:pPr>
    </w:p>
    <w:p w14:paraId="367DF77A" w14:textId="7550C708" w:rsidR="009F1A92" w:rsidRPr="009F1A92" w:rsidRDefault="009F1A92">
      <w:pPr>
        <w:rPr>
          <w:rFonts w:cstheme="minorHAnsi"/>
          <w:b/>
          <w:bCs/>
        </w:rPr>
      </w:pPr>
      <w:r w:rsidRPr="009F1A92">
        <w:rPr>
          <w:rFonts w:cstheme="minorHAnsi"/>
          <w:b/>
          <w:bCs/>
        </w:rPr>
        <w:t>Inflation (IPC)</w:t>
      </w:r>
    </w:p>
    <w:p w14:paraId="36F0762B" w14:textId="422F3DD3" w:rsidR="009F1A92" w:rsidRDefault="009F1A92">
      <w:pPr>
        <w:rPr>
          <w:rFonts w:cstheme="minorHAnsi"/>
        </w:rPr>
      </w:pPr>
      <w:hyperlink r:id="rId7" w:history="1">
        <w:r w:rsidRPr="00166863">
          <w:rPr>
            <w:rStyle w:val="Lienhypertexte"/>
            <w:rFonts w:cstheme="minorHAnsi"/>
          </w:rPr>
          <w:t>https://data.oecd.org/fr/price/inflation-ipc.htm</w:t>
        </w:r>
      </w:hyperlink>
    </w:p>
    <w:p w14:paraId="35F14816" w14:textId="77777777" w:rsidR="009F1A92" w:rsidRPr="00944F8C" w:rsidRDefault="009F1A92">
      <w:pPr>
        <w:rPr>
          <w:rFonts w:cstheme="minorHAnsi"/>
        </w:rPr>
      </w:pPr>
    </w:p>
    <w:p w14:paraId="2F4EAEDB" w14:textId="5F4C8322" w:rsidR="00944F8C" w:rsidRPr="009F1A92" w:rsidRDefault="00CA1073">
      <w:pPr>
        <w:rPr>
          <w:rFonts w:cstheme="minorHAnsi"/>
          <w:b/>
          <w:bCs/>
        </w:rPr>
      </w:pPr>
      <w:proofErr w:type="gramStart"/>
      <w:r w:rsidRPr="009F1A92">
        <w:rPr>
          <w:rFonts w:cstheme="minorHAnsi"/>
          <w:b/>
          <w:bCs/>
        </w:rPr>
        <w:t>indicateur</w:t>
      </w:r>
      <w:proofErr w:type="gramEnd"/>
      <w:r w:rsidRPr="009F1A92">
        <w:rPr>
          <w:rFonts w:cstheme="minorHAnsi"/>
          <w:b/>
          <w:bCs/>
        </w:rPr>
        <w:t xml:space="preserve"> composite avancé (</w:t>
      </w:r>
      <w:proofErr w:type="spellStart"/>
      <w:r w:rsidRPr="009F1A92">
        <w:rPr>
          <w:rFonts w:cstheme="minorHAnsi"/>
          <w:b/>
          <w:bCs/>
        </w:rPr>
        <w:t>ocde</w:t>
      </w:r>
      <w:proofErr w:type="spellEnd"/>
      <w:r w:rsidRPr="009F1A92">
        <w:rPr>
          <w:rFonts w:cstheme="minorHAnsi"/>
          <w:b/>
          <w:bCs/>
        </w:rPr>
        <w:t>)</w:t>
      </w:r>
    </w:p>
    <w:p w14:paraId="154F8D77" w14:textId="57A72317" w:rsidR="00CA1073" w:rsidRPr="00D01A22" w:rsidRDefault="00D01A22">
      <w:pPr>
        <w:rPr>
          <w:rFonts w:cstheme="minorHAnsi"/>
          <w:lang w:val="en-GB"/>
        </w:rPr>
      </w:pPr>
      <w:hyperlink r:id="rId8" w:history="1">
        <w:r w:rsidRPr="00D01A22">
          <w:rPr>
            <w:rStyle w:val="Lienhypertexte"/>
            <w:rFonts w:cstheme="minorHAnsi"/>
            <w:lang w:val="en-GB"/>
          </w:rPr>
          <w:t>https://data.oecd.org/fr/leadind/indicateur-composite-avance.htm</w:t>
        </w:r>
      </w:hyperlink>
    </w:p>
    <w:p w14:paraId="7E34F0B2" w14:textId="77777777" w:rsidR="00D01A22" w:rsidRPr="00CA1073" w:rsidRDefault="00D01A22">
      <w:pPr>
        <w:rPr>
          <w:rFonts w:cstheme="minorHAnsi"/>
          <w:b/>
          <w:bCs/>
          <w:lang w:val="en-GB"/>
        </w:rPr>
      </w:pPr>
    </w:p>
    <w:p w14:paraId="4D40EF86" w14:textId="5B073FC7" w:rsidR="00944F8C" w:rsidRPr="00CA1073" w:rsidRDefault="00944F8C">
      <w:pPr>
        <w:rPr>
          <w:rFonts w:cstheme="minorHAnsi"/>
          <w:b/>
          <w:bCs/>
          <w:lang w:val="en-GB"/>
        </w:rPr>
      </w:pPr>
      <w:r w:rsidRPr="00CA1073">
        <w:rPr>
          <w:rFonts w:cstheme="minorHAnsi"/>
          <w:b/>
          <w:bCs/>
          <w:lang w:val="en-GB"/>
        </w:rPr>
        <w:t>Business confidence climate index</w:t>
      </w:r>
    </w:p>
    <w:p w14:paraId="4026AD8E" w14:textId="66701BA1" w:rsidR="00944F8C" w:rsidRPr="00944F8C" w:rsidRDefault="00944F8C">
      <w:pPr>
        <w:rPr>
          <w:rFonts w:cstheme="minorHAnsi"/>
        </w:rPr>
      </w:pPr>
      <w:hyperlink r:id="rId9" w:history="1">
        <w:r w:rsidRPr="00944F8C">
          <w:rPr>
            <w:rStyle w:val="Lienhypertexte"/>
            <w:rFonts w:cstheme="minorHAnsi"/>
          </w:rPr>
          <w:t>http://dati.istat.it/Index.aspx?QueryId=12536&amp;lang=en</w:t>
        </w:r>
      </w:hyperlink>
    </w:p>
    <w:p w14:paraId="4F758B7F" w14:textId="474A24B0" w:rsidR="00944F8C" w:rsidRDefault="00944F8C">
      <w:pPr>
        <w:rPr>
          <w:rFonts w:cstheme="minorHAnsi"/>
          <w:b/>
          <w:bCs/>
        </w:rPr>
      </w:pPr>
    </w:p>
    <w:p w14:paraId="026E4850" w14:textId="604DE6C1" w:rsidR="008A55E4" w:rsidRDefault="008A55E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Taux d’intérêt a court terme (</w:t>
      </w:r>
      <w:proofErr w:type="gramStart"/>
      <w:r>
        <w:rPr>
          <w:rFonts w:cstheme="minorHAnsi"/>
          <w:b/>
          <w:bCs/>
        </w:rPr>
        <w:t xml:space="preserve">OCDE)   </w:t>
      </w:r>
      <w:proofErr w:type="gramEnd"/>
      <w:r>
        <w:rPr>
          <w:rFonts w:cstheme="minorHAnsi"/>
          <w:b/>
          <w:bCs/>
        </w:rPr>
        <w:t xml:space="preserve">(voir peut-être </w:t>
      </w:r>
      <w:proofErr w:type="spellStart"/>
      <w:r>
        <w:rPr>
          <w:rFonts w:cstheme="minorHAnsi"/>
          <w:b/>
          <w:bCs/>
        </w:rPr>
        <w:t>a</w:t>
      </w:r>
      <w:proofErr w:type="spellEnd"/>
      <w:r>
        <w:rPr>
          <w:rFonts w:cstheme="minorHAnsi"/>
          <w:b/>
          <w:bCs/>
        </w:rPr>
        <w:t xml:space="preserve"> long terme)</w:t>
      </w:r>
    </w:p>
    <w:p w14:paraId="0AE819D1" w14:textId="65456E9E" w:rsidR="008A55E4" w:rsidRPr="008A55E4" w:rsidRDefault="008A55E4">
      <w:pPr>
        <w:rPr>
          <w:rFonts w:cstheme="minorHAnsi"/>
        </w:rPr>
      </w:pPr>
      <w:hyperlink r:id="rId10" w:history="1">
        <w:r w:rsidRPr="008A55E4">
          <w:rPr>
            <w:rStyle w:val="Lienhypertexte"/>
            <w:rFonts w:cstheme="minorHAnsi"/>
          </w:rPr>
          <w:t>https://data.oecd.org/fr/interest/taux-d-interet-a-court-terme.htm#indicator-chart</w:t>
        </w:r>
      </w:hyperlink>
    </w:p>
    <w:p w14:paraId="742D8C3A" w14:textId="6F426F23" w:rsidR="008A55E4" w:rsidRPr="00332BAD" w:rsidRDefault="008A55E4">
      <w:pPr>
        <w:rPr>
          <w:rFonts w:cstheme="minorHAnsi"/>
          <w:b/>
          <w:bCs/>
        </w:rPr>
      </w:pPr>
      <w:proofErr w:type="gramStart"/>
      <w:r>
        <w:rPr>
          <w:rFonts w:ascii="Arial" w:hAnsi="Arial" w:cs="Arial"/>
          <w:color w:val="231F20"/>
          <w:shd w:val="clear" w:color="auto" w:fill="FFFFFF"/>
        </w:rPr>
        <w:t>les</w:t>
      </w:r>
      <w:proofErr w:type="gramEnd"/>
      <w:r>
        <w:rPr>
          <w:rFonts w:ascii="Arial" w:hAnsi="Arial" w:cs="Arial"/>
          <w:color w:val="231F20"/>
          <w:shd w:val="clear" w:color="auto" w:fill="FFFFFF"/>
        </w:rPr>
        <w:t xml:space="preserve"> taux d'intérêt sur le marché monétaire. Comme les liquidités échangées sur ce marché le sont sur des périodes très courtes (principalement à moins de trois mois), les taux d'intérêt à court terme sont ainsi déterminés par les banques centrales.</w:t>
      </w:r>
    </w:p>
    <w:sectPr w:rsidR="008A55E4" w:rsidRPr="00332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E2"/>
    <w:rsid w:val="00332BAD"/>
    <w:rsid w:val="008A55E4"/>
    <w:rsid w:val="00944F8C"/>
    <w:rsid w:val="009C5CE2"/>
    <w:rsid w:val="009F1A92"/>
    <w:rsid w:val="00CA1073"/>
    <w:rsid w:val="00D0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0BB8"/>
  <w15:chartTrackingRefBased/>
  <w15:docId w15:val="{68778509-1111-483A-9D1D-9FAFAC7A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C5CE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5C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9C5C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7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oecd.org/fr/leadind/indicateur-composite-avance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.oecd.org/fr/price/inflation-ipc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fostat.bancaditalia.it/inquiry/home?spyglass/taxo:CUBESET=/PRINC_IND_00/PRINC_IND_01/PRINC_IND_02/PRINC_IND_02_02&amp;ITEMSELEZ=BAM_MIR.M.1300010.MIR5411.9.950.1000.SBI17.EUR.110.212:true&amp;OPEN=false/&amp;ep:LC=EN&amp;COMM=BANKITALIA&amp;ENV=LIVE&amp;CTX=DIFF&amp;IDX=1&amp;/view:CUBEIDS=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ancaditalia.it/statistiche/tematiche/indicatori/indicatore-ciclico-coincidente/index.html" TargetMode="External"/><Relationship Id="rId10" Type="http://schemas.openxmlformats.org/officeDocument/2006/relationships/hyperlink" Target="https://data.oecd.org/fr/interest/taux-d-interet-a-court-terme.htm#indicator-chart" TargetMode="External"/><Relationship Id="rId4" Type="http://schemas.openxmlformats.org/officeDocument/2006/relationships/hyperlink" Target="https://data.oecd.org/fr/unemp/taux-de-chomage.htm" TargetMode="External"/><Relationship Id="rId9" Type="http://schemas.openxmlformats.org/officeDocument/2006/relationships/hyperlink" Target="http://dati.istat.it/Index.aspx?QueryId=12536&amp;lang=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Angwe</dc:creator>
  <cp:keywords/>
  <dc:description/>
  <cp:lastModifiedBy>Andre Angwe</cp:lastModifiedBy>
  <cp:revision>1</cp:revision>
  <dcterms:created xsi:type="dcterms:W3CDTF">2021-10-22T03:47:00Z</dcterms:created>
  <dcterms:modified xsi:type="dcterms:W3CDTF">2021-10-22T05:23:00Z</dcterms:modified>
</cp:coreProperties>
</file>