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80F9C2" w14:textId="0B08CE8F" w:rsidR="004E575E" w:rsidRDefault="0078578F" w:rsidP="004E575E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Sintetizar la información</w:t>
      </w:r>
    </w:p>
    <w:p w14:paraId="5C2F0400" w14:textId="77777777" w:rsidR="0078578F" w:rsidRPr="0078578F" w:rsidRDefault="0078578F" w:rsidP="0078578F">
      <w:pPr>
        <w:jc w:val="both"/>
        <w:rPr>
          <w:bCs/>
          <w:sz w:val="24"/>
          <w:szCs w:val="24"/>
        </w:rPr>
      </w:pPr>
      <w:r w:rsidRPr="0078578F">
        <w:rPr>
          <w:bCs/>
          <w:sz w:val="24"/>
          <w:szCs w:val="24"/>
        </w:rPr>
        <w:t>Lee nuevamente el artículo “Controversial sweetener declared safe” y elaborar un organizador gráfico (mapa conceptual, cuadro comparativo, cuadro sinoptico, etc) en el que representes los diferentes puntos de vista que identifiques con respecto al uso del aspartame.</w:t>
      </w:r>
    </w:p>
    <w:p w14:paraId="12B9569C" w14:textId="77777777" w:rsidR="0078578F" w:rsidRPr="0078578F" w:rsidRDefault="0078578F" w:rsidP="0078578F">
      <w:pPr>
        <w:jc w:val="both"/>
        <w:rPr>
          <w:bCs/>
          <w:sz w:val="24"/>
          <w:szCs w:val="24"/>
        </w:rPr>
      </w:pPr>
    </w:p>
    <w:p w14:paraId="21BE4660" w14:textId="6B3C53A5" w:rsidR="00D2417A" w:rsidRDefault="0078578F" w:rsidP="0078578F">
      <w:pPr>
        <w:jc w:val="both"/>
        <w:rPr>
          <w:bCs/>
          <w:sz w:val="24"/>
          <w:szCs w:val="24"/>
        </w:rPr>
      </w:pPr>
      <w:r w:rsidRPr="0078578F">
        <w:rPr>
          <w:bCs/>
          <w:sz w:val="24"/>
          <w:szCs w:val="24"/>
        </w:rPr>
        <w:t>Una vez que finalices tu actividad, sube tu archivo a la plataforma. Esta actividad será calificada y retroalimentada por tu asesor(a). Espera sus comentarios.</w:t>
      </w:r>
    </w:p>
    <w:p w14:paraId="6537AD72" w14:textId="77777777" w:rsidR="0078578F" w:rsidRDefault="0078578F" w:rsidP="00D2417A">
      <w:pPr>
        <w:jc w:val="both"/>
        <w:rPr>
          <w:bCs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78578F" w14:paraId="21C32566" w14:textId="77777777" w:rsidTr="0078578F">
        <w:tc>
          <w:tcPr>
            <w:tcW w:w="2942" w:type="dxa"/>
          </w:tcPr>
          <w:p w14:paraId="1E083954" w14:textId="4D89D626" w:rsidR="0078578F" w:rsidRDefault="0078578F" w:rsidP="00273F51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Punto de vista</w:t>
            </w:r>
          </w:p>
        </w:tc>
        <w:tc>
          <w:tcPr>
            <w:tcW w:w="2943" w:type="dxa"/>
          </w:tcPr>
          <w:p w14:paraId="3C8BFE3E" w14:textId="134266BB" w:rsidR="0078578F" w:rsidRDefault="0078578F" w:rsidP="00273F51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Argumentos principales</w:t>
            </w:r>
          </w:p>
        </w:tc>
        <w:tc>
          <w:tcPr>
            <w:tcW w:w="2943" w:type="dxa"/>
          </w:tcPr>
          <w:p w14:paraId="61A5693D" w14:textId="784A824D" w:rsidR="0078578F" w:rsidRDefault="0078578F" w:rsidP="00273F51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Fuentes</w:t>
            </w:r>
          </w:p>
        </w:tc>
      </w:tr>
      <w:tr w:rsidR="0078578F" w14:paraId="67D3CD81" w14:textId="77777777" w:rsidTr="0078578F">
        <w:tc>
          <w:tcPr>
            <w:tcW w:w="2942" w:type="dxa"/>
          </w:tcPr>
          <w:p w14:paraId="567E8488" w14:textId="3C1AC218" w:rsidR="0078578F" w:rsidRDefault="0078578F" w:rsidP="00273F51">
            <w:pPr>
              <w:jc w:val="both"/>
              <w:rPr>
                <w:bCs/>
                <w:sz w:val="24"/>
                <w:szCs w:val="24"/>
              </w:rPr>
            </w:pPr>
            <w:r>
              <w:t>A favor de la seguridad del aspartame</w:t>
            </w:r>
          </w:p>
        </w:tc>
        <w:tc>
          <w:tcPr>
            <w:tcW w:w="2943" w:type="dxa"/>
          </w:tcPr>
          <w:p w14:paraId="60193528" w14:textId="08705479" w:rsidR="0078578F" w:rsidRPr="0078578F" w:rsidRDefault="0078578F" w:rsidP="0078578F">
            <w:pPr>
              <w:pStyle w:val="Prrafodelista"/>
              <w:spacing w:line="240" w:lineRule="auto"/>
              <w:ind w:left="0"/>
              <w:jc w:val="both"/>
              <w:rPr>
                <w:bCs/>
                <w:sz w:val="24"/>
                <w:szCs w:val="24"/>
              </w:rPr>
            </w:pPr>
            <w:r w:rsidRPr="0078578F">
              <w:rPr>
                <w:bCs/>
                <w:sz w:val="24"/>
                <w:szCs w:val="24"/>
              </w:rPr>
              <w:t>• El aspartame y sus productos de degradación (fenilalanina, metanol y ácido aspártico) han sido declarados seguros para el consumo humano por las autoridades.</w:t>
            </w:r>
          </w:p>
          <w:p w14:paraId="4219207D" w14:textId="77777777" w:rsidR="0078578F" w:rsidRPr="0078578F" w:rsidRDefault="0078578F" w:rsidP="0078578F">
            <w:pPr>
              <w:pStyle w:val="Prrafodelista"/>
              <w:spacing w:line="240" w:lineRule="auto"/>
              <w:ind w:left="0"/>
              <w:jc w:val="both"/>
              <w:rPr>
                <w:bCs/>
                <w:sz w:val="24"/>
                <w:szCs w:val="24"/>
              </w:rPr>
            </w:pPr>
          </w:p>
          <w:p w14:paraId="7846E713" w14:textId="260E2A0F" w:rsidR="0078578F" w:rsidRPr="0078578F" w:rsidRDefault="0078578F" w:rsidP="0078578F">
            <w:pPr>
              <w:pStyle w:val="Prrafodelista"/>
              <w:spacing w:line="240" w:lineRule="auto"/>
              <w:ind w:left="0"/>
              <w:jc w:val="both"/>
              <w:rPr>
                <w:bCs/>
                <w:sz w:val="24"/>
                <w:szCs w:val="24"/>
              </w:rPr>
            </w:pPr>
            <w:r w:rsidRPr="0078578F">
              <w:rPr>
                <w:bCs/>
                <w:sz w:val="24"/>
                <w:szCs w:val="24"/>
              </w:rPr>
              <w:t>• Un panel de expertos concluyó que es seguro consumirlo en los niveles actuales de exposición.</w:t>
            </w:r>
          </w:p>
          <w:p w14:paraId="531BB5B8" w14:textId="77777777" w:rsidR="0078578F" w:rsidRPr="0078578F" w:rsidRDefault="0078578F" w:rsidP="0078578F">
            <w:pPr>
              <w:pStyle w:val="Prrafodelista"/>
              <w:spacing w:line="240" w:lineRule="auto"/>
              <w:ind w:left="0"/>
              <w:jc w:val="both"/>
              <w:rPr>
                <w:bCs/>
                <w:sz w:val="24"/>
                <w:szCs w:val="24"/>
              </w:rPr>
            </w:pPr>
          </w:p>
          <w:p w14:paraId="38C1E9F0" w14:textId="4CAD0E66" w:rsidR="0078578F" w:rsidRPr="0078578F" w:rsidRDefault="0078578F" w:rsidP="0078578F">
            <w:pPr>
              <w:pStyle w:val="Prrafodelista"/>
              <w:spacing w:line="240" w:lineRule="auto"/>
              <w:ind w:left="0"/>
              <w:jc w:val="both"/>
              <w:rPr>
                <w:bCs/>
                <w:sz w:val="24"/>
                <w:szCs w:val="24"/>
              </w:rPr>
            </w:pPr>
            <w:r w:rsidRPr="0078578F">
              <w:rPr>
                <w:bCs/>
                <w:sz w:val="24"/>
                <w:szCs w:val="24"/>
              </w:rPr>
              <w:t>• Se ha determinado de manera específica que el aspartame no causa cáncer ni provoca problemas durante el embarazo en los niveles consumidos habitualmente.</w:t>
            </w:r>
          </w:p>
          <w:p w14:paraId="02386B17" w14:textId="77777777" w:rsidR="0078578F" w:rsidRPr="0078578F" w:rsidRDefault="0078578F" w:rsidP="0078578F">
            <w:pPr>
              <w:pStyle w:val="Prrafodelista"/>
              <w:spacing w:line="240" w:lineRule="auto"/>
              <w:ind w:left="0"/>
              <w:jc w:val="both"/>
              <w:rPr>
                <w:bCs/>
                <w:sz w:val="24"/>
                <w:szCs w:val="24"/>
              </w:rPr>
            </w:pPr>
          </w:p>
          <w:p w14:paraId="37BC5B23" w14:textId="5BDD0D88" w:rsidR="0078578F" w:rsidRDefault="0078578F" w:rsidP="0078578F">
            <w:pPr>
              <w:pStyle w:val="Prrafodelista"/>
              <w:spacing w:line="240" w:lineRule="auto"/>
              <w:ind w:left="0"/>
              <w:jc w:val="both"/>
              <w:rPr>
                <w:bCs/>
                <w:sz w:val="24"/>
                <w:szCs w:val="24"/>
              </w:rPr>
            </w:pPr>
            <w:r w:rsidRPr="0078578F">
              <w:rPr>
                <w:bCs/>
                <w:sz w:val="24"/>
                <w:szCs w:val="24"/>
              </w:rPr>
              <w:t xml:space="preserve">• Incluso utilizando enfoques conservadores que sobreestiman la ingesta real, se confirmó que el consumo se mantiene por debajo de la ingesta diaria aceptable (40 mg/kg de peso corporal), por lo que no hay riesgo de </w:t>
            </w:r>
            <w:r w:rsidRPr="0078578F">
              <w:rPr>
                <w:bCs/>
                <w:sz w:val="24"/>
                <w:szCs w:val="24"/>
              </w:rPr>
              <w:t>excederla.</w:t>
            </w:r>
          </w:p>
          <w:p w14:paraId="4A5D0807" w14:textId="77777777" w:rsidR="0078578F" w:rsidRPr="0078578F" w:rsidRDefault="0078578F" w:rsidP="0078578F">
            <w:pPr>
              <w:pStyle w:val="Prrafodelista"/>
              <w:spacing w:line="240" w:lineRule="auto"/>
              <w:ind w:left="0"/>
              <w:jc w:val="both"/>
              <w:rPr>
                <w:bCs/>
                <w:sz w:val="24"/>
                <w:szCs w:val="24"/>
              </w:rPr>
            </w:pPr>
          </w:p>
          <w:p w14:paraId="4EAF4460" w14:textId="50011FD6" w:rsidR="0078578F" w:rsidRPr="0078578F" w:rsidRDefault="0078578F" w:rsidP="0078578F">
            <w:pPr>
              <w:pStyle w:val="Prrafodelista"/>
              <w:spacing w:line="240" w:lineRule="auto"/>
              <w:ind w:left="0"/>
              <w:jc w:val="both"/>
              <w:rPr>
                <w:bCs/>
                <w:sz w:val="24"/>
                <w:szCs w:val="24"/>
              </w:rPr>
            </w:pPr>
            <w:r w:rsidRPr="0078578F">
              <w:rPr>
                <w:bCs/>
                <w:sz w:val="24"/>
                <w:szCs w:val="24"/>
              </w:rPr>
              <w:lastRenderedPageBreak/>
              <w:t>• Esta conclusión se basa en una evaluación de riesgos sumamente completa, y la seguridad del edulcorante también ha sido respaldada por otras autoridades reguladoras a nivel nacional.</w:t>
            </w:r>
          </w:p>
        </w:tc>
        <w:tc>
          <w:tcPr>
            <w:tcW w:w="2943" w:type="dxa"/>
          </w:tcPr>
          <w:p w14:paraId="0A012D4B" w14:textId="77777777" w:rsidR="0078578F" w:rsidRPr="0078578F" w:rsidRDefault="0078578F" w:rsidP="0078578F">
            <w:pPr>
              <w:jc w:val="both"/>
              <w:rPr>
                <w:bCs/>
                <w:sz w:val="24"/>
                <w:szCs w:val="24"/>
              </w:rPr>
            </w:pPr>
            <w:r w:rsidRPr="0078578F">
              <w:rPr>
                <w:bCs/>
                <w:sz w:val="24"/>
                <w:szCs w:val="24"/>
              </w:rPr>
              <w:lastRenderedPageBreak/>
              <w:t>• Autoridad Europea de Seguridad Alimentaria (EFSA</w:t>
            </w:r>
            <w:proofErr w:type="gramStart"/>
            <w:r w:rsidRPr="0078578F">
              <w:rPr>
                <w:bCs/>
                <w:sz w:val="24"/>
                <w:szCs w:val="24"/>
              </w:rPr>
              <w:t>) .</w:t>
            </w:r>
            <w:proofErr w:type="gramEnd"/>
          </w:p>
          <w:p w14:paraId="6A3354BC" w14:textId="77777777" w:rsidR="0078578F" w:rsidRPr="0078578F" w:rsidRDefault="0078578F" w:rsidP="0078578F">
            <w:pPr>
              <w:jc w:val="both"/>
              <w:rPr>
                <w:bCs/>
                <w:sz w:val="24"/>
                <w:szCs w:val="24"/>
              </w:rPr>
            </w:pPr>
          </w:p>
          <w:p w14:paraId="4E469CDE" w14:textId="77777777" w:rsidR="0078578F" w:rsidRPr="0078578F" w:rsidRDefault="0078578F" w:rsidP="0078578F">
            <w:pPr>
              <w:jc w:val="both"/>
              <w:rPr>
                <w:bCs/>
                <w:sz w:val="24"/>
                <w:szCs w:val="24"/>
              </w:rPr>
            </w:pPr>
          </w:p>
          <w:p w14:paraId="05FCD20F" w14:textId="77777777" w:rsidR="0078578F" w:rsidRPr="0078578F" w:rsidRDefault="0078578F" w:rsidP="0078578F">
            <w:pPr>
              <w:jc w:val="both"/>
              <w:rPr>
                <w:bCs/>
                <w:sz w:val="24"/>
                <w:szCs w:val="24"/>
              </w:rPr>
            </w:pPr>
            <w:r w:rsidRPr="0078578F">
              <w:rPr>
                <w:bCs/>
                <w:sz w:val="24"/>
                <w:szCs w:val="24"/>
              </w:rPr>
              <w:t>• Alicja Mortensen (presidenta del panel de aditivos alimentarios de la EFSA</w:t>
            </w:r>
            <w:proofErr w:type="gramStart"/>
            <w:r w:rsidRPr="0078578F">
              <w:rPr>
                <w:bCs/>
                <w:sz w:val="24"/>
                <w:szCs w:val="24"/>
              </w:rPr>
              <w:t>) .</w:t>
            </w:r>
            <w:proofErr w:type="gramEnd"/>
          </w:p>
          <w:p w14:paraId="4F134205" w14:textId="77777777" w:rsidR="0078578F" w:rsidRPr="0078578F" w:rsidRDefault="0078578F" w:rsidP="0078578F">
            <w:pPr>
              <w:jc w:val="both"/>
              <w:rPr>
                <w:bCs/>
                <w:sz w:val="24"/>
                <w:szCs w:val="24"/>
              </w:rPr>
            </w:pPr>
          </w:p>
          <w:p w14:paraId="30D898FA" w14:textId="77777777" w:rsidR="0078578F" w:rsidRPr="0078578F" w:rsidRDefault="0078578F" w:rsidP="0078578F">
            <w:pPr>
              <w:jc w:val="both"/>
              <w:rPr>
                <w:bCs/>
                <w:sz w:val="24"/>
                <w:szCs w:val="24"/>
              </w:rPr>
            </w:pPr>
          </w:p>
          <w:p w14:paraId="34DEF117" w14:textId="00717C86" w:rsidR="0078578F" w:rsidRDefault="0078578F" w:rsidP="0078578F">
            <w:pPr>
              <w:jc w:val="both"/>
              <w:rPr>
                <w:bCs/>
                <w:sz w:val="24"/>
                <w:szCs w:val="24"/>
              </w:rPr>
            </w:pPr>
            <w:r w:rsidRPr="0078578F">
              <w:rPr>
                <w:bCs/>
                <w:sz w:val="24"/>
                <w:szCs w:val="24"/>
              </w:rPr>
              <w:t>• Berna Magnuson (científica de alimentos, Universidad de Toronto).</w:t>
            </w:r>
          </w:p>
        </w:tc>
      </w:tr>
      <w:tr w:rsidR="0078578F" w14:paraId="05E880F5" w14:textId="77777777" w:rsidTr="0078578F">
        <w:tc>
          <w:tcPr>
            <w:tcW w:w="2942" w:type="dxa"/>
          </w:tcPr>
          <w:p w14:paraId="437FB903" w14:textId="29A5B6E8" w:rsidR="0078578F" w:rsidRDefault="0078578F" w:rsidP="00273F51">
            <w:pPr>
              <w:jc w:val="both"/>
              <w:rPr>
                <w:bCs/>
                <w:sz w:val="24"/>
                <w:szCs w:val="24"/>
              </w:rPr>
            </w:pPr>
            <w:r>
              <w:t>En contra / Escépticos sobre su seguridad</w:t>
            </w:r>
          </w:p>
        </w:tc>
        <w:tc>
          <w:tcPr>
            <w:tcW w:w="2943" w:type="dxa"/>
          </w:tcPr>
          <w:p w14:paraId="43476E57" w14:textId="21BE086B" w:rsidR="0078578F" w:rsidRPr="0078578F" w:rsidRDefault="0078578F" w:rsidP="0078578F">
            <w:pPr>
              <w:jc w:val="both"/>
              <w:rPr>
                <w:bCs/>
                <w:sz w:val="24"/>
                <w:szCs w:val="24"/>
              </w:rPr>
            </w:pPr>
            <w:r w:rsidRPr="0078578F">
              <w:rPr>
                <w:bCs/>
                <w:sz w:val="24"/>
                <w:szCs w:val="24"/>
              </w:rPr>
              <w:t>• Varios estudios publicados en años anteriores sugirieron que el consumo de aspartame podría ser dañino.</w:t>
            </w:r>
          </w:p>
          <w:p w14:paraId="6ECD21B3" w14:textId="77777777" w:rsidR="0078578F" w:rsidRPr="0078578F" w:rsidRDefault="0078578F" w:rsidP="0078578F">
            <w:pPr>
              <w:jc w:val="both"/>
              <w:rPr>
                <w:bCs/>
                <w:sz w:val="24"/>
                <w:szCs w:val="24"/>
              </w:rPr>
            </w:pPr>
          </w:p>
          <w:p w14:paraId="4E92D314" w14:textId="136EEE70" w:rsidR="0078578F" w:rsidRPr="0078578F" w:rsidRDefault="0078578F" w:rsidP="0078578F">
            <w:pPr>
              <w:jc w:val="both"/>
              <w:rPr>
                <w:bCs/>
                <w:sz w:val="24"/>
                <w:szCs w:val="24"/>
              </w:rPr>
            </w:pPr>
            <w:r w:rsidRPr="0078578F">
              <w:rPr>
                <w:bCs/>
                <w:sz w:val="24"/>
                <w:szCs w:val="24"/>
              </w:rPr>
              <w:t>• Esos mismos estudios relacionaron el consumo de este edulcorante con el cáncer y los nacimientos prematuros.</w:t>
            </w:r>
          </w:p>
          <w:p w14:paraId="4C5131EA" w14:textId="77777777" w:rsidR="0078578F" w:rsidRPr="0078578F" w:rsidRDefault="0078578F" w:rsidP="0078578F">
            <w:pPr>
              <w:jc w:val="both"/>
              <w:rPr>
                <w:bCs/>
                <w:sz w:val="24"/>
                <w:szCs w:val="24"/>
              </w:rPr>
            </w:pPr>
          </w:p>
          <w:p w14:paraId="04045418" w14:textId="1255C086" w:rsidR="0078578F" w:rsidRPr="0078578F" w:rsidRDefault="0078578F" w:rsidP="0078578F">
            <w:pPr>
              <w:jc w:val="both"/>
              <w:rPr>
                <w:bCs/>
                <w:sz w:val="24"/>
                <w:szCs w:val="24"/>
              </w:rPr>
            </w:pPr>
            <w:r w:rsidRPr="0078578F">
              <w:rPr>
                <w:bCs/>
                <w:sz w:val="24"/>
                <w:szCs w:val="24"/>
              </w:rPr>
              <w:t>• Algunos académicos dudan de la metodología utilizada por la EFSA para evaluar la seguridad del edulcorante.</w:t>
            </w:r>
          </w:p>
          <w:p w14:paraId="351AD571" w14:textId="77777777" w:rsidR="0078578F" w:rsidRPr="0078578F" w:rsidRDefault="0078578F" w:rsidP="0078578F">
            <w:pPr>
              <w:jc w:val="both"/>
              <w:rPr>
                <w:bCs/>
                <w:sz w:val="24"/>
                <w:szCs w:val="24"/>
              </w:rPr>
            </w:pPr>
          </w:p>
          <w:p w14:paraId="617B16C8" w14:textId="7BD4F229" w:rsidR="0078578F" w:rsidRPr="0078578F" w:rsidRDefault="0078578F" w:rsidP="0078578F">
            <w:pPr>
              <w:jc w:val="both"/>
              <w:rPr>
                <w:bCs/>
                <w:sz w:val="24"/>
                <w:szCs w:val="24"/>
              </w:rPr>
            </w:pPr>
            <w:r w:rsidRPr="0078578F">
              <w:rPr>
                <w:bCs/>
                <w:sz w:val="24"/>
                <w:szCs w:val="24"/>
              </w:rPr>
              <w:t xml:space="preserve">• Existe inconformidad porque la evaluación </w:t>
            </w:r>
            <w:r w:rsidRPr="0078578F">
              <w:rPr>
                <w:bCs/>
                <w:sz w:val="24"/>
                <w:szCs w:val="24"/>
              </w:rPr>
              <w:t>les</w:t>
            </w:r>
            <w:r w:rsidRPr="0078578F">
              <w:rPr>
                <w:bCs/>
                <w:sz w:val="24"/>
                <w:szCs w:val="24"/>
              </w:rPr>
              <w:t xml:space="preserve"> dio más peso a unos estudios científicos sobre otros.</w:t>
            </w:r>
          </w:p>
          <w:p w14:paraId="2A6E4AC6" w14:textId="77777777" w:rsidR="0078578F" w:rsidRPr="0078578F" w:rsidRDefault="0078578F" w:rsidP="0078578F">
            <w:pPr>
              <w:jc w:val="both"/>
              <w:rPr>
                <w:bCs/>
                <w:sz w:val="24"/>
                <w:szCs w:val="24"/>
              </w:rPr>
            </w:pPr>
          </w:p>
          <w:p w14:paraId="64374959" w14:textId="593E7CF8" w:rsidR="0078578F" w:rsidRPr="0078578F" w:rsidRDefault="0078578F" w:rsidP="0078578F">
            <w:pPr>
              <w:jc w:val="both"/>
              <w:rPr>
                <w:bCs/>
                <w:sz w:val="24"/>
                <w:szCs w:val="24"/>
              </w:rPr>
            </w:pPr>
            <w:r w:rsidRPr="0078578F">
              <w:rPr>
                <w:bCs/>
                <w:sz w:val="24"/>
                <w:szCs w:val="24"/>
              </w:rPr>
              <w:t xml:space="preserve">• Se argumenta que los estudios que sugerían que el aspartame es inofensivo tenían mayores </w:t>
            </w:r>
            <w:r w:rsidRPr="0078578F">
              <w:rPr>
                <w:bCs/>
                <w:sz w:val="24"/>
                <w:szCs w:val="24"/>
              </w:rPr>
              <w:t>deficiencias,</w:t>
            </w:r>
            <w:r w:rsidRPr="0078578F">
              <w:rPr>
                <w:bCs/>
                <w:sz w:val="24"/>
                <w:szCs w:val="24"/>
              </w:rPr>
              <w:t xml:space="preserve"> pero fueron considerados confiables, mientras que aquellos que sugerían que causa daños fueron </w:t>
            </w:r>
            <w:r w:rsidRPr="0078578F">
              <w:rPr>
                <w:bCs/>
                <w:sz w:val="24"/>
                <w:szCs w:val="24"/>
              </w:rPr>
              <w:lastRenderedPageBreak/>
              <w:t>descartados por considerarse poco confiables.</w:t>
            </w:r>
          </w:p>
          <w:p w14:paraId="4E4087F1" w14:textId="77777777" w:rsidR="0078578F" w:rsidRPr="0078578F" w:rsidRDefault="0078578F" w:rsidP="0078578F">
            <w:pPr>
              <w:jc w:val="both"/>
              <w:rPr>
                <w:bCs/>
                <w:sz w:val="24"/>
                <w:szCs w:val="24"/>
              </w:rPr>
            </w:pPr>
          </w:p>
          <w:p w14:paraId="15E97831" w14:textId="1CABF821" w:rsidR="0078578F" w:rsidRDefault="0078578F" w:rsidP="0078578F">
            <w:pPr>
              <w:jc w:val="both"/>
              <w:rPr>
                <w:bCs/>
                <w:sz w:val="24"/>
                <w:szCs w:val="24"/>
              </w:rPr>
            </w:pPr>
            <w:r w:rsidRPr="0078578F">
              <w:rPr>
                <w:bCs/>
                <w:sz w:val="24"/>
                <w:szCs w:val="24"/>
              </w:rPr>
              <w:t>• Se critica que los estándares de credibilidad utilizados fueron asimétricos, favoreciendo los intereses de la industria química y alimentaria por encima de la protección de los consumidores.</w:t>
            </w:r>
          </w:p>
        </w:tc>
        <w:tc>
          <w:tcPr>
            <w:tcW w:w="2943" w:type="dxa"/>
          </w:tcPr>
          <w:p w14:paraId="158CED49" w14:textId="60F85C7D" w:rsidR="0078578F" w:rsidRPr="0078578F" w:rsidRDefault="0078578F" w:rsidP="0078578F">
            <w:pPr>
              <w:jc w:val="both"/>
              <w:rPr>
                <w:bCs/>
                <w:sz w:val="24"/>
                <w:szCs w:val="24"/>
              </w:rPr>
            </w:pPr>
            <w:r w:rsidRPr="0078578F">
              <w:rPr>
                <w:bCs/>
                <w:sz w:val="24"/>
                <w:szCs w:val="24"/>
              </w:rPr>
              <w:lastRenderedPageBreak/>
              <w:t>• Autores de varios estudios científicos previos.</w:t>
            </w:r>
          </w:p>
          <w:p w14:paraId="5A77BFEB" w14:textId="77777777" w:rsidR="0078578F" w:rsidRPr="0078578F" w:rsidRDefault="0078578F" w:rsidP="0078578F">
            <w:pPr>
              <w:jc w:val="both"/>
              <w:rPr>
                <w:bCs/>
                <w:sz w:val="24"/>
                <w:szCs w:val="24"/>
              </w:rPr>
            </w:pPr>
          </w:p>
          <w:p w14:paraId="3F0A6F44" w14:textId="77777777" w:rsidR="0078578F" w:rsidRPr="0078578F" w:rsidRDefault="0078578F" w:rsidP="0078578F">
            <w:pPr>
              <w:jc w:val="both"/>
              <w:rPr>
                <w:bCs/>
                <w:sz w:val="24"/>
                <w:szCs w:val="24"/>
              </w:rPr>
            </w:pPr>
          </w:p>
          <w:p w14:paraId="38B4A9F2" w14:textId="0E5B55D4" w:rsidR="0078578F" w:rsidRDefault="0078578F" w:rsidP="0078578F">
            <w:pPr>
              <w:jc w:val="both"/>
              <w:rPr>
                <w:bCs/>
                <w:sz w:val="24"/>
                <w:szCs w:val="24"/>
              </w:rPr>
            </w:pPr>
            <w:r w:rsidRPr="0078578F">
              <w:rPr>
                <w:bCs/>
                <w:sz w:val="24"/>
                <w:szCs w:val="24"/>
              </w:rPr>
              <w:t>• Erik Millstone (experto en política científica y alimentaria, Universidad de Sussex).</w:t>
            </w:r>
          </w:p>
        </w:tc>
      </w:tr>
    </w:tbl>
    <w:p w14:paraId="7FA4E5BD" w14:textId="77777777" w:rsidR="00273F51" w:rsidRPr="0078578F" w:rsidRDefault="00273F51" w:rsidP="00273F51">
      <w:pPr>
        <w:jc w:val="both"/>
        <w:rPr>
          <w:bCs/>
          <w:sz w:val="24"/>
          <w:szCs w:val="24"/>
        </w:rPr>
      </w:pPr>
    </w:p>
    <w:sectPr w:rsidR="00273F51" w:rsidRPr="0078578F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21F451" w14:textId="77777777" w:rsidR="009D0E80" w:rsidRDefault="009D0E80" w:rsidP="007829FB">
      <w:pPr>
        <w:spacing w:line="240" w:lineRule="auto"/>
      </w:pPr>
      <w:r>
        <w:separator/>
      </w:r>
    </w:p>
  </w:endnote>
  <w:endnote w:type="continuationSeparator" w:id="0">
    <w:p w14:paraId="7BDF8BEA" w14:textId="77777777" w:rsidR="009D0E80" w:rsidRDefault="009D0E80" w:rsidP="007829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A9B56E" w14:textId="77777777" w:rsidR="009D0E80" w:rsidRDefault="009D0E80" w:rsidP="007829FB">
      <w:pPr>
        <w:spacing w:line="240" w:lineRule="auto"/>
      </w:pPr>
      <w:r>
        <w:separator/>
      </w:r>
    </w:p>
  </w:footnote>
  <w:footnote w:type="continuationSeparator" w:id="0">
    <w:p w14:paraId="25B3F1CA" w14:textId="77777777" w:rsidR="009D0E80" w:rsidRDefault="009D0E80" w:rsidP="007829F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181F60" w14:textId="6F8136AB" w:rsidR="007829FB" w:rsidRDefault="007829FB">
    <w:pPr>
      <w:pStyle w:val="Encabezado"/>
    </w:pPr>
    <w:r>
      <w:t>Silverio Martínez Andrés</w:t>
    </w:r>
    <w:r>
      <w:tab/>
    </w:r>
    <w:r w:rsidR="00BB0A13">
      <w:t xml:space="preserve">                                                </w:t>
    </w:r>
    <w:r w:rsidRPr="007829FB">
      <w:t xml:space="preserve">Estrategias de lectura en </w:t>
    </w:r>
    <w:r w:rsidR="00B8432E" w:rsidRPr="007829FB">
      <w:t>inglés</w: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90DE7"/>
    <w:multiLevelType w:val="hybridMultilevel"/>
    <w:tmpl w:val="886ADA34"/>
    <w:lvl w:ilvl="0" w:tplc="964EC52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D7B1F"/>
    <w:multiLevelType w:val="hybridMultilevel"/>
    <w:tmpl w:val="3D5E9E6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B74A0A"/>
    <w:multiLevelType w:val="hybridMultilevel"/>
    <w:tmpl w:val="36605E7C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5BE4EB1"/>
    <w:multiLevelType w:val="hybridMultilevel"/>
    <w:tmpl w:val="C93A4862"/>
    <w:lvl w:ilvl="0" w:tplc="270E88C0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08606A"/>
    <w:multiLevelType w:val="hybridMultilevel"/>
    <w:tmpl w:val="4FC239FA"/>
    <w:lvl w:ilvl="0" w:tplc="E796288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F5360C"/>
    <w:multiLevelType w:val="multilevel"/>
    <w:tmpl w:val="4A12E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  <w:b w:val="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CB6103"/>
    <w:multiLevelType w:val="hybridMultilevel"/>
    <w:tmpl w:val="A198CBFA"/>
    <w:lvl w:ilvl="0" w:tplc="277629EC"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91A145F"/>
    <w:multiLevelType w:val="hybridMultilevel"/>
    <w:tmpl w:val="7FD0B22C"/>
    <w:lvl w:ilvl="0" w:tplc="E34C8F72">
      <w:numFmt w:val="bullet"/>
      <w:lvlText w:val="-"/>
      <w:lvlJc w:val="left"/>
      <w:pPr>
        <w:ind w:left="43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15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7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9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1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03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75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7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90" w:hanging="360"/>
      </w:pPr>
      <w:rPr>
        <w:rFonts w:ascii="Wingdings" w:hAnsi="Wingdings" w:hint="default"/>
      </w:rPr>
    </w:lvl>
  </w:abstractNum>
  <w:abstractNum w:abstractNumId="8" w15:restartNumberingAfterBreak="0">
    <w:nsid w:val="72933B4D"/>
    <w:multiLevelType w:val="hybridMultilevel"/>
    <w:tmpl w:val="06564E8E"/>
    <w:lvl w:ilvl="0" w:tplc="6F78D4C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93C9108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  <w:i w:val="0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6"/>
  </w:num>
  <w:num w:numId="5">
    <w:abstractNumId w:val="5"/>
  </w:num>
  <w:num w:numId="6">
    <w:abstractNumId w:val="8"/>
  </w:num>
  <w:num w:numId="7">
    <w:abstractNumId w:val="2"/>
  </w:num>
  <w:num w:numId="8">
    <w:abstractNumId w:val="0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FD5"/>
    <w:rsid w:val="00077C03"/>
    <w:rsid w:val="00080D2A"/>
    <w:rsid w:val="000C609C"/>
    <w:rsid w:val="000E1A60"/>
    <w:rsid w:val="00113C47"/>
    <w:rsid w:val="0015334E"/>
    <w:rsid w:val="00203CF2"/>
    <w:rsid w:val="00206813"/>
    <w:rsid w:val="0023460F"/>
    <w:rsid w:val="00273F51"/>
    <w:rsid w:val="00296B47"/>
    <w:rsid w:val="002B27EB"/>
    <w:rsid w:val="003A4409"/>
    <w:rsid w:val="003F788E"/>
    <w:rsid w:val="00413702"/>
    <w:rsid w:val="00482952"/>
    <w:rsid w:val="0048500A"/>
    <w:rsid w:val="004C3206"/>
    <w:rsid w:val="004E575E"/>
    <w:rsid w:val="00513B2A"/>
    <w:rsid w:val="00514C00"/>
    <w:rsid w:val="00582EE0"/>
    <w:rsid w:val="005E2A33"/>
    <w:rsid w:val="00630FA9"/>
    <w:rsid w:val="006336A8"/>
    <w:rsid w:val="0066710A"/>
    <w:rsid w:val="00731481"/>
    <w:rsid w:val="00732AAC"/>
    <w:rsid w:val="007746C0"/>
    <w:rsid w:val="007829FB"/>
    <w:rsid w:val="0078578F"/>
    <w:rsid w:val="007F53E9"/>
    <w:rsid w:val="008C03CE"/>
    <w:rsid w:val="008E1B92"/>
    <w:rsid w:val="009167CF"/>
    <w:rsid w:val="00956C62"/>
    <w:rsid w:val="00967E0F"/>
    <w:rsid w:val="009D0E80"/>
    <w:rsid w:val="009F093D"/>
    <w:rsid w:val="00A060E4"/>
    <w:rsid w:val="00B5009E"/>
    <w:rsid w:val="00B60900"/>
    <w:rsid w:val="00B72FD5"/>
    <w:rsid w:val="00B8432E"/>
    <w:rsid w:val="00BB0A13"/>
    <w:rsid w:val="00BF40C5"/>
    <w:rsid w:val="00CA2F0E"/>
    <w:rsid w:val="00CB08EA"/>
    <w:rsid w:val="00D2417A"/>
    <w:rsid w:val="00D52E07"/>
    <w:rsid w:val="00D969A0"/>
    <w:rsid w:val="00DA75E3"/>
    <w:rsid w:val="00DF0A76"/>
    <w:rsid w:val="00E765DC"/>
    <w:rsid w:val="00EF0135"/>
    <w:rsid w:val="00F10241"/>
    <w:rsid w:val="00F94FC0"/>
    <w:rsid w:val="00FC5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6F86C"/>
  <w15:chartTrackingRefBased/>
  <w15:docId w15:val="{044BE011-D4D6-4BAD-9426-2C602E4B1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29FB"/>
    <w:pPr>
      <w:spacing w:after="0" w:line="276" w:lineRule="auto"/>
    </w:pPr>
    <w:rPr>
      <w:rFonts w:ascii="Arial" w:eastAsia="Arial" w:hAnsi="Arial" w:cs="Arial"/>
      <w:lang w:val="es-419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829FB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29FB"/>
    <w:rPr>
      <w:rFonts w:ascii="Arial" w:eastAsia="Arial" w:hAnsi="Arial" w:cs="Arial"/>
      <w:lang w:val="es-419" w:eastAsia="es-MX"/>
    </w:rPr>
  </w:style>
  <w:style w:type="paragraph" w:styleId="Piedepgina">
    <w:name w:val="footer"/>
    <w:basedOn w:val="Normal"/>
    <w:link w:val="PiedepginaCar"/>
    <w:uiPriority w:val="99"/>
    <w:unhideWhenUsed/>
    <w:rsid w:val="007829FB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29FB"/>
    <w:rPr>
      <w:rFonts w:ascii="Arial" w:eastAsia="Arial" w:hAnsi="Arial" w:cs="Arial"/>
      <w:lang w:val="es-419" w:eastAsia="es-MX"/>
    </w:rPr>
  </w:style>
  <w:style w:type="paragraph" w:styleId="Prrafodelista">
    <w:name w:val="List Paragraph"/>
    <w:basedOn w:val="Normal"/>
    <w:uiPriority w:val="34"/>
    <w:qFormat/>
    <w:rsid w:val="007829F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13B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/>
    </w:rPr>
  </w:style>
  <w:style w:type="table" w:styleId="Tablaconcuadrcula">
    <w:name w:val="Table Grid"/>
    <w:basedOn w:val="Tablanormal"/>
    <w:uiPriority w:val="39"/>
    <w:rsid w:val="007746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D2417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2417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D2417A"/>
    <w:rPr>
      <w:color w:val="954F72" w:themeColor="followedHyperlink"/>
      <w:u w:val="single"/>
    </w:rPr>
  </w:style>
  <w:style w:type="character" w:customStyle="1" w:styleId="citation-31">
    <w:name w:val="citation-31"/>
    <w:basedOn w:val="Fuentedeprrafopredeter"/>
    <w:rsid w:val="0078578F"/>
  </w:style>
  <w:style w:type="character" w:customStyle="1" w:styleId="citation-30">
    <w:name w:val="citation-30"/>
    <w:basedOn w:val="Fuentedeprrafopredeter"/>
    <w:rsid w:val="0078578F"/>
  </w:style>
  <w:style w:type="character" w:customStyle="1" w:styleId="citation-29">
    <w:name w:val="citation-29"/>
    <w:basedOn w:val="Fuentedeprrafopredeter"/>
    <w:rsid w:val="0078578F"/>
  </w:style>
  <w:style w:type="character" w:customStyle="1" w:styleId="citation-28">
    <w:name w:val="citation-28"/>
    <w:basedOn w:val="Fuentedeprrafopredeter"/>
    <w:rsid w:val="0078578F"/>
  </w:style>
  <w:style w:type="character" w:customStyle="1" w:styleId="citation-27">
    <w:name w:val="citation-27"/>
    <w:basedOn w:val="Fuentedeprrafopredeter"/>
    <w:rsid w:val="007857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62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5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7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3</Pages>
  <Words>404</Words>
  <Characters>2228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Silverio Martínez</dc:creator>
  <cp:keywords/>
  <dc:description/>
  <cp:lastModifiedBy>Andrés Silverio Martínez</cp:lastModifiedBy>
  <cp:revision>27</cp:revision>
  <dcterms:created xsi:type="dcterms:W3CDTF">2026-02-16T23:25:00Z</dcterms:created>
  <dcterms:modified xsi:type="dcterms:W3CDTF">2026-03-13T00:36:00Z</dcterms:modified>
</cp:coreProperties>
</file>