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64" w:line="276" w:lineRule="auto"/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Kymari Bratton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213-458-6039 | KymariBratton@gmail.com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www.linkedin.com/in/kymaribratton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kymaribratton.com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1"/>
        <w:pBdr>
          <w:bottom w:color="8c8c8c" w:space="1" w:sz="6" w:val="single"/>
        </w:pBdr>
        <w:spacing w:after="74" w:before="104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line="276" w:lineRule="auto"/>
        <w:ind w:left="9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Early-career UX designer and business student with experience in user research, interaction design, accessibility, and community-centered digital experiences. Interested in designing experiences that connect people to places, resources, culture, and community through thoughtful storytelling, research, and design.</w:t>
      </w:r>
    </w:p>
    <w:p w:rsidR="00000000" w:rsidDel="00000000" w:rsidP="00000000" w:rsidRDefault="00000000" w:rsidRPr="00000000" w14:paraId="00000005">
      <w:pPr>
        <w:keepNext w:val="1"/>
        <w:pBdr>
          <w:bottom w:color="8c8c8c" w:space="1" w:sz="6" w:val="single"/>
        </w:pBdr>
        <w:spacing w:after="74" w:before="104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EDUCATION, CERTIFICATIONS, AND SKILLS</w:t>
      </w:r>
    </w:p>
    <w:tbl>
      <w:tblPr>
        <w:tblStyle w:val="Table1"/>
        <w:tblW w:w="1094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712"/>
        <w:gridCol w:w="2232"/>
        <w:tblGridChange w:id="0">
          <w:tblGrid>
            <w:gridCol w:w="8712"/>
            <w:gridCol w:w="223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Western Governors University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| Millcreek, UT</w:t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1"/>
              <w:spacing w:line="36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2025 -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72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Bachelor of Science, Business Administration Management | 3.0 GPA  | Completion November 2026</w:t>
      </w:r>
      <w:r w:rsidDel="00000000" w:rsidR="00000000" w:rsidRPr="00000000">
        <w:rPr>
          <w:rtl w:val="0"/>
        </w:rPr>
      </w:r>
    </w:p>
    <w:tbl>
      <w:tblPr>
        <w:tblStyle w:val="Table2"/>
        <w:tblW w:w="1094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712"/>
        <w:gridCol w:w="2232"/>
        <w:tblGridChange w:id="0">
          <w:tblGrid>
            <w:gridCol w:w="8712"/>
            <w:gridCol w:w="223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1"/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Dillard University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| New Orleans, LA</w:t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1"/>
              <w:spacing w:line="36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2023 - 2024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74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Business Administration with Marketing Focus and Computer Science Minor</w:t>
      </w:r>
      <w:r w:rsidDel="00000000" w:rsidR="00000000" w:rsidRPr="00000000">
        <w:rPr>
          <w:rtl w:val="0"/>
        </w:rPr>
      </w:r>
    </w:p>
    <w:tbl>
      <w:tblPr>
        <w:tblStyle w:val="Table3"/>
        <w:tblW w:w="1094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712"/>
        <w:gridCol w:w="2232"/>
        <w:tblGridChange w:id="0">
          <w:tblGrid>
            <w:gridCol w:w="8712"/>
            <w:gridCol w:w="223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Google UX Design Professional Certificate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June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Machine Learning Foundations, Cornell University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July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Fundamentals of Sustainability and Technology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December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9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UX Research | Interaction Design | User Flows | Wireframing | Prototyping | Information Architecture | Journey Mapping | Usability Testing | Visual Design | Storytelling | Accessibility | Community-Centered Design | Figma | Canva | HTML | CSS</w:t>
        <w:br w:type="textWrapping"/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3h0lbuyf19q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  <w:t xml:space="preserve">PROFESSIONAL EXPERIENCE</w:t>
      </w:r>
    </w:p>
    <w:tbl>
      <w:tblPr>
        <w:tblStyle w:val="Table4"/>
        <w:tblW w:w="10820.0" w:type="dxa"/>
        <w:jc w:val="left"/>
        <w:tblLayout w:type="fixed"/>
        <w:tblLook w:val="0600"/>
      </w:tblPr>
      <w:tblGrid>
        <w:gridCol w:w="7820"/>
        <w:gridCol w:w="3000"/>
        <w:tblGridChange w:id="0">
          <w:tblGrid>
            <w:gridCol w:w="7820"/>
            <w:gridCol w:w="3000"/>
          </w:tblGrid>
        </w:tblGridChange>
      </w:tblGrid>
      <w:tr>
        <w:trPr>
          <w:cantSplit w:val="0"/>
          <w:trHeight w:val="569.37825520833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Develop for Good, Gateway Regional Council  | User Experience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br w:type="textWrapping"/>
              <w:t xml:space="preserve">May 2026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the redesign of a community-focused website to improve navigation, accessibility, and engagement for Black and vulnerable communities.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user personas, journey maps, information architecture, user flows, and visual design updates to make resources easier to find and use.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Designing clearer pathways to programs, events, funding opportunities, support services, and contact forms for community members and partner organizations.</w:t>
      </w:r>
    </w:p>
    <w:tbl>
      <w:tblPr>
        <w:tblStyle w:val="Table5"/>
        <w:tblW w:w="10815.0" w:type="dxa"/>
        <w:jc w:val="left"/>
        <w:tblLayout w:type="fixed"/>
        <w:tblLook w:val="0600"/>
      </w:tblPr>
      <w:tblGrid>
        <w:gridCol w:w="7425"/>
        <w:gridCol w:w="3390"/>
        <w:tblGridChange w:id="0">
          <w:tblGrid>
            <w:gridCol w:w="7425"/>
            <w:gridCol w:w="3390"/>
          </w:tblGrid>
        </w:tblGridChange>
      </w:tblGrid>
      <w:tr>
        <w:trPr>
          <w:cantSplit w:val="0"/>
          <w:trHeight w:val="554.47753906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Mentor Me Collective, Grow with Google Scholar  |  UX Research &amp; Design 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Apr 2025 – Jun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UX/UI projects, including TripTag, a travel budgeting app, and We Are One LLC, a responsive website.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user flows, wireframes, prototypes, and accessibility-focused interface designs in Figma.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peer usability testing and applied feedback to improve navigation, content clarity, visual hierarchy, and user engagement.</w:t>
      </w:r>
    </w:p>
    <w:tbl>
      <w:tblPr>
        <w:tblStyle w:val="Table6"/>
        <w:tblW w:w="10800.0" w:type="dxa"/>
        <w:jc w:val="left"/>
        <w:tblLayout w:type="fixed"/>
        <w:tblLook w:val="0600"/>
      </w:tblPr>
      <w:tblGrid>
        <w:gridCol w:w="7425"/>
        <w:gridCol w:w="3375"/>
        <w:tblGridChange w:id="0">
          <w:tblGrid>
            <w:gridCol w:w="7425"/>
            <w:gridCol w:w="3375"/>
          </w:tblGrid>
        </w:tblGridChange>
      </w:tblGrid>
      <w:tr>
        <w:trPr>
          <w:cantSplit w:val="0"/>
          <w:trHeight w:val="599.47753906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Develop for Good, Immigrants Rising | User Experience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Oct 2024 – Feb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user interviews and surveys to identify barriers immigrant students face when accessing educational resources.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simplified forms and user flows to help students navigate eligibility and financial aid information.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Organized research insights, accessibility considerations, and design documentation to support implementation.</w:t>
      </w:r>
    </w:p>
    <w:tbl>
      <w:tblPr>
        <w:tblStyle w:val="Table7"/>
        <w:tblW w:w="10800.0" w:type="dxa"/>
        <w:jc w:val="left"/>
        <w:tblLayout w:type="fixed"/>
        <w:tblLook w:val="0600"/>
      </w:tblPr>
      <w:tblGrid>
        <w:gridCol w:w="7425"/>
        <w:gridCol w:w="3375"/>
        <w:tblGridChange w:id="0">
          <w:tblGrid>
            <w:gridCol w:w="7425"/>
            <w:gridCol w:w="3375"/>
          </w:tblGrid>
        </w:tblGridChange>
      </w:tblGrid>
      <w:tr>
        <w:trPr>
          <w:cantSplit w:val="0"/>
          <w:trHeight w:val="599.47753906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HopSkipDrive | Employee Experience 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Jun 2024 – Sep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employee experience initiatives at a transportation technology company focused on safe, accessible mobility.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Redesigned onboarding and training courses, improving completion rates by 25%.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Analyzed feedback data and supported initiatives that increased satisfaction by 20%.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08.6614173228347" w:top="708.6614173228347" w:left="708.6614173228347" w:right="708.6614173228347" w:header="720" w:footer="720"/>
      <w:pgNumType w:start="1"/>
      <w:cols w:equalWidth="0" w:num="1">
        <w:col w:space="0" w:w="10822.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999999" w:space="2" w:sz="8" w:val="single"/>
      </w:pBdr>
      <w:spacing w:line="276" w:lineRule="auto"/>
      <w:jc w:val="both"/>
    </w:pPr>
    <w:rPr>
      <w:rFonts w:ascii="Montserrat SemiBold" w:cs="Montserrat SemiBold" w:eastAsia="Montserrat SemiBold" w:hAnsi="Montserrat SemiBold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Montserrat" w:cs="Montserrat" w:eastAsia="Montserrat" w:hAnsi="Montserrat"/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kymaribratton" TargetMode="External"/><Relationship Id="rId7" Type="http://schemas.openxmlformats.org/officeDocument/2006/relationships/hyperlink" Target="http://kymaribratto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