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UM TAGUM COLLEGE</w:t>
      </w:r>
    </w:p>
    <w:p>
      <w:pPr>
        <w:keepNext w:val="0"/>
        <w:spacing w:before="0" w:after="2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BACHELOR OF SCIENCE IN COMPUTER SCIENCE</w:t>
      </w:r>
    </w:p>
    <w:p>
      <w:pPr>
        <w:keepNext w:val="0"/>
        <w:spacing w:after="4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Department of Computing Education</w:t>
      </w:r>
    </w:p>
    <w:p>
      <w:pPr>
        <w:keepNext w:val="0"/>
        <w:spacing w:after="40" w:before="0" w:line="240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Visayan Village, Tagum City, Philippines</w:t>
      </w:r>
    </w:p>
    <w:p>
      <w:pPr>
        <w:keepNext w:val="0"/>
        <w:spacing w:after="20" w:before="0" w:line="240" w:lineRule="auto"/>
        <w:jc w:val="center"/>
      </w:pPr>
    </w:p>
    <w:p>
      <w:pPr>
        <w:keepNext w:val="0"/>
        <w:spacing w:after="200" w:before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68880" cy="19545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_tagum_logo_comple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before="80" w:line="240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Course Requirements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in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CCE 106/L - 1767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APPLICATION DEVELOPMENT &amp; EMERGING TECHNOLOGIES</w:t>
        <w:br/>
      </w:r>
    </w:p>
    <w:p>
      <w:pPr>
        <w:keepNext w:val="0"/>
        <w:spacing w:after="200" w:before="4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SAGIP: OFFLINE-FIRST DELAY-TOLERANT</w:t>
        <w:br/>
        <w:t>EMERGENCY COMMUNICATION SYSTEM</w:t>
      </w:r>
    </w:p>
    <w:p>
      <w:pPr>
        <w:keepNext w:val="0"/>
        <w:spacing w:after="160" w:before="0" w:line="252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Submitted To: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MARICEL A. TIMBAL</w:t>
      </w:r>
    </w:p>
    <w:p>
      <w:pPr>
        <w:keepNext w:val="0"/>
        <w:spacing w:before="14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Submitted By: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ARCHE, ALEXANDER L.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PEDOTIM, JERVIS JAMES T.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PIZON, KYNE ANTHONY F.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t>VILLA, GERALD ANDREI P.</w:t>
        <w:br/>
      </w:r>
      <w:r>
        <w:rPr>
          <w:rFonts w:ascii="Times New Roman" w:hAnsi="Times New Roman" w:eastAsia="Times New Roman" w:cs="Times New Roman"/>
          <w:b w:val="0"/>
          <w:color w:val="000000"/>
          <w:sz w:val="22"/>
        </w:rPr>
        <w:br/>
        <w:t>September 29, 2026</w:t>
      </w:r>
    </w:p>
    <w:p>
      <w:r>
        <w:br w:type="page"/>
      </w:r>
    </w:p>
    <w:p>
      <w:pPr>
        <w:pStyle w:val="TOCHeading"/>
        <w:keepNext/>
        <w:spacing w:after="260" w:before="80" w:line="240" w:lineRule="auto"/>
        <w:jc w:val="center"/>
      </w:pPr>
      <w:r>
        <w:rPr>
          <w:rFonts w:ascii="Arial" w:hAnsi="Arial" w:eastAsia="Arial"/>
          <w:b/>
          <w:color w:val="000000"/>
          <w:sz w:val="24"/>
        </w:rPr>
        <w:t>TABLE OF CONTENTS</w:t>
      </w:r>
    </w:p>
    <w:p>
      <w:pPr>
        <w:pStyle w:val="TOC1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fldChar w:fldCharType="begin" w:dirty="true"/>
      </w:r>
      <w:r>
        <w:rPr>
          <w:rFonts w:ascii="Times New Roman" w:hAnsi="Times New Roman" w:eastAsia="Times New Roman" w:cs="Times New Roman"/>
          <w:b/>
          <w:color w:val="000000"/>
          <w:sz w:val="22"/>
        </w:rPr>
        <w:instrText xml:space="preserve"> TOC \t "TOCChapterSource,1,TOCFrontSource,1,TOCSectionSource,2" \h \z </w:instrText>
      </w:r>
      <w:r>
        <w:rPr>
          <w:rFonts w:ascii="Times New Roman" w:hAnsi="Times New Roman" w:eastAsia="Times New Roman" w:cs="Times New Roman"/>
          <w:b/>
          <w:color w:val="000000"/>
          <w:sz w:val="22"/>
        </w:rPr>
        <w:fldChar w:fldCharType="separate"/>
      </w:r>
      <w:r>
        <w:rPr>
          <w:rFonts w:ascii="Times New Roman" w:hAnsi="Times New Roman" w:eastAsia="Times New Roman" w:cs="Times New Roman"/>
          <w:b/>
          <w:color w:val="000000"/>
          <w:sz w:val="22"/>
          <w:szCs w:val="24"/>
        </w:rPr>
        <w:t xml:space="preserve">List of Tables	1</w:t>
      </w:r>
    </w:p>
    <w:p>
      <w:pPr>
        <w:pStyle w:val="TOC1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/>
          <w:color w:val="000000"/>
          <w:sz w:val="22"/>
          <w:szCs w:val="24"/>
        </w:rPr>
        <w:t xml:space="preserve">List of Figures	2</w:t>
      </w:r>
    </w:p>
    <w:p>
      <w:pPr>
        <w:pStyle w:val="TOC1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/>
          <w:color w:val="000000"/>
          <w:sz w:val="22"/>
          <w:szCs w:val="24"/>
        </w:rPr>
        <w:t xml:space="preserve">CHAPTER ONE	3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INTRODUCTION	3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PROJECT OVERVIEW	3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REQUIREMENTS	4</w:t>
      </w:r>
    </w:p>
    <w:p>
      <w:pPr>
        <w:pStyle w:val="TOC1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/>
          <w:color w:val="000000"/>
          <w:sz w:val="22"/>
          <w:szCs w:val="24"/>
        </w:rPr>
        <w:t xml:space="preserve">CHAPTER TWO	7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ARCHITECTURE	7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DESIGN	8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DEVELOPMENT PROCESS	14</w:t>
      </w:r>
    </w:p>
    <w:p>
      <w:pPr>
        <w:pStyle w:val="TOC1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/>
          <w:color w:val="000000"/>
          <w:sz w:val="22"/>
          <w:szCs w:val="24"/>
        </w:rPr>
        <w:t xml:space="preserve">CHAPTER THREE	16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TESTING	16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DEPLOYMENT	17</w:t>
      </w:r>
    </w:p>
    <w:p>
      <w:pPr>
        <w:pStyle w:val="TOC2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 w:val="0"/>
          <w:color w:val="000000"/>
          <w:sz w:val="21"/>
          <w:szCs w:val="24"/>
        </w:rPr>
        <w:t xml:space="preserve">MAINTENANCE	19</w:t>
      </w:r>
    </w:p>
    <w:p>
      <w:pPr>
        <w:pStyle w:val="TOC1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/>
          <w:color w:val="000000"/>
          <w:sz w:val="22"/>
          <w:szCs w:val="24"/>
        </w:rPr>
        <w:t xml:space="preserve">CONCLUSION	20</w:t>
      </w:r>
    </w:p>
    <w:p>
      <w:pPr>
        <w:pStyle w:val="TOC1"/>
        <w:tabs>
          <w:tab w:pos="9576" w:val="right" w:leader="dot"/>
        </w:tabs>
      </w:pPr>
      <w:r>
        <w:rPr>
          <w:rFonts w:ascii="Times New Roman" w:hAnsi="Times New Roman" w:eastAsia="Times New Roman" w:cs="Times New Roman"/>
          <w:b/>
          <w:color w:val="000000"/>
          <w:sz w:val="22"/>
          <w:szCs w:val="24"/>
        </w:rPr>
        <w:t xml:space="preserve">REFERENCES	20</w:t>
      </w:r>
      <w:r>
        <w:rPr>
          <w:rFonts w:ascii="Times New Roman" w:hAnsi="Times New Roman" w:eastAsia="Times New Roman" w:cs="Times New Roman"/>
          <w:b/>
          <w:color w:val="000000"/>
          <w:sz w:val="22"/>
        </w:rPr>
        <w:fldChar w:fldCharType="end"/>
      </w:r>
    </w:p>
    <w:p>
      <w:pPr>
        <w:spacing w:after="0"/>
        <w:sectPr>
          <w:headerReference w:type="default" r:id="rId16"/>
          <w:pgSz w:w="12240" w:h="15840"/>
          <w:pgMar w:top="1152" w:right="1152" w:bottom="1152" w:left="1152" w:header="576" w:footer="576" w:gutter="0"/>
          <w:cols w:space="720"/>
          <w:docGrid w:linePitch="360"/>
        </w:sectPr>
      </w:pPr>
    </w:p>
    <w:p>
      <w:pPr>
        <w:pStyle w:val="TOC1"/>
        <w:keepNext/>
        <w:keepLines/>
        <w:tabs>
          <w:tab w:pos="9576" w:val="right" w:leader="dot"/>
        </w:tabs>
        <w:spacing w:after="240" w:before="36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List of Tables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Table No.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Title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Page No.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1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Functional Requirements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2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Non-functional and Safety Requirements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3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Technology Stack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4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Local SQLCipher Data Model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5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PostgreSQL Data Model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6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Protocol Families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7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Backend HTTP Interface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8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Delivery State Meanings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9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Current Host Validation Results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Table 10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Field Acceptance and Production Gates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17</w:t>
            </w:r>
          </w:p>
        </w:tc>
      </w:tr>
    </w:tbl>
    <w:p>
      <w:r>
        <w:br w:type="page"/>
      </w:r>
    </w:p>
    <w:p>
      <w:pPr>
        <w:pStyle w:val="TOC1"/>
        <w:keepNext/>
        <w:keepLines/>
        <w:tabs>
          <w:tab w:pos="9576" w:val="right" w:leader="dot"/>
        </w:tabs>
        <w:spacing w:after="240" w:before="36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List of Figures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Figure No.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Title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Page No.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Figure 1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SAGIP System Architecture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Figure 2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Emergency Delivery and Acknowledgement Flow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Figure 3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Local and Server Persistence Design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Figure 4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Development Milestone Timeline</w:t>
            </w:r>
          </w:p>
        </w:tc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</w:t>
            </w:r>
          </w:p>
        </w:tc>
      </w:tr>
    </w:tbl>
    <w:p>
      <w:r>
        <w:br w:type="page"/>
      </w:r>
    </w:p>
    <w:p>
      <w:pPr>
        <w:pStyle w:val="TOC1"/>
        <w:keepNext/>
        <w:keepLines/>
        <w:tabs>
          <w:tab w:pos="9576" w:val="right" w:leader="dot"/>
        </w:tabs>
        <w:spacing w:after="360" w:before="24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CHAPTER ONE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INTRODUCTION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Disasters can interrupt mobile data, power, routing, and normal emergency channels. An emergency application must continue to protect an SOS report when the network fails.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is an offline-first emergency communication system for Android devices. It persists each SOS report before it starts network, radio, location, or signing work.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first tries direct internet delivery when a usable network exists. If direct delivery fails, Bluetooth Low Energy can transfer the same report to another SAGIP device.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SAGIP server validates the signed report and stores one canonical incident. Authorized responders use a web console to inspect incidents and record operational status.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interface keeps each delivery state separate. A local save, peer relay, server acceptance, and responder acknowledgement are different events.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PROJECT OVERVIEW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system has a civilian Android application, an Android Survival Core, a Node.js backend, PostgreSQL storage, and a responder web console.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civilian application collects emergency type and urgency. It can also attach a best-available location when Android permission and a stored location are available.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Survival Core owns durable emergency behavior. It stores data in an encrypted local database and continues delivery work outside the React Native screen lifecycle.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coordination layer accepts immutable signed envelopes, prevents duplicate incidents, and stores responder state. The backend also serves the responder console and public report status.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current runtime prepares SGP1 envelopes with SRP1 plaintext payloads. SGP2 and SRE2 encryption support exists in code, but production emission is not active.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Current field qualification is incomplete. The full two-phone BLE custody and return-acknowledgement path still requires physical end-to-end validation on the current revision.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Current end-to-end flow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1. The user selects an emergency type and urgency.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2. The Android Survival Core persists the SOS report in one local transaction.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3. The core prepares and stores one signed SGP1 envelope.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4. The delivery worker tries direct HTTPS delivery when a network is usable.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5. BLE can transfer the same persisted envelope to a nearby SAGIP relay device.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6. A relay device can later forward the same envelope to the SAGIP server.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7. The server persists one canonical incident and returns server acceptance.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8. An authorized responder records a status in the responder console.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9. The origin receives the status directly or through the SGA1 BLE return path.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Platform scope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current safety-critical native implementation targets Android API 24 or later. The Android build uses compile SDK 36 and target SDK 36.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repository includes an iOS React Native scaffold. The documented Survival Core, BLE relay, SQLCipher migration, and Android background services are Android implementations.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REQUIREMENTS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tblHeader w:val="true"/>
          <w:cantSplit/>
        </w:trPr>
        <w:tc>
          <w:tcPr>
            <w:tcW w:type="dxa" w:w="893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ID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Function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Requirement</w:t>
            </w:r>
          </w:p>
        </w:tc>
        <w:tc>
          <w:tcPr>
            <w:tcW w:type="dxa" w:w="1483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FR-01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Create an SOS report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user selects one emergency type and one urgency level.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FR-02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Persist before success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system reports success only after the local database transaction commits.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FR-03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Restore saved reports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application loads persisted SOS reports after process restart.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FR-04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Capture location without blocking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system can attach the best last-known GPS or network location. Missing location does not block the SOS.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FR-05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Prepare one signed envelope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system prepares SRP1 data and signs one SGP1 envelope with the Android Keystore identity.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FR-06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Reuse immutable bytes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Retries and BLE relay use the stored envelope bytes instead of creating new bytes.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FR-07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Deliver through internet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 device posts a due envelope directly to the server when a usable network exists.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FR-08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Relay through BLE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 nearby SAGIP device can take durable custody of an envelope when direct delivery is unavailable.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Implemented, physical end-to-end test pending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FR-09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Persist before custody ACK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relay device stores the full valid envelope before it reports BLE custody success.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FR-10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Forward relay custody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 relay device forwards a stored inbound envelope when it later gains internet access.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FR-11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Prevent duplicate incidents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server treats exact retries as the same logical message and receipt.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FR-12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Support responder operations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Authorized responders can list incidents, inspect detail, filter status, and record acknowledgement states.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FR-13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Return responder status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origin can obtain status from the server or through the 56-byte SGA1 BLE return frame.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Implemented, physical return test pending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FR-14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Recover background work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Android restores network scheduling after reboot or package replacement. BLE relay can restart when active work and permissions allow it.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FR-15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Encrypt local emergency storage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Android local database uses SQLCipher with a random key that Android Keystore protects.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Implemented, current connected migration test pending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1. Functional Requirements.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3331"/>
        <w:gridCol w:w="3331"/>
        <w:gridCol w:w="3331"/>
      </w:tblGrid>
      <w:tr>
        <w:trPr>
          <w:tblHeader w:val="true"/>
          <w:tblHeader w:val="true"/>
          <w:cantSplit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ID</w:t>
            </w:r>
          </w:p>
        </w:tc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Area</w:t>
            </w:r>
          </w:p>
        </w:tc>
        <w:tc>
          <w:tcPr>
            <w:tcW w:type="dxa" w:w="712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Durability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Internet, BLE, location, signing, and server availability must not be required for local SOS persistence.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NFR-02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Truthful status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user interface must distinguish local save, pending delivery, peer relay, server acceptance, responder acknowledgement, and permanent failure.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NFR-03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Idempotency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Retries, duplicate relays, lost responses, and repeated responder updates must not create duplicate logical incidents.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NFR-04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Input bounds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complete transport envelope must not exceed 8192 bytes. Binary and HTTP inputs must use strict size and range checks.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NFR-05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Production Android builds must use HTTPS. Private signing and database wrapping keys must remain in Android Keystore.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NFR-06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Access control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incident APIs require a bearer token or a valid browser session. The backend stores token and session hashes.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NFR-07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Battery use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BLE scan and advertise activity must reduce after the urgent delivery window while active work remains retryable.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NFR-08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Accessibility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Critical controls need readable labels, live status announcements, practical touch targets, and non-color status meaning.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NFR-09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Compatibility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Existing SGP1, SGC1, and SGA1 formats must not change without coordinated versioned updates and compatibility tests.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NFR-10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Release control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 production release must use explicit version data, approved signing material, an HTTPS backend, and separate readiness evidence.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2. Non-functional and Safety Requirements.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Technical terms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Durable local commit: the local database completed the SOS transaction and can restore it after restart.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Envelope: the signed binary message that carries one SOS revision through internet or BLE transport.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Relay device: another SAGIP Android device that stores an envelope and forwards the same bytes later.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Custody ACK: BLE evidence that the receiver stored the complete envelope before it reported success.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Server acceptance: the SAGIP server validated and stored the envelope and returned its canonical receipt.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Responder acknowledgement: an authorized responder recorded an operational state for the incident.</w:t>
      </w:r>
    </w:p>
    <w:p>
      <w:r>
        <w:br w:type="page"/>
      </w:r>
    </w:p>
    <w:p>
      <w:pPr>
        <w:pStyle w:val="TOC1"/>
        <w:keepNext/>
        <w:keepLines/>
        <w:tabs>
          <w:tab w:pos="9576" w:val="right" w:leader="dot"/>
        </w:tabs>
        <w:spacing w:after="360" w:before="24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CHAPTER TWO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ARCHITECTURE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separates presentation, survival behavior, and coordination. This boundary keeps emergency persistence independent from the React Native screen lifecycle.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Figure 1. SAGIP System Architecture.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3331"/>
        <w:gridCol w:w="3331"/>
        <w:gridCol w:w="3331"/>
      </w:tblGrid>
      <w:tr>
        <w:trPr>
          <w:tblHeader w:val="true"/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Layer</w:t>
            </w:r>
          </w:p>
        </w:tc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Technology</w:t>
            </w:r>
          </w:p>
        </w:tc>
        <w:tc>
          <w:tcPr>
            <w:tcW w:type="dxa" w:w="496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Civilian UI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React Native 0.87.1, React 19.2.3, TypeScript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SOS input, status display, permission prompts, bridge response validation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Android core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Kotlin 2.2.0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Persistence, signing, delivery, BLE, recovery, and Android services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Local database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SQLCipher for Android 4.17.0, SQLite schema v7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Authoritative emergency state and encrypted local storage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Origin identity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Android Keystore, P-256 ECDSA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Non-exportable signing key for SGP1 and SGP2 envelope signatures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Payload encryption support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Google Tink 1.23.0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SRE2 recipient encryption and SGP2 support. Production emission is gated.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Node.js 24+, TypeScript 6.x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Envelope ingestion, API routing, responder operations, and rate limiting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Server database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Incidents, receipts, responder identities, rate windows, and browser sessions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Hosted runtime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Neon Function and Neon PostgreSQL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Current hosted backend deployment target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Android build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SDK 36, min SDK 24, Java 17 CI runtime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Application and instrumentation builds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3. Technology Stack.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Delivery architecture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local commit is the first success boundary. Transport starts only after the report, revision, optional location, outbound message, and local event are persisted.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Direct internet delivery and BLE relay are independent paths. A nearby SAGIP device is not required when the origin can reach the server directly.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934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3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Figure 2. Emergency Delivery and Acknowledgement Flow.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DESIGN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Civilian application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civilian screen places SOS creation first. The current flow asks for emergency type and urgency before it calls the native Survival Core.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Emergency types: Medical, Flood, Fire, Trapped, Violence or threat, and Other emergency.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Urgency levels: Immediate danger and Need assistance.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Successful save message: SOS saved on this device. You do not need internet.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Delivery summary: Pending delivery, Relayed to another SAGIP device, Server accepted, Responder acknowledged, or Permanent delivery failure.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Nearby relay card: permission state, Bluetooth state, scan and advertise activity, duty-cycle pause, and peer count.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application does not use the word sent as a general success state. Each visible status comes from persisted native state.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Responder console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SAGIP backend serves the responder console at /responder. The console starts a short-lived browser session from a provisioned responder token.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backend stores only the responder bearer-token hash.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A browser session lasts 12 hours unless it expires or the responder disconnects.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browser receives the session token in an HttpOnly, Secure, SameSite=Strict cookie.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console shows queue counts, urgency, incident age, best available location, revision history, and acknowledgement history.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A responder can record ACKNOWLEDGED, EN_ROUTE, ON_SCENE, or RESOLVED with an optional note.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 responder update is persisted before the backend returns success. Repeating the same responder, report, and status transition is idempotent.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Local persistence design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Android local database is the authoritative emergency state store. SQLCipher encrypts the database file and its normal journal or WAL pages.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 random 256-bit database key protects SQLCipher. Android Keystore stores a non-exportable AES-GCM wrapping key that protects the database key metadata.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Existing plaintext SAGIP databases use a crash-aware migration. The migration verifies the encrypted copy before it replaces the plaintext database.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760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Figure 3. Local and Server Persistence Design.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4997"/>
        <w:gridCol w:w="4997"/>
      </w:tblGrid>
      <w:tr>
        <w:trPr>
          <w:tblHeader w:val="true"/>
          <w:tblHeader w:val="true"/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Entity</w:t>
            </w:r>
          </w:p>
        </w:tc>
        <w:tc>
          <w:tcPr>
            <w:tcW w:type="dxa" w:w="691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reports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One row for each local SOS report and its lifecycle state.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report_revisions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Immutable logical revisions for emergency type and urgency.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locations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Optional best-available location for a local report.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outbound_envelopes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Stable message identity, persisted envelope bytes, retry state, and delivery state.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delivery_events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Append-style evidence for important delivery state changes.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delivery_attempts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Transport attempt, timing, outcome, and retry classification.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server_receipts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Canonical server acceptance receipts for locally originated messages.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inbound_envelopes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Durable custody for reports that originated on another SAGIP device.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seen_messages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Message identity and digest data for duplicate and loop suppression.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relay_receipts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Evidence that another device took durable custody of a local message.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responder_acks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state for reports that originated on this device.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relay_responder_acks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state held for another device and eligible for return relay.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4. Local SQLCipher Data Model.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Server persistence design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backend uses PostgreSQL migrations with checksums. The migration runner serializes migration work with a PostgreSQL advisory lock.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4997"/>
        <w:gridCol w:w="4997"/>
      </w:tblGrid>
      <w:tr>
        <w:trPr>
          <w:tblHeader w:val="true"/>
          <w:tblHeader w:val="true"/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Entity</w:t>
            </w:r>
          </w:p>
        </w:tc>
        <w:tc>
          <w:tcPr>
            <w:tcW w:type="dxa" w:w="6624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origin_keys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Origin public keys and key identifiers for signature continuity.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incidents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One canonical logical incident for each report ID.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incident_revisions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Validated SRP1 fields, location data, and payload digest for SGP1 revisions.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accepted_messages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Exact envelope bytes, message identity, envelope hash, and acceptance time.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server_receipts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One canonical SERVER_ACCEPTED receipt for each accepted message.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responder_identities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callsign, role, token hash, and registration time.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responder_acknowledgements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operational states with an idempotent uniqueness rule.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request_rate_limit_windows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Shared PostgreSQL rate-limit windows for multi-instance enforcement.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responder_sessions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Hashed browser session tokens and expiry data.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schema_migrations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Applied migration names, checksums, and timestamps.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5. PostgreSQL Data Model.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Transport and protocol design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3331"/>
        <w:gridCol w:w="3331"/>
        <w:gridCol w:w="3331"/>
      </w:tblGrid>
      <w:tr>
        <w:trPr>
          <w:tblHeader w:val="true"/>
          <w:tblHeader w:val="true"/>
          <w:cantSplit/>
        </w:trPr>
        <w:tc>
          <w:tcPr>
            <w:tcW w:type="dxa" w:w="1080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Protocol</w:t>
            </w:r>
          </w:p>
        </w:tc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655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Current use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SRP1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Emergency payload v1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Emergency type, urgency, and optional location. Active inside SGP1.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SGP1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Signed transport envelope v1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Stable message and report IDs, timestamps, public origin key, payload digest, payload, and P-256 signature. Active.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SGC1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BLE chunk frame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Sequential chunk index, total count, data length, chunk bytes, and CRC32. Active.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SGK1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BLE custody ACK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44-byte durable custody response with message ID, receipt ID, and acceptance time. Active.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SGA1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return ACK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56-byte report status frame with callsign, status, ETA field, timestamp, and CRC32. Active.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SRE2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Encrypted payload container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HPKE recipient entries for encrypted SRP1 content. Implemented in code, not active for production traffic.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SGP2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Signed encrypted envelope v2</w:t>
            </w:r>
          </w:p>
        </w:tc>
        <w:tc>
          <w:tcPr>
            <w:tcW w:type="dxa" w:w="3331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Signed envelope that carries SRE2 ciphertext. Verification support exists, but production emission and responder decryption are gated.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6. Protocol Families.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complete transport envelope limit is 8192 bytes. Existing v1 field order, widths, byte order, signatures, digests, and CRC behavior are compatibility contracts.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BLE store-carry-forward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BLE uses one process-level relay runtime. The foreground relay service and React Native bridge share the same scanner, advertiser, and GATT ownership.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1. A SAGIP device advertises the SAGIP BLE service.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2. A nearby device offers a message ID and payload digest.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3. The receiver rejects a message that it already holds.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4. The sender transfers SGC1 chunks in sequence.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5. The receiver validates the completed envelope and persists it in inbound_envelopes.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6. The receiver returns SGK1 custody success only after the database commit.</w:t>
      </w:r>
    </w:p>
    <w:p>
      <w:pPr>
        <w:keepNext w:val="0"/>
        <w:spacing w:after="40" w:line="252" w:lineRule="auto" w:before="0"/>
        <w:ind w:left="403" w:hanging="259"/>
        <w:jc w:val="left"/>
      </w:pPr>
      <w:r>
        <w:rPr>
          <w:rFonts w:ascii="Arial" w:hAnsi="Arial"/>
          <w:sz w:val="21"/>
        </w:rPr>
        <w:t>7. The origin records the relay receipt and shows Relayed to another SAGIP device.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Android 12 or later requires BLUETOOTH_SCAN, BLUETOOTH_ADVERTISE, and BLUETOOTH_CONNECT. Android 11 and earlier use fine location permission for BLE scanning.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BLE activity changes with active emergency age. The first 15 minutes use a low-latency profile. The system then reduces scan duty to conserve battery.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Active work age</w:t>
            </w:r>
          </w:p>
        </w:tc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Radio profile</w:t>
            </w:r>
          </w:p>
        </w:tc>
        <w:tc>
          <w:tcPr>
            <w:tcW w:type="dxa" w:w="4824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Software duty cycle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 to 15 minutes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Low latency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Effectively continuous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 minutes to 24 hours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Balanced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 seconds active, 25 seconds paused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More than 24 hours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Low power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 seconds active, 115 seconds paused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 active timestamp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Low power</w:t>
            </w:r>
          </w:p>
        </w:tc>
        <w:tc>
          <w:tcPr>
            <w:tcW w:type="dxa" w:w="3331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 seconds active, 115 seconds paused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t>Table 6A. BLE Duty-Cycle Profiles.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Internet delivery and retry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delivery worker treats network connectivity as a hint. Actual HTTP results decide success, retry, or permanent failure.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Accepted or exact duplicate: persist SERVER_ACCEPTED and its canonical receipt.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Transient network, server, or database failure: keep the immutable envelope retryable.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Malformed, unsupported, signature-invalid, or conflicting data: record permanent failure for the same bytes.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A lost server response is safe because the backend returns the same canonical receipt for an exact retry.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Delivery attempts use durable retry metadata. Abandoned attempts can recover after the delivery lease expires.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Location design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Location capture never blocks SOS persistence. The current provider reads Android last-known GPS and network locations only when location permission exists.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 location is fresh when its capture time is no more than five minutes old. The selector prefers freshness, accuracy, and then capture time.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current civilian interface does not provide a dedicated location-permission request flow. The stored location can therefore be absent.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Background processing and recovery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SurvivalCoreRuntime owns one process-level database, repository, and BLE relay runtime.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EmergencyRelayService runs as an Android connectedDevice foreground service when BLE readiness allows it.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EmergencyJobScheduler registers persisted job ID 54420 and requires a network connection.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periodic Android job uses the platform minimum interval of 15 minutes.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SurvivalRecoveryReceiver restores scheduling after BOOT_COMPLETED and MY_PACKAGE_REPLACED.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recovery receiver starts BLE relay only when persisted active work and runtime readiness allow it.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Security design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origin signing private key is non-exportable in Android Keystore.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local SQLCipher database uses a random 256-bit key that an Android Keystore AES-GCM key wraps.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Production Android builds reject a missing or non-HTTPS backend URL.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Production release builds reject missing release signing settings and verify the expected signing certificate.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Responder bearer tokens are stored as SHA-256 hashes in PostgreSQL.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Browser responder sessions store only a hash and use an HttpOnly, Secure, SameSite=Strict cookie.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Production backend instances use a shared PostgreSQL sliding-window rate limiter.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Responder console assets use restrictive browser security headers and no-store caching.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SRE2 and SGP2 code adds recipient encryption support. The system does not activate SGP2 until trusted responder keys, ciphertext persistence, and responder-side decryption are complete.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SGA1 uses CRC32 but does not provide application-layer confidentiality or cryptographic authentication. A later protocol version is required if the deployment threat model needs these properties.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Backend HTTP interface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tblHeader w:val="true"/>
          <w:cantSplit/>
        </w:trPr>
        <w:tc>
          <w:tcPr>
            <w:tcW w:type="dxa" w:w="936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Method</w:t>
            </w:r>
          </w:p>
        </w:tc>
        <w:tc>
          <w:tcPr>
            <w:tcW w:type="dxa" w:w="3384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Path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Access</w:t>
            </w:r>
          </w:p>
        </w:tc>
        <w:tc>
          <w:tcPr>
            <w:tcW w:type="dxa" w:w="388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/healthz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Return lightweight service health.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/v1/envelopes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Accept one application/octet-stream envelope with an 8192-byte limit.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/v1/reports/:reportId/status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Return server acceptance and latest responder acknowledgement for one report.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/responder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Serve the responder console HTML.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/v1/responder/session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Bearer token in body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Create a 12-hour browser responder session.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/v1/responder/session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Browser session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Restore the current responder session.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DELETE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/v1/responder/session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Browser session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Revoke the current responder session.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/v1/incidents/summary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Return queue counts and urgency summary.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/v1/incidents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Return bounded incident list with optional status filter.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GET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/v1/incidents/:reportId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Return incident detail, revisions, location, and acknowledgement history.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POST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/v1/incidents/:reportId/ack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Persist a responder status and optional note.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7. Backend HTTP Interface.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Delivery state meanings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4997"/>
        <w:gridCol w:w="4997"/>
      </w:tblGrid>
      <w:tr>
        <w:trPr>
          <w:tblHeader w:val="true"/>
          <w:tblHeader w:val="true"/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State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User meaning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DELIVERY_PENDING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SOS is saved locally. SAGIP is still searching for a delivery path.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RELAYED_TO_PEER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Another SAGIP device stored a copy. The server or responder may not have it yet.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SERVER_ACCEPTED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SAGIP server validated and stored the report. Responder acknowledgement can still be pending.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RESPONDER_ACKNOWLEDGED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 responder status is durably available for the report.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PERMANENT_FAILURE</w:t>
            </w:r>
          </w:p>
        </w:tc>
        <w:tc>
          <w:tcPr>
            <w:tcW w:type="dxa" w:w="4997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The same stored envelope cannot continue automatic delivery. The local SOS remains stored.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8. Delivery State Meanings.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Accessibility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Emergency controls use explicit accessibility roles, labels, hints, and disabled states. Dynamic emergency status uses polite or assertive live-region announcements when appropriate.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interface uses text with color and does not rely on color alone. Critical controls use practical touch targets near 48 by 48 density-independent pixels or larger.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DEVELOPMENT PROCESS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used milestone-based incremental development. Each milestone added one delivery or safety boundary and added tests for that boundary.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Milestone</w:t>
            </w:r>
          </w:p>
        </w:tc>
        <w:tc>
          <w:tcPr>
            <w:tcW w:type="dxa" w:w="7272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Implemented scope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September 5-6, 2026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Durable local SOS, SRP1 and SGP1, backend ingestion, direct delivery pipeline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September 20, 2026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BLE store-carry-forward, responder operations, SGA1 return path, background hardening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September 25, 2026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Physical-device readiness, hosted Neon field-test deployment, release workflow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September 28, 2026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console hardening, production signing workflow, SQLCipher, SRE2 and SGP2 support, distributed rate limiting</w:t>
            </w:r>
          </w:p>
        </w:tc>
      </w:tr>
      <w:tr>
        <w:trPr>
          <w:cantSplit/>
        </w:trPr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September 29, 2026</w:t>
            </w:r>
          </w:p>
        </w:tc>
        <w:tc>
          <w:tcPr>
            <w:tcW w:type="dxa" w:w="4997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Current host validation and consolidated system documentation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t>Table 8A. Development Milestones.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2718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1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Figure 4. Development Milestone Timeline.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Protocol and persistence work used compatibility tests before later transport changes. Current source and tests remain the authority when older planning documents differ from code.</w:t>
      </w:r>
    </w:p>
    <w:p>
      <w:r>
        <w:br w:type="page"/>
      </w:r>
    </w:p>
    <w:p>
      <w:pPr>
        <w:pStyle w:val="TOC1"/>
        <w:keepNext/>
        <w:keepLines/>
        <w:tabs>
          <w:tab w:pos="9576" w:val="right" w:leader="dot"/>
        </w:tabs>
        <w:spacing w:after="360" w:before="24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CHAPTER THREE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TESTING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uses separate tests for presentation, native emergency behavior, binary protocols, backend ingestion, responder operations, security bounds, and release builds.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Host tests verify deterministic behavior without claiming radio or field conditions. Physical-device tests are separate acceptance evidence.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Current host validation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Check</w:t>
            </w:r>
          </w:p>
        </w:tc>
        <w:tc>
          <w:tcPr>
            <w:tcW w:type="dxa" w:w="367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Scope</w:t>
            </w:r>
          </w:p>
        </w:tc>
        <w:tc>
          <w:tcPr>
            <w:tcW w:type="dxa" w:w="208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Result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React Native Jest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25 tests in 3 suites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Root TypeScript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npx tsc --noEmit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Root ESLint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 errors, 5 warnings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 with warnings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Backend tests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43 tests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Backend TypeScript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npm --prefix backend run typecheck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Backend ESLint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npm --prefix backend run lint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Android unit tests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87 tests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Android debug app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assembleDebug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Android instrumentation APK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assembleDebugAndroidTest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2026-09-29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9. Current Host Validation Results.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Android Gradle validation completed 165 actionable tasks. Fifteen tasks executed and 150 were up to date.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Protocol and security validation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Backend tests cover SRP1 parsing, SGP1 golden vectors, P-256 verification, idempotent ingestion, and duplicate conflicts.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Backend tests cover SRE2 framing and SGP2 signature and digest validation without server-side SRP1 decryption.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Backend tests cover distributed PostgreSQL rate limiting and browser responder session constraints.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Android unit tests cover delivery, retry, BLE framing, duty cycles, return acknowledgement behavior, and encrypted payload support.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Android instrumentation source includes SQLCipher migration, wrong-key, missing-key, and wrapped-key corruption tests.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Connected-device evidence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An earlier field-readiness revision passed 16 of 16 connected instrumentation tests on a POCO F6 with Android 16. The same count passed on a Pixel 4 Android 12 emulator.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foreground connectedDevice relay service also started on the POCO without fresh Android runtime or Bluetooth errors in that test session.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current revision added SQLCipher and related security changes after that evidence. The current connected SQLCipher migration suite still requires execution on representative devices.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Field acceptance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first complete field milestone requires two physical Android phones and a live PostgreSQL-backed server. Emulator tests do not replace this acceptance path.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Gate</w:t>
            </w:r>
          </w:p>
        </w:tc>
        <w:tc>
          <w:tcPr>
            <w:tcW w:type="dxa" w:w="4680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Acceptance condition</w:t>
            </w:r>
          </w:p>
        </w:tc>
        <w:tc>
          <w:tcPr>
            <w:tcW w:type="dxa" w:w="1512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Class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Current status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Offline origin save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Phone A saves an SOS with no internet.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Required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Not complete on current full field path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BLE custody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Phone A transfers the exact envelope to Phone B. B persists before custody success.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Required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Pending full two-phone acceptance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Gateway server delivery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Phone B later sends the stored envelope to a live server.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Required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Implementation exists. Full field path pending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Duplicate convergence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Repeated server delivery produces one incident and one canonical receipt.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Required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Verified in earlier live Neon test and host tests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Responder acknowledgement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Authorized responder stores a report status.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Required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Backend and console implemented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SGA1 return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Phone B returns responder status to offline Phone A over BLE.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Required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Pending physical two-phone acceptance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Current SQLCipher device migration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Plaintext local database migrates and reopens on representative devices.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Production gate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Pending connected execution on current revision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SGP2 production encryption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Trusted responder key directory, ciphertext persistence, and responder-side decryption are active.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Production gate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Not activated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Service operations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Monitoring, uptime target, incident response, and responder credential procedures are field-ready.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Production gate</w:t>
            </w:r>
          </w:p>
        </w:tc>
        <w:tc>
          <w:tcPr>
            <w:tcW w:type="dxa" w:w="2498"/>
            <w:vAlign w:val="center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Operational evidence still required</w:t>
            </w:r>
          </w:p>
        </w:tc>
      </w:tr>
    </w:tbl>
    <w:p>
      <w:pPr>
        <w:pStyle w:val="Caption"/>
        <w:keepNext w:val="0"/>
        <w:spacing w:before="80" w:after="160" w:line="240" w:lineRule="auto"/>
        <w:jc w:val="center"/>
      </w:pPr>
      <w:r>
        <w:rPr>
          <w:rFonts w:ascii="Arial" w:hAnsi="Arial" w:eastAsia="Arial"/>
          <w:i/>
          <w:color w:val="000000"/>
          <w:sz w:val="20"/>
        </w:rPr>
        <w:t>Table 10. Field Acceptance and Production Gates.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DEPLOYMENT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Development environment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Development requires Node.js, Java, the Android SDK, and the React Native Android toolchain. A local backend also requires PostgreSQL through DATABASE_URL.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9994"/>
      </w:tblGrid>
      <w:tr>
        <w:trPr>
          <w:cantSplit/>
          <w:tblHeader/>
        </w:trPr>
        <w:tc>
          <w:tcPr>
            <w:tcW w:type="dxa" w:w="9994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npm ci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npm --prefix backend ci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npm start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npm run android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Android debug build uses http://10.0.2.2:8080 when no backend override exists. Physical devices need a reachable backend URL.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Local backend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9994"/>
      </w:tblGrid>
      <w:tr>
        <w:trPr>
          <w:cantSplit/>
          <w:tblHeader/>
        </w:trPr>
        <w:tc>
          <w:tcPr>
            <w:tcW w:type="dxa" w:w="9994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DATABASE_URL=&lt;private PostgreSQL URL&gt;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PORT=8080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npm --prefix backend run migrate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npm --prefix backend run dev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development server can provision the development responder identity used by engineering tests. Production does not create that development token automatically.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Field-test release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 Git tag that matches field-test-* starts the field-test workflow. The workflow verifies backend health, runs host validation, builds a debug-signed APK, and publishes a GitHub pre-release.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field-test artifact is not a production emergency-service release. It exists for controlled physical-device testing.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Production Android release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production workflow is manual. It requires explicit version values, an HTTPS backend, an approved signing certificate fingerprint, and production signing secrets.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SAGIP_BACKEND_BASE_URL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SAGIP_RELEASE_CERT_SHA256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SAGIP_RELEASE_KEYSTORE_BASE64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SAGIP_RELEASE_KEYSTORE_PASSWORD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SAGIP_RELEASE_KEY_ALIAS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SAGIP_RELEASE_KEY_PASSWORD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SAGIP_VERSION_CODE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SAGIP_VERSION_NAME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workflow builds a signed APK and AAB, verifies the APK signer, verifies the AAB signature, and creates SHA-256 checksums.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Production publication requires an explicit readiness confirmation. The workflow can also publish a signed pre-release without claiming production readiness.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Backend deployment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production workflow can link the configured Neon project and production branch. It applies PostgreSQL migrations before it deploys the Neon Function.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Post-deployment checks verify /healthz, /responder, and unauthorized access behavior for responder incident APIs.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Responder provisioning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9994"/>
      </w:tblGrid>
      <w:tr>
        <w:trPr>
          <w:cantSplit/>
          <w:tblHeader/>
        </w:trPr>
        <w:tc>
          <w:tcPr>
            <w:tcW w:type="dxa" w:w="9994"/>
            <w:tcMar>
              <w:top w:w="70" w:type="dxa"/>
              <w:start w:w="85" w:type="dxa"/>
              <w:bottom w:w="70" w:type="dxa"/>
              <w:end w:w="85" w:type="dxa"/>
              <w:left w:w="90" w:type="dxa"/>
              <w:right w:w="90" w:type="dxa"/>
            </w:tcMar>
            <w:vAlign w:val="center"/>
            <w:shd w:fill="EDEDED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DATABASE_URL=&lt;private production PostgreSQL URL&gt;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RESPONDER_CALLSIGN=RESCUE-ALPHA-1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RESPONDER_ROLE=DISPATCHER</w:t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npm --prefix backend run provision-responder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command displays the raw bearer token once. PostgreSQL stores only its SHA-256 hash. Operators must transfer the raw token through an approved secret channel.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Secret handling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Do not place database URLs, responder tokens, Neon API keys, keystore files, or signing passwords in public source, release notes, or application artifacts.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production workflow materializes signing material only in the temporary runner environment. Long-term signing recovery must use a separate protected backup process.</w:t>
      </w:r>
    </w:p>
    <w:p>
      <w:pPr>
        <w:pStyle w:val="TOC2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1"/>
        </w:rPr>
        <w:t>MAINTENANCE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Application and signing maintenance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Keep the same approved production signing identity for normal Android upgrades.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Increase Android version code for each distributed production build.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Do not distribute a corrective build with a lower version code.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Re-run host and device validation after safety-critical persistence, BLE, protocol, or lifecycle changes.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Local database maintenance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Current local schema version is 7.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Migrations are non-destructive and forward-only in the application.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Database downgrade is rejected.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If the encrypted database key metadata and Android Keystore state disagree, the application fails closed instead of creating an empty replacement database.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Migration cleanup must remove temporary plaintext database artifacts after verified replacement.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Backend database maintenance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Backend migrations are checksum-protected history. Do not edit an already applied migration to simulate rollback.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 backend rollback must remain compatible with the current database schema. Database repair requires a new reviewed migration.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Protocol maintenance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Do not change SGP1, SGC1, SGK1, or SGA1 byte layouts in place.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Keep the 8192-byte outer envelope limit across Android, BLE, and backend code.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Persist READY envelope bytes and reuse them for retry and relay.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Use a new protocol version when confidentiality or authentication changes alter a wire contract.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Keep compatibility tests for old protocol vectors after each protocol extension.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Responder operations maintenance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Provision responder bearer tokens from an authorized environment only.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Revoke or replace credentials when an operator or device no longer needs access.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Use browser session disconnect to revoke the current server-side session.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Keep responder status meaning consistent with the backend status values.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Do not place incident secrets or raw credentials in routine logs.</w:t>
      </w:r>
    </w:p>
    <w:p>
      <w:pPr>
        <w:pStyle w:val="Heading2"/>
        <w:keepNext/>
        <w:keepLines/>
        <w:spacing w:before="160" w:after="10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3"/>
        </w:rPr>
        <w:t>Known current limitations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complete current-revision two-phone BLE custody and SGA1 return path is not field-qualified.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Current SQLCipher migration tests compile but still need representative connected-device execution.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SGP2 production emission, trusted responder key distribution, server ciphertext storage, and responder-local decryption are not active.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SGA1 is not confidential or cryptographically authenticated at the application layer.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The civilian interface does not yet include a dedicated location-permission request flow.</w:t>
      </w:r>
    </w:p>
    <w:p>
      <w:pPr>
        <w:pStyle w:val="ListBullet"/>
        <w:keepNext w:val="0"/>
        <w:spacing w:after="40" w:line="252" w:lineRule="auto" w:before="0"/>
        <w:ind w:left="475"/>
        <w:jc w:val="left"/>
      </w:pPr>
      <w:r>
        <w:rPr>
          <w:rFonts w:ascii="Arial" w:hAnsi="Arial" w:eastAsia="Arial"/>
          <w:color w:val="000000"/>
          <w:sz w:val="21"/>
        </w:rPr>
        <w:t>Repository test and build success does not prove a production uptime or emergency-service availability target.</w:t>
      </w:r>
    </w:p>
    <w:p>
      <w:pPr>
        <w:pStyle w:val="TOC1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CONCLUSION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preserves an SOS report on the Android device before it depends on transport or external services. The same persisted report can continue through direct internet delivery or BLE store-carry-forward.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server provides idempotent acceptance and responder coordination. The responder console records operational status and exposes it to online origins or relay devices.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The current code also encrypts local emergency storage and contains SGP2 encryption support. Production activation of end-to-end payload encryption still requires the remaining responder key and ciphertext paths.</w:t>
      </w:r>
    </w:p>
    <w:p>
      <w:pPr>
        <w:keepNext w:val="0"/>
        <w:keepLines w:val="0"/>
        <w:spacing w:line="276" w:lineRule="auto" w:after="120" w:before="0"/>
        <w:ind w:firstLine="648"/>
        <w:jc w:val="both"/>
      </w:pPr>
      <w:r>
        <w:rPr>
          <w:rFonts w:ascii="Arial" w:hAnsi="Arial" w:eastAsia="Arial"/>
          <w:color w:val="000000"/>
          <w:sz w:val="22"/>
        </w:rPr>
        <w:t>Physical two-phone acceptance, current connected SQLCipher migration validation, and production operational evidence remain required before real emergency-service deployment.</w:t>
      </w:r>
    </w:p>
    <w:p>
      <w:pPr>
        <w:pStyle w:val="TOC1"/>
        <w:keepNext/>
        <w:keepLines/>
        <w:tabs>
          <w:tab w:pos="9576" w:val="right" w:leader="dot"/>
        </w:tabs>
        <w:spacing w:before="200" w:after="120" w:line="24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>REFERENCES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source repository, main branch, current baseline commit 90fef4d.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DESIGN.md. Canonical product and architecture intent.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TRANSPORT_ENVELOPE_V1.md. SRP1 and SGP1 transport format.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DELIVERY_PIPELINE.md. Internet delivery and persisted retry behavior.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BLE_STORE_CARRY_FORWARD_V1.md. BLE custody and relay specification.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BACKEND_INGESTION_V1.md. Backend validation and idempotent PostgreSQL ingestion.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RESPONDER_OPERATIONS_V1.md. Responder API and acknowledgement specification.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HARDENING_AND_SURVIVAL_V1.md. Android background, retry, recovery, and accessibility requirements.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PHYSICAL_TESTING_RUNBOOK.md. Two-device field acceptance procedure.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RESPONDER_CONSOLE.md. Current responder console session and operations behavior.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SECURITY_ARCHITECTURE_V2.md. SQLCipher, SRE2, SGP2, key distribution, and production security design.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SAGIP PRODUCTION_RELEASE.md. Production signing, CI/CD, deployment, rollback, and release gates.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React Native project configuration, package.json, version 0.87.1.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Android build configuration, compile SDK 36, target SDK 36, minimum SDK 24.</w:t>
      </w:r>
    </w:p>
    <w:p>
      <w:pPr>
        <w:keepNext w:val="0"/>
        <w:spacing w:after="120" w:before="0" w:line="276" w:lineRule="auto"/>
        <w:ind w:firstLine="648"/>
        <w:jc w:val="both"/>
      </w:pPr>
      <w:r>
        <w:rPr>
          <w:rFonts w:ascii="Arial" w:hAnsi="Arial" w:eastAsia="Arial"/>
          <w:color w:val="000000"/>
          <w:sz w:val="22"/>
        </w:rPr>
        <w:t>Backend package configuration, Node.js 24+, TypeScript, PostgreSQL pg driver.</w:t>
      </w:r>
    </w:p>
    <w:sectPr w:rsidR="00FC693F" w:rsidRPr="0006063C" w:rsidSect="00034616">
      <w:headerReference w:type="default" r:id="rId10"/>
      <w:pgSz w:w="12240" w:h="15840"/>
      <w:pgMar w:top="1152" w:right="1152" w:bottom="1152" w:left="1152" w:header="576" w:footer="576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0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 w:before="0"/>
      <w:jc w:val="both"/>
    </w:pPr>
    <w:rPr>
      <w:rFonts w:ascii="Times New Roman" w:hAnsi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F4C8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60" w:after="140"/>
      <w:jc w:val="center"/>
    </w:pPr>
    <w:rPr>
      <w:rFonts w:ascii="Times New Roman" w:hAnsi="Times New Roman"/>
      <w:b w:val="0"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spacing w:before="0" w:after="280"/>
      <w:jc w:val="center"/>
      <w:outlineLvl w:val="9"/>
    </w:pPr>
    <w:rPr>
      <w:rFonts w:ascii="Times New Roman" w:hAnsi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hapterSource">
    <w:name w:val="TOCChapterSource"/>
    <w:basedOn w:val="Normal"/>
    <w:pPr>
      <w:keepNext/>
      <w:widowControl/>
      <w:spacing w:before="200" w:after="14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TOCSectionSource">
    <w:name w:val="TOCSectionSource"/>
    <w:basedOn w:val="Heading1"/>
    <w:pPr>
      <w:keepNext/>
      <w:widowControl/>
      <w:spacing w:before="160" w:after="100"/>
      <w:jc w:val="center"/>
    </w:pPr>
    <w:rPr>
      <w:rFonts w:ascii="Times New Roman" w:hAnsi="Times New Roman"/>
      <w:b/>
      <w:color w:val="000000"/>
      <w:sz w:val="24"/>
    </w:rPr>
  </w:style>
  <w:style w:type="paragraph" w:customStyle="1" w:styleId="TOCFrontSource">
    <w:name w:val="TOCFrontSource"/>
    <w:basedOn w:val="Heading1"/>
    <w:pPr>
      <w:keepNext/>
      <w:widowControl/>
      <w:spacing w:before="200" w:after="14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TOC1">
    <w:name w:val="TOC 1"/>
    <w:basedOn w:val="Normal"/>
    <w:pPr>
      <w:widowControl/>
      <w:tabs>
        <w:tab w:pos="9288" w:val="right" w:leader="dot"/>
      </w:tabs>
      <w:spacing w:before="40" w:after="60" w:line="240" w:lineRule="auto"/>
      <w:ind/>
      <w:jc w:val="left"/>
    </w:pPr>
    <w:rPr>
      <w:rFonts w:ascii="Times New Roman" w:hAnsi="Times New Roman" w:eastAsia="Times New Roman" w:cs="Times New Roman"/>
      <w:b/>
      <w:color w:val="000000"/>
      <w:sz w:val="22"/>
    </w:rPr>
  </w:style>
  <w:style w:type="paragraph" w:customStyle="1" w:styleId="TOC2">
    <w:name w:val="TOC 2"/>
    <w:basedOn w:val="Normal"/>
    <w:pPr>
      <w:widowControl/>
      <w:tabs>
        <w:tab w:pos="9288" w:val="right" w:leader="dot"/>
      </w:tabs>
      <w:spacing w:before="20" w:after="40" w:line="240" w:lineRule="auto"/>
      <w:ind w:left="403"/>
      <w:jc w:val="left"/>
    </w:pPr>
    <w:rPr>
      <w:rFonts w:ascii="Times New Roman" w:hAnsi="Times New Roman" w:eastAsia="Times New Roman" w:cs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2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SAGIP: Offline-First Delay-Tolerant Emergency Communication System</dc:title>
  <dc:subject>Offline-first delay-tolerant emergency communication system documentation</dc:subject>
  <dc:creator>SAGIP Project</dc:creator>
  <cp:keywords>SAGIP, emergency communication, Android, BLE, PostgreSQL, responder console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