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svg" ContentType="image/svg+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media/image.svg" ContentType="image/svg+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14:paraId="77777A2A" w14:textId="77777A2B">
      <w:pPr>
        <w:pStyle w:val="TOC1"/>
        <w:tabs>
          <w:tab w:val="right" w:leader="dot" w:pos="9016"/>
        </w:tabs>
      </w:pPr>
      <w:r>
        <w:t>CHAPTER ONE</w:t>
      </w:r>
      <w:r>
        <w:tab/>
        <w:t>3</w:t>
      </w:r>
    </w:p>
    <w:p w14:paraId="77777A2C" w14:textId="77777A2D">
      <w:pPr>
        <w:pStyle w:val="TOC2"/>
        <w:tabs>
          <w:tab w:val="right" w:leader="dot" w:pos="9016"/>
        </w:tabs>
      </w:pPr>
      <w:r>
        <w:t>INTRODUCTION</w:t>
      </w:r>
      <w:r>
        <w:tab/>
        <w:t>3</w:t>
      </w:r>
    </w:p>
    <w:p w14:paraId="77777A2E" w14:textId="77777A2F">
      <w:pPr>
        <w:pStyle w:val="TOC2"/>
        <w:tabs>
          <w:tab w:val="right" w:leader="dot" w:pos="9016"/>
        </w:tabs>
      </w:pPr>
      <w:r>
        <w:t>PROJECT OVERVIEW</w:t>
      </w:r>
      <w:r>
        <w:tab/>
        <w:t>4</w:t>
      </w:r>
    </w:p>
    <w:p w14:paraId="77777A30" w14:textId="77777A31">
      <w:pPr>
        <w:pStyle w:val="TOC2"/>
        <w:tabs>
          <w:tab w:val="right" w:leader="dot" w:pos="9016"/>
        </w:tabs>
      </w:pPr>
      <w:r>
        <w:t>REQUIREMENTS</w:t>
      </w:r>
      <w:r>
        <w:tab/>
        <w:t>6</w:t>
      </w:r>
    </w:p>
    <w:p w14:paraId="77777A32" w14:textId="77777A33">
      <w:pPr>
        <w:pStyle w:val="TOC3"/>
        <w:tabs>
          <w:tab w:val="right" w:leader="dot" w:pos="9016"/>
        </w:tabs>
      </w:pPr>
      <w:r>
        <w:t>Functional Requirements</w:t>
      </w:r>
      <w:r>
        <w:tab/>
        <w:t>6</w:t>
      </w:r>
    </w:p>
    <w:p w14:paraId="77777A34" w14:textId="77777A35">
      <w:pPr>
        <w:pStyle w:val="TOC3"/>
        <w:tabs>
          <w:tab w:val="right" w:leader="dot" w:pos="9016"/>
        </w:tabs>
      </w:pPr>
      <w:r>
        <w:t>Non-Functional Requirements</w:t>
      </w:r>
      <w:r>
        <w:tab/>
        <w:t>8</w:t>
      </w:r>
    </w:p>
    <w:p w14:paraId="77777A36" w14:textId="77777A37">
      <w:pPr>
        <w:pStyle w:val="TOC1"/>
        <w:tabs>
          <w:tab w:val="right" w:leader="dot" w:pos="9016"/>
        </w:tabs>
      </w:pPr>
      <w:r>
        <w:t>CHAPTER TWO</w:t>
      </w:r>
      <w:r>
        <w:tab/>
        <w:t>11</w:t>
      </w:r>
    </w:p>
    <w:p w14:paraId="77777A38" w14:textId="77777A39">
      <w:pPr>
        <w:pStyle w:val="TOC2"/>
        <w:tabs>
          <w:tab w:val="right" w:leader="dot" w:pos="9016"/>
        </w:tabs>
      </w:pPr>
      <w:r>
        <w:t>ARCHITECTURE</w:t>
      </w:r>
      <w:r>
        <w:tab/>
        <w:t>11</w:t>
      </w:r>
    </w:p>
    <w:p w14:paraId="77777A3A" w14:textId="77777A3B">
      <w:pPr>
        <w:pStyle w:val="TOC3"/>
        <w:tabs>
          <w:tab w:val="right" w:leader="dot" w:pos="9016"/>
        </w:tabs>
      </w:pPr>
      <w:r>
        <w:t>Architecture Components</w:t>
      </w:r>
      <w:r>
        <w:tab/>
        <w:t>11</w:t>
      </w:r>
    </w:p>
    <w:p w14:paraId="77777A3C" w14:textId="77777A3D">
      <w:pPr>
        <w:pStyle w:val="TOC3"/>
        <w:tabs>
          <w:tab w:val="right" w:leader="dot" w:pos="9016"/>
        </w:tabs>
      </w:pPr>
      <w:r>
        <w:t>Technology Stack</w:t>
      </w:r>
      <w:r>
        <w:tab/>
        <w:t>11</w:t>
      </w:r>
    </w:p>
    <w:p w14:paraId="77777A3E" w14:textId="77777A3F">
      <w:pPr>
        <w:pStyle w:val="TOC3"/>
        <w:tabs>
          <w:tab w:val="right" w:leader="dot" w:pos="9016"/>
        </w:tabs>
      </w:pPr>
      <w:r>
        <w:t>Experience Layer Technologies</w:t>
      </w:r>
      <w:r>
        <w:tab/>
        <w:t>11</w:t>
      </w:r>
    </w:p>
    <w:p w14:paraId="77777A40" w14:textId="77777A41">
      <w:pPr>
        <w:pStyle w:val="TOC3"/>
        <w:tabs>
          <w:tab w:val="right" w:leader="dot" w:pos="9016"/>
        </w:tabs>
      </w:pPr>
      <w:r>
        <w:t>Native Android Technologies</w:t>
      </w:r>
      <w:r>
        <w:tab/>
        <w:t>12</w:t>
      </w:r>
    </w:p>
    <w:p w14:paraId="77777A42" w14:textId="77777A43">
      <w:pPr>
        <w:pStyle w:val="TOC3"/>
        <w:tabs>
          <w:tab w:val="right" w:leader="dot" w:pos="9016"/>
        </w:tabs>
      </w:pPr>
      <w:r>
        <w:t>Backend Technologies</w:t>
      </w:r>
      <w:r>
        <w:tab/>
        <w:t>12</w:t>
      </w:r>
    </w:p>
    <w:p w14:paraId="77777A44" w14:textId="77777A45">
      <w:pPr>
        <w:pStyle w:val="TOC3"/>
        <w:tabs>
          <w:tab w:val="right" w:leader="dot" w:pos="9016"/>
        </w:tabs>
      </w:pPr>
      <w:r>
        <w:t>Communication and Protocol Technologies</w:t>
      </w:r>
      <w:r>
        <w:tab/>
        <w:t>12</w:t>
      </w:r>
    </w:p>
    <w:p w14:paraId="77777A46" w14:textId="77777A47">
      <w:pPr>
        <w:pStyle w:val="TOC2"/>
        <w:tabs>
          <w:tab w:val="right" w:leader="dot" w:pos="9016"/>
        </w:tabs>
      </w:pPr>
      <w:r>
        <w:t>DESIGN</w:t>
      </w:r>
      <w:r>
        <w:tab/>
        <w:t>13</w:t>
      </w:r>
    </w:p>
    <w:p w14:paraId="77777A48" w14:textId="77777A49">
      <w:pPr>
        <w:pStyle w:val="TOC3"/>
        <w:tabs>
          <w:tab w:val="right" w:leader="dot" w:pos="9016"/>
        </w:tabs>
      </w:pPr>
      <w:r>
        <w:t>Database Structure</w:t>
      </w:r>
      <w:r>
        <w:tab/>
        <w:t>13</w:t>
      </w:r>
    </w:p>
    <w:p w14:paraId="77777A4A" w14:textId="77777A4B">
      <w:pPr>
        <w:pStyle w:val="TOC2"/>
        <w:tabs>
          <w:tab w:val="right" w:leader="dot" w:pos="9016"/>
        </w:tabs>
      </w:pPr>
      <w:r>
        <w:t>DEVELOPMENT PROCESS</w:t>
      </w:r>
      <w:r>
        <w:tab/>
        <w:t>14</w:t>
      </w:r>
    </w:p>
    <w:p w14:paraId="77777A4C" w14:textId="77777A4D">
      <w:pPr>
        <w:pStyle w:val="TOC1"/>
        <w:tabs>
          <w:tab w:val="right" w:leader="dot" w:pos="9016"/>
        </w:tabs>
      </w:pPr>
      <w:r>
        <w:t>CHAPTER THREE</w:t>
      </w:r>
      <w:r>
        <w:tab/>
        <w:t>17</w:t>
      </w:r>
    </w:p>
    <w:p w14:paraId="77777A4E" w14:textId="77777A4F">
      <w:pPr>
        <w:pStyle w:val="TOC2"/>
        <w:tabs>
          <w:tab w:val="right" w:leader="dot" w:pos="9016"/>
        </w:tabs>
      </w:pPr>
      <w:r>
        <w:t>TESTING</w:t>
      </w:r>
      <w:r>
        <w:tab/>
        <w:t>17</w:t>
      </w:r>
    </w:p>
    <w:p w14:paraId="77777A50" w14:textId="77777A51">
      <w:pPr>
        <w:pStyle w:val="TOC3"/>
        <w:tabs>
          <w:tab w:val="right" w:leader="dot" w:pos="9016"/>
        </w:tabs>
      </w:pPr>
      <w:r>
        <w:t>Testing Approach</w:t>
      </w:r>
      <w:r>
        <w:tab/>
        <w:t>17</w:t>
      </w:r>
    </w:p>
    <w:p w14:paraId="77777A52" w14:textId="77777A53">
      <w:pPr>
        <w:pStyle w:val="TOC3"/>
        <w:tabs>
          <w:tab w:val="right" w:leader="dot" w:pos="9016"/>
        </w:tabs>
      </w:pPr>
      <w:r>
        <w:t>Functional Requirements Test Cases</w:t>
      </w:r>
      <w:r>
        <w:tab/>
        <w:t>17</w:t>
      </w:r>
    </w:p>
    <w:p w14:paraId="77777A54" w14:textId="77777A55">
      <w:pPr>
        <w:pStyle w:val="TOC3"/>
        <w:tabs>
          <w:tab w:val="right" w:leader="dot" w:pos="9016"/>
        </w:tabs>
      </w:pPr>
      <w:r>
        <w:t>Automated Verification</w:t>
      </w:r>
      <w:r>
        <w:tab/>
        <w:t>18</w:t>
      </w:r>
    </w:p>
    <w:p w14:paraId="77777A56" w14:textId="77777A57">
      <w:pPr>
        <w:pStyle w:val="TOC3"/>
        <w:tabs>
          <w:tab w:val="right" w:leader="dot" w:pos="9016"/>
        </w:tabs>
      </w:pPr>
      <w:r>
        <w:t>Current Verification Evidence</w:t>
      </w:r>
      <w:r>
        <w:tab/>
        <w:t>18</w:t>
      </w:r>
    </w:p>
    <w:p w14:paraId="77777A58" w14:textId="77777A59">
      <w:pPr>
        <w:pStyle w:val="TOC3"/>
        <w:tabs>
          <w:tab w:val="right" w:leader="dot" w:pos="9016"/>
        </w:tabs>
      </w:pPr>
      <w:r>
        <w:t>Field Acceptance Testing</w:t>
      </w:r>
      <w:r>
        <w:tab/>
        <w:t>20</w:t>
      </w:r>
    </w:p>
    <w:p w14:paraId="77777A5A" w14:textId="77777A5B">
      <w:pPr>
        <w:pStyle w:val="TOC2"/>
        <w:tabs>
          <w:tab w:val="right" w:leader="dot" w:pos="9016"/>
        </w:tabs>
      </w:pPr>
      <w:r>
        <w:t>DEPLOYMENT</w:t>
      </w:r>
      <w:r>
        <w:tab/>
        <w:t>21</w:t>
      </w:r>
    </w:p>
    <w:p w14:paraId="77777A5C" w14:textId="77777A5D">
      <w:pPr>
        <w:pStyle w:val="TOC3"/>
        <w:tabs>
          <w:tab w:val="right" w:leader="dot" w:pos="9016"/>
        </w:tabs>
      </w:pPr>
      <w:r>
        <w:t>Deployment and Production Readiness Gates</w:t>
      </w:r>
      <w:r>
        <w:tab/>
        <w:t>21</w:t>
      </w:r>
    </w:p>
    <w:p w14:paraId="77777A5E" w14:textId="77777A5F">
      <w:pPr>
        <w:pStyle w:val="TOC2"/>
        <w:tabs>
          <w:tab w:val="right" w:leader="dot" w:pos="9016"/>
        </w:tabs>
      </w:pPr>
      <w:r>
        <w:t>MAINTENANCE</w:t>
      </w:r>
      <w:r>
        <w:tab/>
        <w:t>22</w:t>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A60">
      <w:pPr>
        <w:spacing w:line="360" w:lineRule="auto"/>
        <w:ind w:firstLine="720"/>
        <w:jc w:val="both"/>
      </w:pPr>
      <w:r>
        <w:t xml:space="preserve">Communication is essential during an emergency. People need a reliable way to report their condition, location, and need for help. Disasters can also damage communication infrastructure and interrupt information flow [1]-[4].</w:t>
      </w:r>
    </w:p>
    <w:p w:rsidR="009B67B4" w:rsidRDefault="00546324" w14:paraId="0010001E" w14:textId="77777A61">
      <w:pPr>
        <w:spacing w:line="360" w:lineRule="auto"/>
        <w:ind w:firstLine="720"/>
        <w:jc w:val="both"/>
      </w:pPr>
      <w:r>
        <w:t xml:space="preserve">Mobile data can fail during a disaster. Network infrastructure can fail or become congested. A mobile device can also move between covered and uncovered areas. These conditions can block normal applications from reaching remote servers [1], [3], [4].</w:t>
      </w:r>
    </w:p>
    <w:p w:rsidR="009B67B4" w:rsidRDefault="00546324" w14:paraId="00100020" w14:textId="77777A62">
      <w:pPr>
        <w:spacing w:line="360" w:lineRule="auto"/>
        <w:ind w:firstLine="720"/>
        <w:jc w:val="both"/>
      </w:pPr>
      <w:r>
        <w:t xml:space="preserve">SAGIP uses an offline-first and delay-tolerant design. A user can create an emergency report without an active internet connection. The system stores the report on the device first. It then attempts delivery when a communication path becomes available [5]-[7].</w:t>
      </w:r>
    </w:p>
    <w:p w:rsidR="009B67B4" w:rsidRDefault="00546324" w14:paraId="00100022" w14:textId="77777A63">
      <w:pPr>
        <w:spacing w:line="360" w:lineRule="auto"/>
        <w:ind w:firstLine="720"/>
        <w:jc w:val="both"/>
      </w:pPr>
      <w:r>
        <w:t xml:space="preserve">SAGIP uses local storage as the first protection against message loss. The system reports successful SOS creation only after the local database stores the report. Internet access is not required for this local operation. Bluetooth, location data, and server availability are also not required.</w:t>
      </w:r>
    </w:p>
    <w:p w:rsidR="009B67B4" w:rsidRDefault="00546324" w14:paraId="00100024" w14:textId="77777A64">
      <w:pPr>
        <w:spacing w:line="360" w:lineRule="auto"/>
        <w:ind w:firstLine="720"/>
        <w:jc w:val="both"/>
      </w:pPr>
      <w:r>
        <w:t xml:space="preserve">When internet access is available, SAGIP can send the report directly to its coordination backend. When internet access is unavailable, SAGIP can search for nearby SAGIP devices through Bluetooth Low Energy (BLE). A nearby compatible device can receive and store the report. Android provides BLE APIs for nearby-device discovery and data transfer [8], [9].</w:t>
      </w:r>
    </w:p>
    <w:p w:rsidR="009B67B4" w:rsidRDefault="00546324" w14:paraId="00100026" w14:textId="77777A65">
      <w:pPr>
        <w:spacing w:line="360" w:lineRule="auto"/>
        <w:ind w:firstLine="720"/>
        <w:jc w:val="both"/>
      </w:pPr>
      <w:r>
        <w:t xml:space="preserve">The relay device can carry the report while both devices remain offline. When the relay later gains internet access, it can send the stored report to the backend. This behavior follows a store-carry-forward model [5]-[7].</w:t>
      </w:r>
    </w:p>
    <w:p w:rsidR="009B67B4" w:rsidRDefault="00546324" w14:paraId="00100028" w14:textId="77777A66">
      <w:pPr>
        <w:spacing w:line="360" w:lineRule="auto"/>
        <w:ind w:firstLine="720"/>
        <w:jc w:val="both"/>
      </w:pPr>
      <w:r>
        <w:t xml:space="preserve">The system separates each delivery stage. Local storage does not mean that the server received the report. Relay custody also does not mean that a responder received the report. SAGIP shows separate states for local storage, pending delivery, relay custody, server acceptance, and responder acknowledgement.</w:t>
      </w:r>
    </w:p>
    <w:p w:rsidR="009B67B4" w:rsidRDefault="00546324" w14:paraId="0010002A" w14:textId="77777A67">
      <w:pPr>
        <w:spacing w:line="360" w:lineRule="auto"/>
        <w:ind w:firstLine="720"/>
        <w:jc w:val="both"/>
      </w:pPr>
      <w:r>
        <w:t xml:space="preserve">SAGIP must handle interrupted transfers and repeated delivery attempts. The system keeps stable report and message identifiers across retries and relay operations. These stable identifiers help the backend treat repeated copies as one logical incident.</w:t>
      </w:r>
    </w:p>
    <w:p w:rsidR="009B67B4" w:rsidRDefault="00546324" w14:paraId="0010002C" w14:textId="77777A68">
      <w:pPr>
        <w:spacing w:line="360" w:lineRule="auto"/>
        <w:ind w:firstLine="720"/>
        <w:jc w:val="both"/>
      </w:pPr>
      <w:r>
        <w:lastRenderedPageBreak/>
        <w:t xml:space="preserve">The mobile application uses React Native and TypeScript for the civilian interface. A native Android Survival Core uses Kotlin for lifecycle-sensitive functions. These functions include local persistence, BLE communication, delivery retries, cryptographic operations, background work, and recovery after interruptions.</w:t>
      </w:r>
    </w:p>
    <w:p w:rsidR="009B67B4" w:rsidRDefault="00546324" w14:paraId="0010002E" w14:textId="77777A69">
      <w:pPr>
        <w:spacing w:line="360" w:lineRule="auto"/>
        <w:ind w:firstLine="720"/>
        <w:jc w:val="both"/>
      </w:pPr>
      <w:r>
        <w:t xml:space="preserve">The backend uses Node.js, TypeScript, and PostgreSQL. It validates emergency envelopes and stores accepted incidents. It also suppresses duplicate logical records and supports responder operations. An authorized responder can acknowledge an incident after backend acceptance.</w:t>
      </w:r>
    </w:p>
    <w:p w:rsidR="009B67B4" w:rsidRDefault="00546324" w14:paraId="00100030" w14:textId="77777A6A">
      <w:pPr>
        <w:spacing w:line="360" w:lineRule="auto"/>
        <w:ind w:firstLine="720"/>
        <w:jc w:val="both"/>
      </w:pPr>
      <w:r>
        <w:t xml:space="preserve">SAGIP combines local persistence, direct network delivery, BLE relay, backend coordination, and responder acknowledgement. The project evaluates these mechanisms under temporary, unreliable, or unavailable network connectivity.</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A6B">
      <w:pPr>
        <w:spacing w:line="360" w:lineRule="auto"/>
        <w:ind w:firstLine="720"/>
        <w:jc w:val="both"/>
      </w:pPr>
      <w:r>
        <w:t xml:space="preserve">SAGIP is an offline-first emergency communication system for disaster-affected communities. It preserves emergency reports and continues delivery attempts during network disruption.</w:t>
      </w:r>
    </w:p>
    <w:p w:rsidR="009B67B4" w:rsidRDefault="00546324" w14:paraId="00100036" w14:textId="77777A6C">
      <w:pPr>
        <w:spacing w:line="360" w:lineRule="auto"/>
        <w:ind w:firstLine="720"/>
        <w:jc w:val="both"/>
      </w:pPr>
      <w:r>
        <w:t xml:space="preserve">The system starts with local storage. SAGIP stores each new SOS in the device database before any delivery operation starts. This rule protects SOS creation from network failure.</w:t>
      </w:r>
    </w:p>
    <w:p w:rsidR="009B67B4" w:rsidRDefault="00546324" w14:paraId="00100038" w14:textId="77777A6D">
      <w:pPr>
        <w:spacing w:line="360" w:lineRule="auto"/>
        <w:ind w:firstLine="720"/>
        <w:jc w:val="both"/>
      </w:pPr>
      <w:r>
        <w:t xml:space="preserve">The local database is the authoritative source of emergency state on the device. The system restores stored reports after an application restart. It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A6E">
      <w:pPr>
        <w:spacing w:line="360" w:lineRule="auto"/>
        <w:ind w:firstLine="720"/>
        <w:jc w:val="both"/>
      </w:pPr>
      <w:r>
        <w:t xml:space="preserve">The first path uses an internet connection. SAGIP sends the prepared emergency envelope when the coordination backend is reachable. If a temporary condition causes failure, the system keeps the report eligible for another attempt.</w:t>
      </w:r>
    </w:p>
    <w:p w:rsidR="009B67B4" w:rsidRDefault="00546324" w14:paraId="0010003E" w14:textId="77777A6F">
      <w:pPr>
        <w:spacing w:line="360" w:lineRule="auto"/>
        <w:ind w:firstLine="720"/>
        <w:jc w:val="both"/>
      </w:pPr>
      <w:r>
        <w:t xml:space="preserve">The second path uses Bluetooth Low Energy. SAGIP can search for nearby compatible devices when direct internet delivery is unavailable. A nearby SAGIP device can receive the emergency envelope through BLE.</w:t>
      </w:r>
    </w:p>
    <w:p w:rsidR="009B67B4" w:rsidRDefault="00546324" w14:paraId="00100040" w14:textId="77777A70">
      <w:pPr>
        <w:spacing w:line="360" w:lineRule="auto"/>
        <w:ind w:firstLine="720"/>
        <w:jc w:val="both"/>
      </w:pPr>
      <w:r>
        <w:lastRenderedPageBreak/>
        <w:t xml:space="preserve">The receiving device must store the complete valid envelope before it reports custody to the sender. This rule is the durable-before-acknowledgement rule. It prevents a successful relay state before the receiving device preserves the data.</w:t>
      </w:r>
    </w:p>
    <w:p w:rsidR="009B67B4" w:rsidRDefault="00546324" w14:paraId="00100042" w14:textId="77777A71">
      <w:pPr>
        <w:spacing w:line="360" w:lineRule="auto"/>
        <w:ind w:firstLine="720"/>
        <w:jc w:val="both"/>
      </w:pPr>
      <w:r>
        <w:t xml:space="preserve">A relay device can later become a gateway. When the relay gains internet access, it sends the stored emergency envelope to the backend. The gateway sends the original envelope instead of creating a new incident.</w:t>
      </w:r>
    </w:p>
    <w:p w:rsidR="009B67B4" w:rsidRDefault="00546324" w14:paraId="00100044" w14:textId="77777A72">
      <w:pPr>
        <w:spacing w:line="360" w:lineRule="auto"/>
        <w:ind w:firstLine="720"/>
        <w:jc w:val="both"/>
      </w:pPr>
      <w:r>
        <w:t xml:space="preserve">The SAGIP backend validates the received envelope and stores the incident in PostgreSQL. The backend uses idempotent processing. Repeated delivery of the same logical message must not create separate incidents.</w:t>
      </w:r>
    </w:p>
    <w:p w:rsidR="009B67B4" w:rsidRDefault="00546324" w14:paraId="00100046" w14:textId="77777A73">
      <w:pPr>
        <w:spacing w:line="360" w:lineRule="auto"/>
        <w:ind w:firstLine="720"/>
        <w:jc w:val="both"/>
      </w:pPr>
      <w:r>
        <w:t xml:space="preserve">Authorized responders can access accepted incidents through responder services. A responder can record ACKNOWLEDGED, EN_ROUTE, ON_SCENE, or RESOLVED as the operational status.</w:t>
      </w:r>
    </w:p>
    <w:p w:rsidR="009B67B4" w:rsidRDefault="00546324" w14:paraId="00100048" w14:textId="77777A74">
      <w:pPr>
        <w:spacing w:line="360" w:lineRule="auto"/>
        <w:ind w:firstLine="720"/>
        <w:jc w:val="both"/>
      </w:pPr>
      <w:r>
        <w:t xml:space="preserve">Responder acknowledgement is separate from server acceptance. The application must not show responder acknowledgement when only the server accepted the report.</w:t>
      </w:r>
    </w:p>
    <w:p w:rsidR="009B67B4" w:rsidRDefault="00546324" w14:paraId="0010004A" w14:textId="77777A75">
      <w:pPr>
        <w:spacing w:line="360" w:lineRule="auto"/>
        <w:ind w:firstLine="720"/>
        <w:jc w:val="both"/>
      </w:pPr>
      <w:r>
        <w:t xml:space="preserve">A relay device can obtain responder status for a report from another phone. It stores this acknowledgement separately from its own civilian reports. The relay can later return the acknowledgement to the origin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A76">
      <w:pPr>
        <w:spacing w:line="360" w:lineRule="auto"/>
        <w:ind w:firstLine="720"/>
        <w:jc w:val="both"/>
      </w:pPr>
      <w:r>
        <w:t xml:space="preserve">The current implementation contains the main software components for this flow. Automated tests cover many system functions. Android instrumentation tests also verify important native functions.</w:t>
      </w:r>
    </w:p>
    <w:p w:rsidR="009B67B4" w:rsidRDefault="00546324" w14:paraId="00100052" w14:textId="77777A77">
      <w:pPr>
        <w:spacing w:line="360" w:lineRule="auto"/>
        <w:ind w:firstLine="720"/>
        <w:jc w:val="both"/>
      </w:pPr>
      <w:r>
        <w:t xml:space="preserve">The project has physical-device evidence for selected Android functions. It also has live PostgreSQL and backend evidence. The complete flow has not passed the required two-phone physical field test.</w:t>
      </w:r>
    </w:p>
    <w:p w:rsidR="009B67B4" w:rsidRDefault="00546324" w14:paraId="00100054" w14:textId="77777A78">
      <w:pPr>
        <w:spacing w:line="360" w:lineRule="auto"/>
        <w:ind w:firstLine="720"/>
        <w:jc w:val="both"/>
      </w:pPr>
      <w:r>
        <w:t xml:space="preserve">The remaining field test must use two physical Android phones. Phone B must take BLE custody from offline Phone A. Phone B must later send the report to the live backend. A responder must acknowledge the incident. Phone B must return the acknowledgement to Phone A through physical BLE.</w:t>
      </w:r>
      <w:r>
        <w:lastRenderedPageBreak/>
        <w:t xml:space="preserve"/>
      </w:r>
    </w:p>
    <w:p w:rsidR="009B67B4" w:rsidRDefault="00546324" w14:paraId="00100056" w14:textId="77777A79">
      <w:pPr>
        <w:spacing w:line="360" w:lineRule="auto"/>
        <w:ind w:firstLine="720"/>
        <w:jc w:val="both"/>
      </w:pPr>
      <w:r>
        <w:t xml:space="preserve">Current main contains newer security work. Android Keystore protects the Android signing identity [10]. The SGP2 code signs envelopes with ECDSA P-256 and SHA-256 [11].</w:t>
      </w:r>
    </w:p>
    <w:p w:rsidR="009B67B4" w:rsidRDefault="00546324" w14:paraId="00100058" w14:textId="77777A7A">
      <w:pPr>
        <w:spacing w:line="360" w:lineRule="auto"/>
        <w:ind w:firstLine="720"/>
        <w:jc w:val="both"/>
      </w:pPr>
      <w:r>
        <w:t xml:space="preserve">The SGP2 payload path also uses Tink hybrid encryption. HPKE defines this class of hybrid public-key encryption [12]. Tink documents its HPKE-based hybrid primitive [13]. SGP2 production emission remains disabled.</w:t>
      </w:r>
    </w:p>
    <w:p w:rsidR="009B67B4" w:rsidRDefault="00546324" w14:paraId="0010005A" w14:textId="77777A7B">
      <w:pPr>
        <w:spacing w:line="360" w:lineRule="auto"/>
        <w:ind w:firstLine="720"/>
        <w:jc w:val="both"/>
      </w:pPr>
      <w:r>
        <w:t xml:space="preserve">OWASP MASVS separates secure storage, cryptography, and key management as mobile security controls [14]. SAGIP also implements SQLCipher-backed local database encryption [15]. Connected-device tests must still qualify migration and recovery behavior. Until then, SQLCipher is not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A7C">
      <w:pPr>
        <w:spacing w:line="360" w:lineRule="auto"/>
        <w:ind w:firstLine="720"/>
        <w:jc w:val="both"/>
      </w:pPr>
      <w:r>
        <w:t xml:space="preserve">The SAGIP requirements support one main objective. The system must preserve an emergency report and continue delivery attempts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p w14:paraId="77777843" w14:textId="77777845">
      <w:pPr>
        <w:pStyle w:val="Heading1"/>
        <w:pageBreakBefore/>
        <w:jc w:val="center"/>
      </w:pPr>
      <w:r>
        <w:rPr/>
        <w:t xml:space="preserve">CHAPTER TWO</w:t>
      </w:r>
    </w:p>
    <w:p w14:paraId="77777846" w14:textId="77777847">
      <w:pPr>
        <w:pStyle w:val="Heading2"/>
      </w:pPr>
      <w:r>
        <w:rPr/>
        <w:t xml:space="preserve">ARCHITECTURE</w:t>
      </w:r>
    </w:p>
    <w:p w14:paraId="77777848" w14:textId="77777A7D">
      <w:pPr>
        <w:pStyle w:val="Normal"/>
        <w:ind w:firstLine="720"/>
      </w:pPr>
      <w:r>
        <w:rPr/>
        <w:t xml:space="preserve">SAGIP uses an offline-first and delay-tolerant architecture for disrupted communication [5]-[7]. The system combines a React Native interface, an Android Survival Core, durable local storage, BLE, and a coordination backend. These components preserve emergency reports and continue delivery attempts until a communication path becomes available.</w:t>
      </w:r>
    </w:p>
    <w:p w14:paraId="7777784A" w14:textId="77777A7E">
      <w:pPr>
        <w:pStyle w:val="Normal"/>
        <w:ind w:firstLine="720"/>
      </w:pPr>
      <w:r>
        <w:rPr/>
        <w:t xml:space="preserve">SAGIP treats local persistence as the first successful stage of emergency reporting. The system commits a new SOS to the local database before delivery starts. Internet availability does not control this local transaction. After the commit, SAGIP can try direct internet delivery or BLE relay [8], [9].</w:t>
      </w:r>
    </w:p>
    <w:p w14:paraId="7777784C" w14:textId="77777A7F">
      <w:pPr>
        <w:pStyle w:val="Normal"/>
        <w:ind w:firstLine="720"/>
      </w:pPr>
      <w:r>
        <w:rPr/>
        <w:t xml:space="preserve">The architecture contains three main layers. The Experience Layer provides the user interface through React Native and TypeScript. The Survival Core uses Kotlin for lifecycle-sensitive Android functions. The Coordination Layer uses Node.js, TypeScript, and PostgreSQL for message ingestion, canonical incident state, duplicate suppression, and responder operations.</w:t>
      </w:r>
    </w:p>
    <w:p w14:paraId="7777784E" w14:textId="7777784F">
      <w:pPr>
        <w:pStyle w:val="Heading3"/>
      </w:pPr>
      <w:r>
        <w:rPr/>
        <w:t xml:space="preserve">Architecture Components</w:t>
      </w:r>
    </w:p>
    <w:p w14:paraId="77777850" w14:textId="77777851">
      <w:pPr>
        <w:pStyle w:val="Normal"/>
      </w:pPr>
      <w:r>
        <w:rPr/>
        <w:t xml:space="preserve">• Experience Layer - Provides the civilian interface, emergency-report workflow, report status, relay readiness, and responder acknowledgement presentation.</w:t>
      </w:r>
    </w:p>
    <w:p w14:paraId="77777852" w14:textId="77777853">
      <w:pPr>
        <w:pStyle w:val="Normal"/>
      </w:pPr>
      <w:r>
        <w:rPr/>
        <w:t xml:space="preserve">• Android Survival Core - Manages durable local persistence, envelope preparation, BLE relay, delivery scheduling, retry handling, location capture, Android lifecycle recovery, and cryptographic operations.</w:t>
      </w:r>
    </w:p>
    <w:p w14:paraId="77777854" w14:textId="77777855">
      <w:pPr>
        <w:pStyle w:val="Normal"/>
      </w:pPr>
      <w:r>
        <w:rPr/>
        <w:t xml:space="preserve">• Local Storage Layer - Uses the current SQLCipher-backed SQLite implementation to preserve reports, revisions, locations, delivery state, relay data, receipts, and acknowledgement records.</w:t>
      </w:r>
    </w:p>
    <w:p w14:paraId="77777856" w14:textId="77777857">
      <w:pPr>
        <w:pStyle w:val="Normal"/>
      </w:pPr>
      <w:r>
        <w:rPr/>
        <w:t xml:space="preserve">• Communication Layer - Supports direct network delivery and BLE store-carry-forward relay when direct internet access is not available.</w:t>
      </w:r>
    </w:p>
    <w:p w14:paraId="77777858" w14:textId="77777859">
      <w:pPr>
        <w:pStyle w:val="Normal"/>
      </w:pPr>
      <w:r>
        <w:rPr/>
        <w:t xml:space="preserve">• Coordination Layer - Uses Node.js and PostgreSQL to validate messages, perform idempotent ingestion, store incidents and receipts, authenticate responders, and record responder acknowledgements.</w:t>
      </w:r>
    </w:p>
    <w:p w14:paraId="7777785A" w14:textId="7777785B">
      <w:pPr>
        <w:pStyle w:val="Heading3"/>
      </w:pPr>
      <w:r>
        <w:rPr/>
        <w:t xml:space="preserve">Technology Stack</w:t>
      </w:r>
    </w:p>
    <w:p w14:paraId="7777785C" w14:textId="7777785D">
      <w:pPr>
        <w:pStyle w:val="Heading3"/>
      </w:pPr>
      <w:r>
        <w:rPr/>
        <w:t xml:space="preserve">Experience Layer Technologies</w:t>
      </w:r>
    </w:p>
    <w:p w14:paraId="7777785E" w14:textId="7777785F">
      <w:pPr>
        <w:pStyle w:val="Normal"/>
      </w:pPr>
      <w:r>
        <w:rPr/>
        <w:t xml:space="preserve">• React Native</w:t>
      </w:r>
    </w:p>
    <w:p w14:paraId="77777860" w14:textId="77777861">
      <w:pPr>
        <w:pStyle w:val="Normal"/>
      </w:pPr>
      <w:r>
        <w:rPr/>
        <w:t xml:space="preserve">• TypeScript</w:t>
      </w:r>
    </w:p>
    <w:p w14:paraId="77777862" w14:textId="77777863">
      <w:pPr>
        <w:pStyle w:val="Heading3"/>
      </w:pPr>
      <w:r>
        <w:rPr/>
        <w:t xml:space="preserve">Native Android Technologies</w:t>
      </w:r>
    </w:p>
    <w:p w14:paraId="77777864" w14:textId="77777865">
      <w:pPr>
        <w:pStyle w:val="Normal"/>
      </w:pPr>
      <w:r>
        <w:rPr/>
        <w:t xml:space="preserve">• Kotlin and Android SDK</w:t>
      </w:r>
    </w:p>
    <w:p w14:paraId="77777866" w14:textId="77777867">
      <w:pPr>
        <w:pStyle w:val="Normal"/>
      </w:pPr>
      <w:r>
        <w:rPr/>
        <w:t xml:space="preserve">• SQLite with SQLCipher</w:t>
      </w:r>
    </w:p>
    <w:p w14:paraId="77777868" w14:textId="77777869">
      <w:pPr>
        <w:pStyle w:val="Normal"/>
      </w:pPr>
      <w:r>
        <w:rPr/>
        <w:t xml:space="preserve">• Bluetooth Low Energy</w:t>
      </w:r>
    </w:p>
    <w:p w14:paraId="7777786A" w14:textId="7777786B">
      <w:pPr>
        <w:pStyle w:val="Normal"/>
      </w:pPr>
      <w:r>
        <w:rPr/>
        <w:t xml:space="preserve">• GPS/GNSS</w:t>
      </w:r>
    </w:p>
    <w:p w14:paraId="7777786C" w14:textId="7777786D">
      <w:pPr>
        <w:pStyle w:val="Normal"/>
      </w:pPr>
      <w:r>
        <w:rPr/>
        <w:t xml:space="preserve">• Android Keystore</w:t>
      </w:r>
    </w:p>
    <w:p w14:paraId="7777786E" w14:textId="7777786F">
      <w:pPr>
        <w:pStyle w:val="Normal"/>
      </w:pPr>
      <w:r>
        <w:rPr/>
        <w:t xml:space="preserve">• Android foreground services and JobScheduler</w:t>
      </w:r>
    </w:p>
    <w:p w14:paraId="77777870" w14:textId="77777871">
      <w:pPr>
        <w:pStyle w:val="Heading3"/>
      </w:pPr>
      <w:r>
        <w:rPr/>
        <w:t xml:space="preserve">Backend Technologies</w:t>
      </w:r>
    </w:p>
    <w:p w14:paraId="77777872" w14:textId="77777873">
      <w:pPr>
        <w:pStyle w:val="Normal"/>
      </w:pPr>
      <w:r>
        <w:rPr/>
        <w:t xml:space="preserve">• Node.js and TypeScript</w:t>
      </w:r>
    </w:p>
    <w:p w14:paraId="77777874" w14:textId="77777875">
      <w:pPr>
        <w:pStyle w:val="Normal"/>
      </w:pPr>
      <w:r>
        <w:rPr/>
        <w:t xml:space="preserve">• PostgreSQL</w:t>
      </w:r>
    </w:p>
    <w:p w14:paraId="77777876" w14:textId="77777877">
      <w:pPr>
        <w:pStyle w:val="Heading3"/>
      </w:pPr>
      <w:r>
        <w:rPr/>
        <w:t xml:space="preserve">Communication and Protocol Technologies</w:t>
      </w:r>
    </w:p>
    <w:p w14:paraId="77777878" w14:textId="77777879">
      <w:pPr>
        <w:pStyle w:val="Normal"/>
      </w:pPr>
      <w:r>
        <w:rPr/>
        <w:t xml:space="preserve">• HTTPS network delivery</w:t>
      </w:r>
    </w:p>
    <w:p w14:paraId="7777787A" w14:textId="7777787B">
      <w:pPr>
        <w:pStyle w:val="Normal"/>
      </w:pPr>
      <w:r>
        <w:rPr/>
        <w:t xml:space="preserve">• SRP1 emergency payload</w:t>
      </w:r>
    </w:p>
    <w:p w14:paraId="7777787C" w14:textId="7777787D">
      <w:pPr>
        <w:pStyle w:val="Normal"/>
      </w:pPr>
      <w:r>
        <w:rPr/>
        <w:t xml:space="preserve">• SGP1 operational transport envelope</w:t>
      </w:r>
    </w:p>
    <w:p w14:paraId="7777787E" w14:textId="7777787F">
      <w:pPr>
        <w:pStyle w:val="Normal"/>
      </w:pPr>
      <w:r>
        <w:rPr/>
        <w:t xml:space="preserve">• SGC1 BLE chunk framing</w:t>
      </w:r>
    </w:p>
    <w:p w14:paraId="77777880" w14:textId="77777881">
      <w:pPr>
        <w:pStyle w:val="Normal"/>
      </w:pPr>
      <w:r>
        <w:rPr/>
        <w:t xml:space="preserve">• SGA1 responder return acknowledgement</w:t>
      </w:r>
    </w:p>
    <w:p w14:paraId="77777882" w14:textId="77777A80">
      <w:pPr>
        <w:pStyle w:val="Normal"/>
        <w:ind w:firstLine="720"/>
      </w:pPr>
      <w:r>
        <w:rPr/>
        <w:t xml:space="preserve">The established emergency-envelope path uses SGP1. SGP2 and encrypted-payload mechanisms are implemented in current source. Normal envelope preparation still produces SGP1. This chapter therefore does not present SGP2 as the active field-delivery path.</w:t>
      </w:r>
    </w:p>
    <w:p w14:paraId="77777884" w14:textId="77777AE2">
      <w:pPr>
        <w:pStyle w:val="Normal"/>
        <w:keepNext/>
      </w:pPr>
      <w:r>
        <w:rPr/>
        <w:t xml:space="preserve">Figure 1. SAGIP Emergency Delivery and Data Flow.</w:t>
      </w:r>
    </w:p>
    <w:p w14:paraId="77777886" w14:textId="77777AEA">
      <w:pPr>
        <w:spacing w:line="240" w:lineRule="auto"/>
        <w:jc w:val="center"/>
      </w:pPr>
      <w:r>
        <w:rPr/>
        <w:drawing>
          <wp:inline distT="0" distB="0" distL="0" distR="0">
            <wp:extent cx="5760000" cy="4320000"/>
            <wp:effectExtent l="0" t="0" r="0" b="0"/>
            <wp:docPr id="2" name="ch2_fig1_dfd.svg" descr="SAGIP emergency delivery and data flow showing durable local commit, direct internet and BLE relay paths, backend acceptance, responder acknowledgement, and return acknowledgement."/>
            <wp:cNvGraphicFramePr>
              <a:graphicFrameLocks noChangeAspect="1"/>
            </wp:cNvGraphicFramePr>
            <a:graphic>
              <a:graphicData uri="http://schemas.openxmlformats.org/drawingml/2006/picture">
                <pic:pic>
                  <pic:nvPicPr>
                    <pic:cNvPr id="2" name="ch2_fig1_dfd.svg"/>
                    <pic:cNvPicPr/>
                  </pic:nvPicPr>
                  <pic:blipFill>
                    <a:blip r:embed="R8bfeb41d98174954" cstate="print">
                      <a:extLst>
                        <a:ext uri="{96DAC541-7B7A-43D3-8B79-37D633B846F1}">
                          <asvg:svgBlip r:embed="R1c78f83479284983"/>
                        </a:ext>
                      </a:extLst>
                    </a:blip>
                    <a:stretch>
                      <a:fillRect/>
                    </a:stretch>
                  </pic:blipFill>
                  <pic:spPr>
                    <a:xfrm>
                      <a:off x="0" y="0"/>
                      <a:ext cx="5760000" cy="4320000"/>
                    </a:xfrm>
                    <a:prstGeom prst="rect">
                      <a:avLst/>
                    </a:prstGeom>
                  </pic:spPr>
                </pic:pic>
              </a:graphicData>
            </a:graphic>
          </wp:inline>
        </w:drawing>
      </w:r>
    </w:p>
    <w:p w14:paraId="77777888" w14:textId="77777A81">
      <w:pPr>
        <w:pStyle w:val="Normal"/>
        <w:ind w:firstLine="720"/>
      </w:pPr>
      <w:r>
        <w:rPr/>
        <w:t xml:space="preserve">The Data Flow Diagram shows how an emergency report moves from the origin user to the backend and responder. The civilian enters emergency information in the React Native application. The application sends the request to the Android Survival Core. The Survival Core owns the durability-critical path.</w:t>
      </w:r>
    </w:p>
    <w:p w14:paraId="7777788A" w14:textId="77777A82">
      <w:pPr>
        <w:pStyle w:val="Normal"/>
        <w:ind w:firstLine="720"/>
      </w:pPr>
      <w:r>
        <w:rPr/>
        <w:t xml:space="preserve">The Survival Core first stores the report in the local database. This local commit is the primary success boundary for SOS creation. No internet connection is required for this save. The system captures location on a best-effort basis and stores it when available.</w:t>
      </w:r>
    </w:p>
    <w:p w14:paraId="7777788C" w14:textId="77777A83">
      <w:pPr>
        <w:pStyle w:val="Normal"/>
        <w:ind w:firstLine="720"/>
      </w:pPr>
      <w:r>
        <w:rPr/>
        <w:t xml:space="preserve">After local storage, SAGIP prepares an emergency transport envelope. When network connectivity is available, the system can try direct backend delivery. If the backend accepts the message, SAGIP stores the server receipt. The application can then show server acceptance.</w:t>
      </w:r>
    </w:p>
    <w:p w14:paraId="7777788E" w14:textId="77777A84">
      <w:pPr>
        <w:pStyle w:val="Normal"/>
        <w:ind w:firstLine="720"/>
      </w:pPr>
      <w:r>
        <w:rPr/>
        <w:t xml:space="preserve">When direct internet delivery is unavailable, SAGIP can use BLE to locate another compatible device. The receiving device validates and stores the complete envelope before acknowledging custody. The relay can later send the stored envelope when it gains internet access.</w:t>
      </w:r>
    </w:p>
    <w:p w14:paraId="77777890" w14:textId="77777A85">
      <w:pPr>
        <w:pStyle w:val="Normal"/>
        <w:ind w:firstLine="720"/>
      </w:pPr>
      <w:r>
        <w:rPr/>
        <w:t xml:space="preserve">After server acceptance, an authorized responder can acknowledge the incident. Server acceptance and responder acknowledgement remain separate states. A gateway can store acknowledgement data for a relayed incident. It can later return this data to the origin through BLE. The origin stores a valid acknowledgement before showing responder acknowledgement.</w:t>
      </w:r>
    </w:p>
    <w:p w14:paraId="77777892" w14:textId="77777893">
      <w:pPr>
        <w:pStyle w:val="Heading2"/>
      </w:pPr>
      <w:r>
        <w:rPr/>
        <w:t xml:space="preserve">DESIGN</w:t>
      </w:r>
    </w:p>
    <w:p w14:paraId="77777894" w14:textId="77777895">
      <w:pPr>
        <w:pStyle w:val="Heading3"/>
      </w:pPr>
      <w:r>
        <w:rPr/>
        <w:t xml:space="preserve">Database Structure</w:t>
      </w:r>
    </w:p>
    <w:p w14:paraId="77777896" w14:textId="77777A86">
      <w:pPr>
        <w:pStyle w:val="Normal"/>
        <w:ind w:firstLine="720"/>
      </w:pPr>
      <w:r>
        <w:rPr/>
        <w:t xml:space="preserve">SAGIP uses separate local and backend databases because they have different responsibilities. The mobile database preserves emergency information and delivery state while offline. The backend database maintains canonical incidents, accepted messages, responder identities, and responder acknowledgements.</w:t>
      </w:r>
    </w:p>
    <w:p w14:paraId="77777898" w14:textId="77777A87">
      <w:pPr>
        <w:pStyle w:val="Normal"/>
        <w:ind w:firstLine="720"/>
      </w:pPr>
      <w:r>
        <w:rPr/>
        <w:t xml:space="preserve">The current on-device schema is version 7. Reports and report revisions form the main local records. The database stores location data separately. Outbound envelopes keep stable delivery identity. Delivery events and attempts preserve transport history. Server receipts preserve backend acceptance evidence.</w:t>
      </w:r>
    </w:p>
    <w:p w14:paraId="7777789A" w14:textId="77777A88">
      <w:pPr>
        <w:pStyle w:val="Normal"/>
        <w:ind w:firstLine="720"/>
      </w:pPr>
      <w:r>
        <w:rPr/>
        <w:t xml:space="preserve">The database stores relay information separately from reports that originated on the current phone. Inbound envelopes contain messages accepted from another SAGIP device. Seen-message records support duplicate suppression. Relay receipts record durable peer acceptance. This separation prevents a gateway from treating another person's emergency as its own report.</w:t>
      </w:r>
    </w:p>
    <w:p w14:paraId="7777789C" w14:textId="77777A89">
      <w:pPr>
        <w:pStyle w:val="Normal"/>
        <w:ind w:firstLine="720"/>
      </w:pPr>
      <w:r>
        <w:rPr/>
        <w:t xml:space="preserve">The database also separates responder acknowledgements by ownership. responder_acks stores acknowledgements for reports that originated on the current phone. relay_responder_acks stores temporary acknowledgements for reports that originated on another device.</w:t>
      </w:r>
    </w:p>
    <w:p w14:paraId="7777789E" w14:textId="77777A8A">
      <w:pPr>
        <w:pStyle w:val="Normal"/>
        <w:ind w:firstLine="720"/>
      </w:pPr>
      <w:r>
        <w:rPr/>
        <w:t xml:space="preserve">The backend PostgreSQL database stores origin keys, incidents, incident revisions, accepted messages, server receipts, responder identities, responder acknowledgements, and distributed rate-limit state.</w:t>
      </w:r>
    </w:p>
    <w:p w14:paraId="777778A0" w14:textId="77777AE4">
      <w:pPr>
        <w:pStyle w:val="Normal"/>
        <w:keepNext/>
      </w:pPr>
      <w:r>
        <w:rPr/>
        <w:t xml:space="preserve">Figure 2A. On-Device SQLite Data Model.</w:t>
      </w:r>
    </w:p>
    <w:p w14:paraId="777778A2" w14:textId="77777AEB">
      <w:pPr>
        <w:spacing w:line="240" w:lineRule="auto"/>
        <w:jc w:val="center"/>
      </w:pPr>
      <w:r>
        <w:rPr/>
        <w:drawing>
          <wp:inline distT="0" distB="0" distL="0" distR="0">
            <wp:extent cx="5760000" cy="5119200"/>
            <wp:effectExtent l="0" t="0" r="0" b="0"/>
            <wp:docPr id="3" name="ch2_fig2_erd.svg" descr="SAGIP on-device SQLite schema version 7 entity relationship diagram with selected fields and relationships."/>
            <wp:cNvGraphicFramePr>
              <a:graphicFrameLocks noChangeAspect="1"/>
            </wp:cNvGraphicFramePr>
            <a:graphic>
              <a:graphicData uri="http://schemas.openxmlformats.org/drawingml/2006/picture">
                <pic:pic>
                  <pic:nvPicPr>
                    <pic:cNvPr id="3" name="ch2_fig2_erd.svg"/>
                    <pic:cNvPicPr/>
                  </pic:nvPicPr>
                  <pic:blipFill>
                    <a:blip r:embed="Rec62fcdafc614bce" cstate="print">
                      <a:extLst>
                        <a:ext uri="{96DAC541-7B7A-43D3-8B79-37D633B846F1}">
                          <asvg:svgBlip r:embed="Rbd41fbd975c14252"/>
                        </a:ext>
                      </a:extLst>
                    </a:blip>
                    <a:stretch>
                      <a:fillRect/>
                    </a:stretch>
                  </pic:blipFill>
                  <pic:spPr>
                    <a:xfrm>
                      <a:off x="0" y="0"/>
                      <a:ext cx="5760000" cy="5119200"/>
                    </a:xfrm>
                    <a:prstGeom prst="rect">
                      <a:avLst/>
                    </a:prstGeom>
                  </pic:spPr>
                </pic:pic>
              </a:graphicData>
            </a:graphic>
          </wp:inline>
        </w:drawing>
      </w:r>
    </w:p>
    <w:p w14:paraId="777778A4" w14:textId="77777ACE">
      <w:pPr>
        <w:pStyle w:val="Normal"/>
        <w:ind w:firstLine="720"/>
      </w:pPr>
      <w:r>
        <w:rPr/>
        <w:t xml:space="preserve">Figure 2A shows the authoritative on-device persistence model. Local-origin reports use reports, report_revisions, optional locations, outbound_envelopes, delivery_attempts, delivery_events, server_receipts, relay_receipts, and responder_acks. Gateway-held foreign reports use inbound_envelopes, seen_messages, and relay_responder_acks.</w:t>
      </w:r>
    </w:p>
    <w:p w14:paraId="777778A6" w14:textId="77777ACF">
      <w:pPr>
        <w:pStyle w:val="Normal"/>
        <w:ind w:firstLine="720"/>
      </w:pPr>
      <w:r>
        <w:rPr/>
        <w:t xml:space="preserve">This separation preserves a core SAGIP rule. A relay phone does not convert another user's emergency into its own civilian report. Gateway-held envelopes and responder acknowledgements remain separate from local-origin report state.</w:t>
      </w:r>
    </w:p>
    <w:p w14:paraId="77777AD2" w14:textId="77777AD3">
      <w:pPr>
        <w:keepNext/>
      </w:pPr>
      <w:r>
        <w:rPr/>
        <w:t xml:space="preserve">Figure 2B. Backend PostgreSQL Data Model.</w:t>
      </w:r>
    </w:p>
    <w:p w14:paraId="77777AD4" w14:textId="77777AEC">
      <w:pPr>
        <w:keepNext/>
        <w:jc w:val="center"/>
      </w:pPr>
      <w:r>
        <w:rPr/>
        <w:drawing>
          <wp:inline distT="0" distB="0" distL="0" distR="0">
            <wp:extent cx="5760000" cy="4629600"/>
            <wp:effectExtent l="0" t="0" r="0" b="0"/>
            <wp:docPr id="6" name="SAGIP backend PostgreSQL data model showing ingestion, canonical receipts, responder identities and acknowledgements, and distributed rate-limit storage." descr="SAGIP backend PostgreSQL data model showing ingestion, canonical receipts, responder identities and acknowledgements, and distributed rate-limit storage."/>
            <wp:cNvGraphicFramePr>
              <a:graphicFrameLocks noChangeAspect="1"/>
            </wp:cNvGraphicFramePr>
            <a:graphic>
              <a:graphicData uri="http://schemas.openxmlformats.org/drawingml/2006/picture">
                <pic:pic>
                  <pic:nvPicPr>
                    <pic:cNvPr id="6" name="SAGIP backend PostgreSQL data model showing ingestion, canonical receipts, responder identities and acknowledgements, and distributed rate-limit storage."/>
                    <pic:cNvPicPr/>
                  </pic:nvPicPr>
                  <pic:blipFill>
                    <a:blip r:embed="Rbcda9b30f9384ce2" cstate="print">
                      <a:extLst>
                        <a:ext uri="{96DAC541-7B7A-43D3-8B79-37D633B846F1}">
                          <asvg:svgBlip r:embed="Rf2ea47d65be349ae"/>
                        </a:ext>
                      </a:extLst>
                    </a:blip>
                    <a:stretch>
                      <a:fillRect/>
                    </a:stretch>
                  </pic:blipFill>
                  <pic:spPr>
                    <a:xfrm>
                      <a:off x="0" y="0"/>
                      <a:ext cx="5760000" cy="4629600"/>
                    </a:xfrm>
                    <a:prstGeom prst="rect">
                      <a:avLst/>
                    </a:prstGeom>
                  </pic:spPr>
                </pic:pic>
              </a:graphicData>
            </a:graphic>
          </wp:inline>
        </w:drawing>
      </w:r>
    </w:p>
    <w:p w14:paraId="77777AD6" w14:textId="77777AD7">
      <w:pPr/>
      <w:r>
        <w:rPr/>
        <w:t xml:space="preserve">Figure 2B shows the backend PostgreSQL persistence boundary. Migrations 001 through 003 store origin keys, incidents and revisions, accepted messages, canonical server receipts, responder identities and acknowledgements, and distributed rate-limit state. The rate-limit table supports request enforcement but is not part of the incident relationship chain.</w:t>
      </w:r>
    </w:p>
    <w:p w14:paraId="77777AD8" w14:textId="77777AD9">
      <w:pPr/>
      <w:r>
        <w:rPr/>
        <w:t xml:space="preserve">The current SGP1 ingestion path stores decoded incident fields. SGP2 code exists, but normal envelope preparation still produces SGP1. The security design requires a separate ciphertext-compatible backend persistence and responder-decryption path before SGP2 can be described as operational.</w:t>
      </w:r>
    </w:p>
    <w:p w14:paraId="777778A8" w14:textId="777778A9">
      <w:pPr>
        <w:pStyle w:val="Heading2"/>
      </w:pPr>
      <w:r>
        <w:rPr/>
        <w:t xml:space="preserve">DEVELOPMENT PROCESS</w:t>
      </w:r>
    </w:p>
    <w:p w14:paraId="777778AA" w14:textId="77777A8D">
      <w:pPr>
        <w:pStyle w:val="Normal"/>
        <w:ind w:firstLine="720"/>
      </w:pPr>
      <w:r>
        <w:rPr/>
        <w:t xml:space="preserve">SAGIP development used an iterative, specification-driven, and test-driven process. The project first defined the emergency communication problem. It also defined the rule that local SOS storage must occur before network delivery. The team then implemented and integrated major capabilities in stages.</w:t>
      </w:r>
    </w:p>
    <w:p w14:paraId="777778AC" w14:textId="77777A8E">
      <w:pPr>
        <w:pStyle w:val="Normal"/>
        <w:ind w:firstLine="720"/>
      </w:pPr>
      <w:r>
        <w:rPr/>
        <w:t xml:space="preserve">Development activities overlapped instead of following a strict sequence. Mobile, Android, backend, BLE, testing, security, and documentation work could proceed in parallel. Several components were testable before full integration.</w:t>
      </w:r>
    </w:p>
    <w:p w14:paraId="777778AE" w14:textId="77777A8F">
      <w:pPr>
        <w:pStyle w:val="Normal"/>
        <w:ind w:firstLine="720"/>
      </w:pPr>
      <w:r>
        <w:rPr/>
        <w:t xml:space="preserve">Testing occurred throughout development. Automated tests first verified individual components. Unit and instrumentation tests checked Android functions where applicable. Backend tests ran before live database and server validation. The project records automated, emulator, physical-device, and live-backend evidence as separate levels.</w:t>
      </w:r>
    </w:p>
    <w:p w14:paraId="777778B0" w14:textId="77777AE6">
      <w:pPr>
        <w:pStyle w:val="Normal"/>
        <w:keepNext/>
      </w:pPr>
      <w:r>
        <w:rPr/>
        <w:t xml:space="preserve">Figure 3. SAGIP Development and Validation Evidence.</w:t>
      </w:r>
    </w:p>
    <w:p w14:paraId="777778B2" w14:textId="77777AED">
      <w:pPr>
        <w:spacing w:line="240" w:lineRule="auto"/>
        <w:jc w:val="center"/>
      </w:pPr>
      <w:r>
        <w:rPr/>
        <w:drawing>
          <wp:inline distT="0" distB="0" distL="0" distR="0">
            <wp:extent cx="5760000" cy="4413600"/>
            <wp:effectExtent l="0" t="0" r="0" b="0"/>
            <wp:docPr id="4" name="ch2_fig3_process.svg" descr="SAGIP development and validation evidence diagram separating implemented, automated, physical-device, live-backend, pending-field, and production-gated evidence."/>
            <wp:cNvGraphicFramePr>
              <a:graphicFrameLocks noChangeAspect="1"/>
            </wp:cNvGraphicFramePr>
            <a:graphic>
              <a:graphicData uri="http://schemas.openxmlformats.org/drawingml/2006/picture">
                <pic:pic>
                  <pic:nvPicPr>
                    <pic:cNvPr id="4" name="ch2_fig3_process.svg"/>
                    <pic:cNvPicPr/>
                  </pic:nvPicPr>
                  <pic:blipFill>
                    <a:blip r:embed="R586ed3e05e9a4438" cstate="print">
                      <a:extLst>
                        <a:ext uri="{96DAC541-7B7A-43D3-8B79-37D633B846F1}">
                          <asvg:svgBlip r:embed="Rae0e26f5093b4d52"/>
                        </a:ext>
                      </a:extLst>
                    </a:blip>
                    <a:stretch>
                      <a:fillRect/>
                    </a:stretch>
                  </pic:blipFill>
                  <pic:spPr>
                    <a:xfrm>
                      <a:off x="0" y="0"/>
                      <a:ext cx="5760000" cy="4413600"/>
                    </a:xfrm>
                    <a:prstGeom prst="rect">
                      <a:avLst/>
                    </a:prstGeom>
                  </pic:spPr>
                </pic:pic>
              </a:graphicData>
            </a:graphic>
          </wp:inline>
        </w:drawing>
      </w:r>
    </w:p>
    <w:p w14:paraId="777778B4" w14:textId="77777AD0">
      <w:pPr>
        <w:pStyle w:val="Normal"/>
        <w:ind w:firstLine="720"/>
      </w:pPr>
      <w:r>
        <w:rPr/>
        <w:t xml:space="preserve">Figure 3 separates implementation evidence from acceptance evidence. Automated verification covers core state, protocols, retries, and backend functions. Selected Android runtime and lifecycle behaviors have physical-device evidence, and the live backend has PostgreSQL and runtime evidence.</w:t>
      </w:r>
    </w:p>
    <w:p w14:paraId="777778B6" w14:textId="77777AD1">
      <w:pPr>
        <w:pStyle w:val="Normal"/>
        <w:ind w:firstLine="720"/>
      </w:pPr>
      <w:r>
        <w:rPr/>
        <w:t xml:space="preserve">The figure does not convert these results into full field acceptance. The complete two-phone BLE custody and SGA1 return path remains a separate Pending Field Validation gate. Newer SQLCipher and SGP2/HPKE components are implemented and tested, but they have additional operational and device-qualification gates.</w:t>
      </w:r>
    </w:p>
    <w:p w14:paraId="777778B8" w14:textId="77777A92">
      <w:pPr>
        <w:pStyle w:val="Normal"/>
        <w:ind w:firstLine="720"/>
      </w:pPr>
      <w:r>
        <w:rPr/>
        <w:t xml:space="preserve">The first milestone is not field-proven until the complete path succeeds on two physical Android phones. The test must include real BLE custody, live-backend delivery, responder acknowledgement, and physical acknowledgement return.</w:t>
      </w:r>
    </w:p>
    <w:p w14:paraId="777778BA" w14:textId="77777AE8">
      <w:pPr>
        <w:pStyle w:val="Normal"/>
        <w:keepNext/>
      </w:pPr>
      <w:r>
        <w:rPr/>
        <w:t xml:space="preserve">Figure 4. SAGIP Project Development Timeline.</w:t>
      </w:r>
    </w:p>
    <w:p w14:paraId="777778BC" w14:textId="77777AEE">
      <w:pPr>
        <w:spacing w:line="240" w:lineRule="auto"/>
        <w:jc w:val="center"/>
      </w:pPr>
      <w:r>
        <w:rPr/>
        <w:drawing>
          <wp:inline distT="0" distB="0" distL="0" distR="0">
            <wp:extent cx="5904000" cy="4305600"/>
            <wp:effectExtent l="0" t="0" r="0" b="0"/>
            <wp:docPr id="5" name="ch2_fig4_timeline.svg" descr="SAGIP project development timeline for September 14 to 29, 2026, with evidence-qualified activities and pending field acceptance."/>
            <wp:cNvGraphicFramePr>
              <a:graphicFrameLocks noChangeAspect="1"/>
            </wp:cNvGraphicFramePr>
            <a:graphic>
              <a:graphicData uri="http://schemas.openxmlformats.org/drawingml/2006/picture">
                <pic:pic>
                  <pic:nvPicPr>
                    <pic:cNvPr id="5" name="ch2_fig4_timeline.svg"/>
                    <pic:cNvPicPr/>
                  </pic:nvPicPr>
                  <pic:blipFill>
                    <a:blip r:embed="R74ac1f73472b4787" cstate="print">
                      <a:extLst>
                        <a:ext uri="{96DAC541-7B7A-43D3-8B79-37D633B846F1}">
                          <asvg:svgBlip r:embed="Re4eb7df0e9b24b1b"/>
                        </a:ext>
                      </a:extLst>
                    </a:blip>
                    <a:stretch>
                      <a:fillRect/>
                    </a:stretch>
                  </pic:blipFill>
                  <pic:spPr>
                    <a:xfrm>
                      <a:off x="0" y="0"/>
                      <a:ext cx="5904000" cy="4305600"/>
                    </a:xfrm>
                    <a:prstGeom prst="rect">
                      <a:avLst/>
                    </a:prstGeom>
                  </pic:spPr>
                </pic:pic>
              </a:graphicData>
            </a:graphic>
          </wp:inline>
        </w:drawing>
      </w:r>
    </w:p>
    <w:p w14:paraId="777778BE" w14:textId="77777A93">
      <w:pPr>
        <w:pStyle w:val="Normal"/>
        <w:ind w:firstLine="720"/>
      </w:pPr>
      <w:r>
        <w:rPr/>
        <w:t xml:space="preserve">The SAGIP development timeline covers September 14 to September 29, 2026. Major activities overlapped because the development period was short. Requirements, architecture, mobile, backend, BLE, testing, security, and documentation work therefore progressed in parallel.</w:t>
      </w:r>
    </w:p>
    <w:p w14:paraId="777778C0" w14:textId="77777A94">
      <w:pPr>
        <w:pStyle w:val="Normal"/>
        <w:ind w:firstLine="720"/>
      </w:pPr>
      <w:r>
        <w:rPr/>
        <w:t xml:space="preserve">Development began on September 14 with concept refinement, requirements analysis, architecture, and database design. Work then moved to the emergency interface, durable local storage, envelope preparation, direct delivery, backend ingestion, and PostgreSQL integration.</w:t>
      </w:r>
    </w:p>
    <w:p w14:paraId="777778C2" w14:textId="77777A95">
      <w:pPr>
        <w:pStyle w:val="Normal"/>
        <w:ind w:firstLine="720"/>
      </w:pPr>
      <w:r>
        <w:rPr/>
        <w:t xml:space="preserve">BLE store-carry-forward and responder acknowledgement work followed. Backend and mobile integration continued in parallel. Later work focused on Android lifecycle hardening, testing, live-backend validation, security, encrypted storage, and documentation.</w:t>
      </w:r>
    </w:p>
    <w:p w14:paraId="777778C4" w14:textId="77777A96">
      <w:pPr>
        <w:pStyle w:val="Normal"/>
        <w:ind w:firstLine="720"/>
      </w:pPr>
      <w:r>
        <w:rPr/>
        <w:t xml:space="preserve">As of September 29, 2026, the main first-milestone software path is substantially implemented. Major parts have automated, physical-device, and live-backend evidence. Complete field acceptance remains pending. The remaining test must show the complete Phone A to Phone B relay and acknowledgement-return path.</w:t>
      </w:r>
    </w:p>
    <w:p w14:paraId="77777ADA" w14:textId="77777ADB">
      <w:pPr>
        <w:keepNext/>
      </w:pPr>
      <w:r>
        <w:rPr/>
        <w:t xml:space="preserve">Figure 5. Physical Store-Carry-Forward Field Acceptance Sequence.</w:t>
      </w:r>
    </w:p>
    <w:p w14:paraId="77777ADC" w14:textId="77777AEF">
      <w:pPr>
        <w:keepNext/>
        <w:jc w:val="center"/>
      </w:pPr>
      <w:r>
        <w:rPr/>
        <w:drawing>
          <wp:inline distT="0" distB="0" distL="0" distR="0">
            <wp:extent cx="5904000" cy="4672800"/>
            <wp:effectExtent l="0" t="0" r="0" b="0"/>
            <wp:docPr id="7" name="SAGIP physical field-acceptance sequence showing Phone A offline, BLE custody by Phone B, later live backend delivery, responder acknowledgement, and SGA1 return over physical BLE." descr="SAGIP physical field-acceptance sequence showing Phone A offline, BLE custody by Phone B, later live backend delivery, responder acknowledgement, and SGA1 return over physical BLE."/>
            <wp:cNvGraphicFramePr>
              <a:graphicFrameLocks noChangeAspect="1"/>
            </wp:cNvGraphicFramePr>
            <a:graphic>
              <a:graphicData uri="http://schemas.openxmlformats.org/drawingml/2006/picture">
                <pic:pic>
                  <pic:nvPicPr>
                    <pic:cNvPr id="7" name="SAGIP physical field-acceptance sequence showing Phone A offline, BLE custody by Phone B, later live backend delivery, responder acknowledgement, and SGA1 return over physical BLE."/>
                    <pic:cNvPicPr/>
                  </pic:nvPicPr>
                  <pic:blipFill>
                    <a:blip r:embed="R776955d17bf84581" cstate="print">
                      <a:extLst>
                        <a:ext uri="{96DAC541-7B7A-43D3-8B79-37D633B846F1}">
                          <asvg:svgBlip r:embed="Rdca9ac1eb36e4af9"/>
                        </a:ext>
                      </a:extLst>
                    </a:blip>
                    <a:stretch>
                      <a:fillRect/>
                    </a:stretch>
                  </pic:blipFill>
                  <pic:spPr>
                    <a:xfrm>
                      <a:off x="0" y="0"/>
                      <a:ext cx="5904000" cy="4672800"/>
                    </a:xfrm>
                    <a:prstGeom prst="rect">
                      <a:avLst/>
                    </a:prstGeom>
                  </pic:spPr>
                </pic:pic>
              </a:graphicData>
            </a:graphic>
          </wp:inline>
        </w:drawing>
      </w:r>
    </w:p>
    <w:p w14:paraId="77777ADE" w14:textId="77777ADF">
      <w:pPr/>
      <w:r>
        <w:rPr/>
        <w:t xml:space="preserve">Figure 5 shows the complete first-milestone field-acceptance sequence required by the physical testing runbook. Phone A must create and store the SOS while offline. Phone B must take durable BLE custody, later obtain internet, deliver the same origin envelope to the live backend, store the responder acknowledgement, and finally return SGA1 over physical BLE so Phone A can durably record and display the acknowledgement.</w:t>
      </w:r>
    </w:p>
    <w:p w14:paraId="77777AE0" w14:textId="77777AE1">
      <w:pPr/>
      <w:r>
        <w:rPr/>
        <w:t xml:space="preserve">This figure is an acceptance target, not a completed test result. Current evidence does not yet show the complete two-physical-phone loop with the live backend in the same end-to-end run.</w:t>
      </w:r>
    </w:p>
    <w:p w14:paraId="777778E8" w14:textId="777778E9">
      <w:pPr>
        <w:pStyle w:val="Heading1"/>
        <w:pageBreakBefore/>
      </w:pPr>
      <w:r>
        <w:rPr/>
        <w:t xml:space="preserve">CHAPTER THREE</w:t>
      </w:r>
    </w:p>
    <w:p w14:paraId="777778EA" w14:textId="777778EB">
      <w:pPr>
        <w:pStyle w:val="Heading2"/>
      </w:pPr>
      <w:r>
        <w:rPr/>
        <w:t xml:space="preserve">TESTING</w:t>
      </w:r>
    </w:p>
    <w:p w14:paraId="777778EC" w14:textId="77777A97">
      <w:pPr>
        <w:ind w:firstLine="720"/>
        <w:jc w:val="both"/>
      </w:pPr>
      <w:r>
        <w:rPr/>
        <w:t xml:space="preserve">SAGIP testing checks emergency behavior under degraded conditions. It checks local persistence, transport integrity, retry behavior, BLE relay, backend ingestion, responder acknowledgement, recovery, and truthful status presentation.</w:t>
      </w:r>
    </w:p>
    <w:p w14:paraId="777778EE" w14:textId="77777A98">
      <w:pPr>
        <w:ind w:firstLine="720"/>
        <w:jc w:val="both"/>
      </w:pPr>
      <w:r>
        <w:rPr/>
        <w:t xml:space="preserve">SAGIP uses evidence levels to prevent overstated test claims. An implemented function is not automatically field-verified. The project records automated, emulator, physical-device, live-backend, and field-acceptance evidence separately. The first milestone remains pending until the complete two-phone path succeeds.</w:t>
      </w:r>
    </w:p>
    <w:p w14:paraId="777778F0" w14:textId="777778F1">
      <w:pPr>
        <w:pStyle w:val="Heading3"/>
      </w:pPr>
      <w:r>
        <w:rPr/>
        <w:t xml:space="preserve">Testing Approach</w:t>
      </w:r>
    </w:p>
    <w:p w14:paraId="777778F2" w14:textId="77777A99">
      <w:pPr>
        <w:ind w:firstLine="720"/>
        <w:jc w:val="both"/>
      </w:pPr>
      <w:r>
        <w:rPr/>
        <w:t xml:space="preserve">The verification approach follows the system architecture. React Native tests check user-facing state and accessibility. Kotlin tests check the Survival Core, SQLite state, retries, binary protocols, BLE framing, background operation, and recovery. Backend tests check envelope validation, authentication, idempotency, responder operations, database behavior, and request bounds. Physical and live-backend tests support claims that host tests cannot establish.</w:t>
      </w:r>
    </w:p>
    <w:p w14:paraId="777778F4" w14:textId="777778F5">
      <w:pPr>
        <w:pStyle w:val="Heading3"/>
      </w:pPr>
      <w:r>
        <w:rPr/>
        <w:t xml:space="preserve">Functional Requirements Test Cases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60" w:type="dxa"/>
          <w:left w:w="60" w:type="dxa"/>
          <w:bottom w:w="60" w:type="dxa"/>
          <w:right w:w="60" w:type="dxa"/>
        </w:tblCellMar>
        <w:tblLook w:val="04A0"/>
        <w:tblCaption w:val="SAGIP functional requirements and test cases"/>
        <w:tblDescription w:val="Functional requirements mapped to representative SAGIP verification cases and expected results."/>
      </w:tblPr>
      <w:tblGrid>
        <w:gridCol w:w="3008"/>
        <w:gridCol w:w="3008"/>
        <w:gridCol w:w="3008"/>
      </w:tblGrid>
      <w:tr>
        <w:tc>
          <w:p w14:paraId="777778F6" w14:textId="777778F7">
            <w:r>
              <w:t xml:space="preserve">Functional Requirement</w:t>
            </w:r>
          </w:p>
        </w:tc>
        <w:tc>
          <w:p w14:paraId="777778F8" w14:textId="777778F9">
            <w:r>
              <w:t xml:space="preserve">Test Case</w:t>
            </w:r>
          </w:p>
        </w:tc>
        <w:tc>
          <w:p w14:paraId="777778FA" w14:textId="777778FB">
            <w:r>
              <w:t xml:space="preserve">Expected Result</w:t>
            </w:r>
          </w:p>
        </w:tc>
      </w:tr>
      <w:tr>
        <w:tc>
          <w:p w14:paraId="777778FC" w14:textId="777778FD">
            <w:r>
              <w:t xml:space="preserve">1. Durable Offline SOS</w:t>
            </w:r>
          </w:p>
        </w:tc>
        <w:tc>
          <w:p w14:paraId="777778FE" w14:textId="777778FF">
            <w:r>
              <w:t xml:space="preserve">Create SOS with no internet</w:t>
            </w:r>
          </w:p>
        </w:tc>
        <w:tc>
          <w:p w14:paraId="77777900" w14:textId="77777901">
            <w:r>
              <w:t xml:space="preserve">Report is durably stored before any delivery attempt</w:t>
            </w:r>
          </w:p>
        </w:tc>
      </w:tr>
      <w:tr>
        <w:tc>
          <w:p w14:paraId="77777902" w14:textId="77777903">
            <w:r>
              <w:t xml:space="preserve">1. Durable Offline SOS</w:t>
            </w:r>
          </w:p>
        </w:tc>
        <w:tc>
          <w:p w14:paraId="77777904" w14:textId="77777905">
            <w:r>
              <w:t xml:space="preserve">Restart after local save</w:t>
            </w:r>
          </w:p>
        </w:tc>
        <w:tc>
          <w:p w14:paraId="77777906" w14:textId="77777907">
            <w:r>
              <w:t xml:space="preserve">Same report and message identity remain available</w:t>
            </w:r>
          </w:p>
        </w:tc>
      </w:tr>
      <w:tr>
        <w:tc>
          <w:p w14:paraId="77777908" w14:textId="77777909">
            <w:r>
              <w:t xml:space="preserve">2. Direct Network Delivery</w:t>
            </w:r>
          </w:p>
        </w:tc>
        <w:tc>
          <w:p w14:paraId="7777790A" w14:textId="7777790B">
            <w:r>
              <w:t xml:space="preserve">Retry the same prepared envelope</w:t>
            </w:r>
          </w:p>
        </w:tc>
        <w:tc>
          <w:p w14:paraId="7777790C" w14:textId="7777790D">
            <w:r>
              <w:t xml:space="preserve">Server acceptance remains idempotent</w:t>
            </w:r>
          </w:p>
        </w:tc>
      </w:tr>
      <w:tr>
        <w:tc>
          <w:p w14:paraId="7777790E" w14:textId="7777790F">
            <w:r>
              <w:t xml:space="preserve">3. BLE Store-Carry-Forward</w:t>
            </w:r>
          </w:p>
        </w:tc>
        <w:tc>
          <w:p w14:paraId="77777910" w14:textId="77777911">
            <w:r>
              <w:t xml:space="preserve">Transfer complete envelope to a peer</w:t>
            </w:r>
          </w:p>
        </w:tc>
        <w:tc>
          <w:p w14:paraId="77777912" w14:textId="77777913">
            <w:r>
              <w:t xml:space="preserve">Peer persists valid envelope before custody success</w:t>
            </w:r>
          </w:p>
        </w:tc>
      </w:tr>
      <w:tr>
        <w:tc>
          <w:p w14:paraId="77777914" w14:textId="77777915">
            <w:r>
              <w:t xml:space="preserve">3. BLE Store-Carry-Forward</w:t>
            </w:r>
          </w:p>
        </w:tc>
        <w:tc>
          <w:p w14:paraId="77777916" w14:textId="77777917">
            <w:r>
              <w:t xml:space="preserve">Repeat peer encounter</w:t>
            </w:r>
          </w:p>
        </w:tc>
        <w:tc>
          <w:p w14:paraId="77777918" w14:textId="77777919">
            <w:r>
              <w:t xml:space="preserve">Duplicate logical custody is suppressed</w:t>
            </w:r>
          </w:p>
        </w:tc>
      </w:tr>
      <w:tr>
        <w:tc>
          <w:p w14:paraId="7777791A" w14:textId="7777791B">
            <w:r>
              <w:t xml:space="preserve">4. Gateway Delivery</w:t>
            </w:r>
          </w:p>
        </w:tc>
        <w:tc>
          <w:p w14:paraId="7777791C" w14:textId="7777791D">
            <w:r>
              <w:t xml:space="preserve">Restore internet on relay phone</w:t>
            </w:r>
          </w:p>
        </w:tc>
        <w:tc>
          <w:p w14:paraId="7777791E" w14:textId="7777791F">
            <w:r>
              <w:t xml:space="preserve">Stored envelope is delivered without changing origin identity</w:t>
            </w:r>
          </w:p>
        </w:tc>
      </w:tr>
      <w:tr>
        <w:tc>
          <w:p w14:paraId="77777920" w14:textId="77777921">
            <w:r>
              <w:t xml:space="preserve">5. Responder Coordination</w:t>
            </w:r>
          </w:p>
        </w:tc>
        <w:tc>
          <w:p w14:paraId="77777922" w14:textId="77777923">
            <w:r>
              <w:t xml:space="preserve">Acknowledge accepted incident</w:t>
            </w:r>
          </w:p>
        </w:tc>
        <w:tc>
          <w:p w14:paraId="77777924" w14:textId="77777925">
            <w:r>
              <w:t xml:space="preserve">Authenticated responder status is stored separately from server acceptance</w:t>
            </w:r>
          </w:p>
        </w:tc>
      </w:tr>
      <w:tr>
        <w:tc>
          <w:p w14:paraId="77777926" w14:textId="77777927">
            <w:r>
              <w:t xml:space="preserve">6. Return Acknowledgement</w:t>
            </w:r>
          </w:p>
        </w:tc>
        <w:tc>
          <w:p w14:paraId="77777928" w14:textId="77777929">
            <w:r>
              <w:t xml:space="preserve">Return SGA1 from gateway to origin</w:t>
            </w:r>
          </w:p>
        </w:tc>
        <w:tc>
          <w:p w14:paraId="7777792A" w14:textId="7777792B">
            <w:r>
              <w:t xml:space="preserve">Origin validates and durably stores responder acknowledgement</w:t>
            </w:r>
          </w:p>
        </w:tc>
      </w:tr>
      <w:tr>
        <w:tc>
          <w:p w14:paraId="7777792C" w14:textId="7777792D">
            <w:r>
              <w:t xml:space="preserve">7. Recovery</w:t>
            </w:r>
          </w:p>
        </w:tc>
        <w:tc>
          <w:p w14:paraId="7777792E" w14:textId="7777792F">
            <w:r>
              <w:t xml:space="preserve">Kill and restart after active work</w:t>
            </w:r>
          </w:p>
        </w:tc>
        <w:tc>
          <w:p w14:paraId="77777930" w14:textId="77777931">
            <w:r>
              <w:t xml:space="preserve">Durable state remains recoverable without duplicate incident creation</w:t>
            </w:r>
          </w:p>
        </w:tc>
      </w:tr>
      <w:tr>
        <w:tc>
          <w:p w14:paraId="77777932" w14:textId="77777933">
            <w:r>
              <w:t xml:space="preserve">8. Security and Protocols</w:t>
            </w:r>
          </w:p>
        </w:tc>
        <w:tc>
          <w:p w14:paraId="77777934" w14:textId="77777935">
            <w:r>
              <w:t xml:space="preserve">Tamper with signature digest or frame</w:t>
            </w:r>
          </w:p>
        </w:tc>
        <w:tc>
          <w:p w14:paraId="77777936" w14:textId="77777937">
            <w:r>
              <w:t xml:space="preserve">Invalid input is rejected within defined bounds</w:t>
            </w:r>
          </w:p>
        </w:tc>
      </w:tr>
      <w:tr>
        <w:tc>
          <w:p w14:paraId="77777938" w14:textId="77777939">
            <w:r>
              <w:t xml:space="preserve">9. Delivery Status</w:t>
            </w:r>
          </w:p>
        </w:tc>
        <w:tc>
          <w:p w14:paraId="7777793A" w14:textId="7777793B">
            <w:r>
              <w:t xml:space="preserve">Move report through delivery states</w:t>
            </w:r>
          </w:p>
        </w:tc>
        <w:tc>
          <w:p w14:paraId="7777793C" w14:textId="7777793D">
            <w:r>
              <w:t xml:space="preserve">UI distinguishes local save relay server acceptance and responder acknowledgement</w:t>
            </w:r>
          </w:p>
        </w:tc>
      </w:tr>
    </w:tbl>
    <w:p w14:paraId="7777793E" w14:textId="7777793F">
      <w:pPr>
        <w:jc w:val="center"/>
      </w:pPr>
      <w:r>
        <w:rPr/>
        <w:t xml:space="preserve">Table 1. Functional Requirements and Test Cases.</w:t>
      </w:r>
    </w:p>
    <w:p w14:paraId="77777940" w14:textId="77777941">
      <w:pPr>
        <w:pStyle w:val="Heading3"/>
      </w:pPr>
      <w:r>
        <w:rPr/>
        <w:t xml:space="preserve">Automated Verification</w:t>
      </w:r>
    </w:p>
    <w:p w14:paraId="77777942" w14:textId="77777AC5">
      <w:pPr>
        <w:ind w:firstLine="720"/>
        <w:jc w:val="both"/>
      </w:pPr>
      <w:r>
        <w:rPr/>
        <w:t xml:space="preserve">The repository contains automated tests for the React Native interface, backend, and Android Survival Core. Other tests cover transport protocols, encryption, database migration, retries, idempotency, BLE framing, return acknowledgement, and recovery. These tests provide repeatable implementation evidence. They do not replace physical radio transfer or complete field acceptance.</w:t>
      </w:r>
    </w:p>
    <w:p w14:paraId="77777944" w14:textId="77777A9B">
      <w:pPr>
        <w:ind w:firstLine="720"/>
        <w:jc w:val="both"/>
      </w:pPr>
      <w:r>
        <w:rPr/>
        <w:t xml:space="preserve">The current canonical project status records root Jest, TypeScript, and ESLint as passing. Backend tests, backend type checking, and backend lint also pass. Android unit tests and debug build checks pass. Connected instrumentation passes on one physical POCO F6 and one Pixel 4 emulator. Live PostgreSQL validation remains separate from these automated and device results.</w:t>
      </w:r>
    </w:p>
    <w:p w14:paraId="77777946" w14:textId="77777947">
      <w:pPr>
        <w:pStyle w:val="Heading3"/>
      </w:pPr>
      <w:r>
        <w:rPr/>
        <w:t xml:space="preserve">Current Verification Evidence</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current verification evidence"/>
        <w:tblDescription w:val="Evidence table separating automated emulator physical-device live-backend and pending field-validation claims."/>
      </w:tblPr>
      <w:tblGrid>
        <w:gridCol w:w="2256"/>
        <w:gridCol w:w="2256"/>
        <w:gridCol w:w="2256"/>
        <w:gridCol w:w="2256"/>
      </w:tblGrid>
      <w:tr>
        <w:tc>
          <w:p w14:paraId="77777948" w14:textId="77777949">
            <w:r>
              <w:t xml:space="preserve">Area</w:t>
            </w:r>
          </w:p>
        </w:tc>
        <w:tc>
          <w:p w14:paraId="7777794A" w14:textId="7777794B">
            <w:r>
              <w:t xml:space="preserve">Evidence</w:t>
            </w:r>
          </w:p>
        </w:tc>
        <w:tc>
          <w:p w14:paraId="7777794C" w14:textId="7777794D">
            <w:r>
              <w:t xml:space="preserve">Evidence Level</w:t>
            </w:r>
          </w:p>
        </w:tc>
        <w:tc>
          <w:p w14:paraId="7777794E" w14:textId="7777794F">
            <w:r>
              <w:t xml:space="preserve">Current Interpretation</w:t>
            </w:r>
          </w:p>
        </w:tc>
      </w:tr>
      <w:tr>
        <w:tc>
          <w:p w14:paraId="77777950" w14:textId="77777951">
            <w:r>
              <w:t xml:space="preserve">Civilian React Native</w:t>
            </w:r>
          </w:p>
        </w:tc>
        <w:tc>
          <w:p w14:paraId="77777952" w14:textId="77777953">
            <w:r>
              <w:t xml:space="preserve">Automated UI and accessibility tests exist</w:t>
            </w:r>
          </w:p>
        </w:tc>
        <w:tc>
          <w:p w14:paraId="77777954" w14:textId="77777955">
            <w:r>
              <w:t xml:space="preserve">Automated Verified</w:t>
            </w:r>
          </w:p>
        </w:tc>
        <w:tc>
          <w:p w14:paraId="77777956" w14:textId="77777957">
            <w:r>
              <w:t xml:space="preserve">Implementation behavior has automated coverage</w:t>
            </w:r>
          </w:p>
        </w:tc>
      </w:tr>
      <w:tr>
        <w:tc>
          <w:p w14:paraId="77777958" w14:textId="77777959">
            <w:r>
              <w:t xml:space="preserve">Android runtime</w:t>
            </w:r>
          </w:p>
        </w:tc>
        <w:tc>
          <w:p w14:paraId="7777795A" w14:textId="7777795B">
            <w:r>
              <w:t xml:space="preserve">16 of 16 instrumentation tests previously passed on physical POCO F6 Android 16</w:t>
            </w:r>
          </w:p>
        </w:tc>
        <w:tc>
          <w:p w14:paraId="7777795C" w14:textId="7777795D">
            <w:r>
              <w:t xml:space="preserve">Physical-Device Verified</w:t>
            </w:r>
          </w:p>
        </w:tc>
        <w:tc>
          <w:p w14:paraId="7777795E" w14:textId="7777795F">
            <w:r>
              <w:t xml:space="preserve">Selected Android runtime paths are verified on one physical phone</w:t>
            </w:r>
          </w:p>
        </w:tc>
      </w:tr>
      <w:tr>
        <w:tc>
          <w:p w14:paraId="77777960" w14:textId="77777961">
            <w:r>
              <w:t xml:space="preserve">Android emulator</w:t>
            </w:r>
          </w:p>
        </w:tc>
        <w:tc>
          <w:p w14:paraId="77777962" w14:textId="77777963">
            <w:r>
              <w:t xml:space="preserve">16 of 16 instrumentation tests previously passed on Pixel 4 Android 12 AVD</w:t>
            </w:r>
          </w:p>
        </w:tc>
        <w:tc>
          <w:p w14:paraId="77777964" w14:textId="77777965">
            <w:r>
              <w:t xml:space="preserve">Emulator Verified</w:t>
            </w:r>
          </w:p>
        </w:tc>
        <w:tc>
          <w:p w14:paraId="77777966" w14:textId="77777967">
            <w:r>
              <w:t xml:space="preserve">Useful runtime evidence but not physical BLE field proof</w:t>
            </w:r>
          </w:p>
        </w:tc>
      </w:tr>
      <w:tr>
        <w:tc>
          <w:p w14:paraId="77777968" w14:textId="77777969">
            <w:r>
              <w:t xml:space="preserve">Foreground relay</w:t>
            </w:r>
          </w:p>
        </w:tc>
        <w:tc>
          <w:p w14:paraId="7777796A" w14:textId="7777796B">
            <w:r>
              <w:t xml:space="preserve">EmergencyRelayService previously ran on the physical POCO with connectedDevice foreground-service state</w:t>
            </w:r>
          </w:p>
        </w:tc>
        <w:tc>
          <w:p w14:paraId="7777796C" w14:textId="7777796D">
            <w:r>
              <w:t xml:space="preserve">Physical-Device Verified</w:t>
            </w:r>
          </w:p>
        </w:tc>
        <w:tc>
          <w:p w14:paraId="7777796E" w14:textId="7777796F">
            <w:r>
              <w:t xml:space="preserve">Proves service startup and ownership but not peer RF transfer</w:t>
            </w:r>
          </w:p>
        </w:tc>
      </w:tr>
      <w:tr>
        <w:tc>
          <w:p w14:paraId="77777970" w14:textId="77777971">
            <w:r>
              <w:t xml:space="preserve">Live backend</w:t>
            </w:r>
          </w:p>
        </w:tc>
        <w:tc>
          <w:p w14:paraId="77777972" w14:textId="77777973">
            <w:r>
              <w:t xml:space="preserve">Real migrations and deployed function previously exercised against Neon PostgreSQL</w:t>
            </w:r>
          </w:p>
        </w:tc>
        <w:tc>
          <w:p w14:paraId="77777974" w14:textId="77777975">
            <w:r>
              <w:t xml:space="preserve">Live-Backend Verified</w:t>
            </w:r>
          </w:p>
        </w:tc>
        <w:tc>
          <w:p w14:paraId="77777976" w14:textId="77777977">
            <w:r>
              <w:t xml:space="preserve">Proves migration and runtime connectivity for the tested path</w:t>
            </w:r>
          </w:p>
        </w:tc>
      </w:tr>
      <w:tr>
        <w:tc>
          <w:p w14:paraId="77777978" w14:textId="77777979">
            <w:r>
              <w:t xml:space="preserve">Backend idempotency</w:t>
            </w:r>
          </w:p>
        </w:tc>
        <w:tc>
          <w:p w14:paraId="7777797A" w14:textId="7777797B">
            <w:r>
              <w:t xml:space="preserve">Eight concurrent duplicate submissions converged on one canonical logical incident in live PostgreSQL</w:t>
            </w:r>
          </w:p>
        </w:tc>
        <w:tc>
          <w:p w14:paraId="7777797C" w14:textId="7777797D">
            <w:r>
              <w:t xml:space="preserve">Live-Backend Verified</w:t>
            </w:r>
          </w:p>
        </w:tc>
        <w:tc>
          <w:p w14:paraId="7777797E" w14:textId="7777797F">
            <w:r>
              <w:t xml:space="preserve">Verified duplicate-ingestion scenario only</w:t>
            </w:r>
          </w:p>
        </w:tc>
      </w:tr>
      <w:tr>
        <w:tc>
          <w:p w14:paraId="77777980" w14:textId="77777981">
            <w:r>
              <w:t xml:space="preserve">SGP2 and SRE2</w:t>
            </w:r>
          </w:p>
        </w:tc>
        <w:tc>
          <w:p w14:paraId="77777982" w14:textId="77777983">
            <w:r>
              <w:t xml:space="preserve">Implementation and automated protocol or HPKE tests are present</w:t>
            </w:r>
          </w:p>
        </w:tc>
        <w:tc>
          <w:p w14:paraId="77777984" w14:textId="77777985">
            <w:r>
              <w:t xml:space="preserve">Automated Verified</w:t>
            </w:r>
          </w:p>
        </w:tc>
        <w:tc>
          <w:p w14:paraId="77777986" w14:textId="77777987">
            <w:r>
              <w:t xml:space="preserve">Not activated as the normal production envelope path</w:t>
            </w:r>
          </w:p>
        </w:tc>
      </w:tr>
      <w:tr>
        <w:tc>
          <w:p w14:paraId="77777988" w14:textId="77777989">
            <w:r>
              <w:t xml:space="preserve">SQLCipher</w:t>
            </w:r>
          </w:p>
        </w:tc>
        <w:tc>
          <w:p w14:paraId="7777798A" w14:textId="7777798B">
            <w:r>
              <w:t xml:space="preserve">Implementation and migration instrumentation tests are present</w:t>
            </w:r>
          </w:p>
        </w:tc>
        <w:tc>
          <w:p w14:paraId="7777798C" w14:textId="7777798D">
            <w:r>
              <w:t xml:space="preserve">Automated Verified</w:t>
            </w:r>
          </w:p>
        </w:tc>
        <w:tc>
          <w:p w14:paraId="7777798E" w14:textId="7777798F">
            <w:r>
              <w:t xml:space="preserve">Representative physical-device migration qualification is still required</w:t>
            </w:r>
          </w:p>
        </w:tc>
      </w:tr>
      <w:tr>
        <w:tc>
          <w:p w14:paraId="77777990" w14:textId="77777991">
            <w:r>
              <w:t xml:space="preserve">Two-phone BLE loop</w:t>
            </w:r>
          </w:p>
        </w:tc>
        <w:tc>
          <w:p w14:paraId="77777992" w14:textId="77777993">
            <w:r>
              <w:t xml:space="preserve">Complete A to B custody and B to A SGA1 return not yet demonstrated as one integrated run</w:t>
            </w:r>
          </w:p>
        </w:tc>
        <w:tc>
          <w:p w14:paraId="77777994" w14:textId="77777995">
            <w:r>
              <w:t xml:space="preserve">Pending Field Validation</w:t>
            </w:r>
          </w:p>
        </w:tc>
        <w:tc>
          <w:p w14:paraId="77777996" w14:textId="77777997">
            <w:r>
              <w:t xml:space="preserve">First-milestone field acceptance remains pending</w:t>
            </w:r>
          </w:p>
        </w:tc>
      </w:tr>
    </w:tbl>
    <w:p w14:paraId="77777998" w14:textId="77777999">
      <w:pPr>
        <w:jc w:val="center"/>
      </w:pPr>
      <w:r>
        <w:rPr/>
        <w:t xml:space="preserve">Table 2. Current Verification Evidence.</w:t>
      </w:r>
    </w:p>
    <w:p w14:paraId="7777799A" w14:textId="7777799B">
      <w:pPr>
        <w:pStyle w:val="Heading3"/>
      </w:pPr>
      <w:r>
        <w:rPr/>
        <w:t xml:space="preserve">Field Acceptance Testing</w:t>
      </w:r>
    </w:p>
    <w:p w14:paraId="7777799C" w14:textId="77777A9C">
      <w:pPr>
        <w:ind w:firstLine="720"/>
        <w:jc w:val="both"/>
      </w:pPr>
      <w:r>
        <w:rPr/>
        <w:t xml:space="preserve">The final acceptance test must use two physical Android phones and a live PostgreSQL-backed SAGIP server. Phone A must remain offline when it creates the SOS. Phone B must take physical BLE custody while offline. Phone B must later deliver the same stored envelope to the backend. A responder must acknowledge the incident. Phone B must return that acknowledgement to Phone A through physical BLE. No separate test can replace this complete path.</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first-milestone field acceptance stages"/>
        <w:tblDescription w:val="Field-acceptance stages for the complete two-phone delay-tolerant emergency delivery loop."/>
      </w:tblPr>
      <w:tblGrid>
        <w:gridCol w:w="3008"/>
        <w:gridCol w:w="3008"/>
        <w:gridCol w:w="3008"/>
      </w:tblGrid>
      <w:tr>
        <w:tc>
          <w:p w14:paraId="7777799E" w14:textId="7777799F">
            <w:r>
              <w:t xml:space="preserve">Stage</w:t>
            </w:r>
          </w:p>
        </w:tc>
        <w:tc>
          <w:p w14:paraId="777779A0" w14:textId="777779A1">
            <w:r>
              <w:t xml:space="preserve">Acceptance Condition</w:t>
            </w:r>
          </w:p>
        </w:tc>
        <w:tc>
          <w:p w14:paraId="777779A2" w14:textId="777779A3">
            <w:r>
              <w:t xml:space="preserve">Status</w:t>
            </w:r>
          </w:p>
        </w:tc>
      </w:tr>
      <w:tr>
        <w:tc>
          <w:p w14:paraId="777779A4" w14:textId="777779A5">
            <w:r>
              <w:t xml:space="preserve">A - Offline Origin</w:t>
            </w:r>
          </w:p>
        </w:tc>
        <w:tc>
          <w:p w14:paraId="777779A6" w14:textId="777779A7">
            <w:r>
              <w:t xml:space="preserve">Phone A creates and durably stores an SOS with no internet</w:t>
            </w:r>
          </w:p>
        </w:tc>
        <w:tc>
          <w:p w14:paraId="777779A8" w14:textId="777779A9">
            <w:r>
              <w:t xml:space="preserve">Implemented and separately verified</w:t>
            </w:r>
          </w:p>
        </w:tc>
      </w:tr>
      <w:tr>
        <w:tc>
          <w:p w14:paraId="777779AA" w14:textId="777779AB">
            <w:r>
              <w:t xml:space="preserve">B - Physical Custody</w:t>
            </w:r>
          </w:p>
        </w:tc>
        <w:tc>
          <w:p w14:paraId="777779AC" w14:textId="777779AD">
            <w:r>
              <w:t xml:space="preserve">Phone A transfers the envelope to Phone B and B persists before ACK</w:t>
            </w:r>
          </w:p>
        </w:tc>
        <w:tc>
          <w:p w14:paraId="777779AE" w14:textId="777779AF">
            <w:r>
              <w:t xml:space="preserve">Pending integrated two-phone field run</w:t>
            </w:r>
          </w:p>
        </w:tc>
      </w:tr>
      <w:tr>
        <w:tc>
          <w:p w14:paraId="777779B0" w14:textId="777779B1">
            <w:r>
              <w:t xml:space="preserve">C - Separation</w:t>
            </w:r>
          </w:p>
        </w:tc>
        <w:tc>
          <w:p w14:paraId="777779B2" w14:textId="777779B3">
            <w:r>
              <w:t xml:space="preserve">Phones separate after custody so later delivery does not depend on continuous contact</w:t>
            </w:r>
          </w:p>
        </w:tc>
        <w:tc>
          <w:p w14:paraId="777779B4" w14:textId="777779B5">
            <w:r>
              <w:t xml:space="preserve">Pending integrated field run</w:t>
            </w:r>
          </w:p>
        </w:tc>
      </w:tr>
      <w:tr>
        <w:tc>
          <w:p w14:paraId="777779B6" w14:textId="777779B7">
            <w:r>
              <w:t xml:space="preserve">D - Gateway Delivery</w:t>
            </w:r>
          </w:p>
        </w:tc>
        <w:tc>
          <w:p w14:paraId="777779B8" w14:textId="777779B9">
            <w:r>
              <w:t xml:space="preserve">Phone B later obtains internet and live backend accepts exactly one logical incident</w:t>
            </w:r>
          </w:p>
        </w:tc>
        <w:tc>
          <w:p w14:paraId="777779BA" w14:textId="777779BB">
            <w:r>
              <w:t xml:space="preserve">Components verified separately - integrated run pending</w:t>
            </w:r>
          </w:p>
        </w:tc>
      </w:tr>
      <w:tr>
        <w:tc>
          <w:p w14:paraId="777779BC" w14:textId="777779BD">
            <w:r>
              <w:t xml:space="preserve">E - Responder Action</w:t>
            </w:r>
          </w:p>
        </w:tc>
        <w:tc>
          <w:p w14:paraId="777779BE" w14:textId="777779BF">
            <w:r>
              <w:t xml:space="preserve">Authorized responder records acknowledgement for the accepted incident</w:t>
            </w:r>
          </w:p>
        </w:tc>
        <w:tc>
          <w:p w14:paraId="777779C0" w14:textId="777779C1">
            <w:r>
              <w:t xml:space="preserve">Implemented - integrated field run pending</w:t>
            </w:r>
          </w:p>
        </w:tc>
      </w:tr>
      <w:tr>
        <w:tc>
          <w:p w14:paraId="777779C2" w14:textId="777779C3">
            <w:r>
              <w:t xml:space="preserve">F - Gateway ACK Storage</w:t>
            </w:r>
          </w:p>
        </w:tc>
        <w:tc>
          <w:p w14:paraId="777779C4" w14:textId="777779C5">
            <w:r>
              <w:t xml:space="preserve">Phone B polls and durably stores the responder ACK for the relayed report</w:t>
            </w:r>
          </w:p>
        </w:tc>
        <w:tc>
          <w:p w14:paraId="777779C6" w14:textId="777779C7">
            <w:r>
              <w:t xml:space="preserve">Implemented - integrated field run pending</w:t>
            </w:r>
          </w:p>
        </w:tc>
      </w:tr>
      <w:tr>
        <w:tc>
          <w:p w14:paraId="777779C8" w14:textId="777779C9">
            <w:r>
              <w:t xml:space="preserve">G - Physical Return</w:t>
            </w:r>
          </w:p>
        </w:tc>
        <w:tc>
          <w:p w14:paraId="777779CA" w14:textId="777779CB">
            <w:r>
              <w:t xml:space="preserve">Phone B returns to range and transfers SGA1 to offline Phone A</w:t>
            </w:r>
          </w:p>
        </w:tc>
        <w:tc>
          <w:p w14:paraId="777779CC" w14:textId="777779CD">
            <w:r>
              <w:t xml:space="preserve">Pending integrated two-phone field run</w:t>
            </w:r>
          </w:p>
        </w:tc>
      </w:tr>
      <w:tr>
        <w:tc>
          <w:p w14:paraId="777779CE" w14:textId="777779CF">
            <w:r>
              <w:t xml:space="preserve">H - Origin Confirmation</w:t>
            </w:r>
          </w:p>
        </w:tc>
        <w:tc>
          <w:p w14:paraId="777779D0" w14:textId="777779D1">
            <w:r>
              <w:t xml:space="preserve">Phone A durably records and displays responder acknowledgement</w:t>
            </w:r>
          </w:p>
        </w:tc>
        <w:tc>
          <w:p w14:paraId="777779D2" w14:textId="777779D3">
            <w:r>
              <w:t xml:space="preserve">Implemented path - final integrated proof pending</w:t>
            </w:r>
          </w:p>
        </w:tc>
      </w:tr>
      <w:tr>
        <w:tc>
          <w:p w14:paraId="777779D4" w14:textId="777779D5">
            <w:r>
              <w:t xml:space="preserve">Recovery</w:t>
            </w:r>
          </w:p>
        </w:tc>
        <w:tc>
          <w:p w14:paraId="777779D6" w14:textId="777779D7">
            <w:r>
              <w:t xml:space="preserve">Restart and retry do not create duplicate logical incidents</w:t>
            </w:r>
          </w:p>
        </w:tc>
        <w:tc>
          <w:p w14:paraId="777779D8" w14:textId="777779D9">
            <w:r>
              <w:t xml:space="preserve">Automated evidence exists - field recovery remains part of acceptance</w:t>
            </w:r>
          </w:p>
        </w:tc>
      </w:tr>
    </w:tbl>
    <w:p w14:paraId="777779DA" w14:textId="777779DB">
      <w:pPr>
        <w:jc w:val="center"/>
      </w:pPr>
      <w:r>
        <w:rPr/>
        <w:t xml:space="preserve">Table 3. Final Field Acceptance Testing.</w:t>
      </w:r>
    </w:p>
    <w:p w14:paraId="777779DC" w14:textId="77777A9D">
      <w:pPr>
        <w:ind w:firstLine="720"/>
        <w:jc w:val="both"/>
      </w:pPr>
      <w:r>
        <w:rPr/>
        <w:t xml:space="preserve">The project shall mark the first milestone complete only after one field run verifies every stage in Table 3. Until then, the project state is Pending Field Validation.</w:t>
      </w:r>
    </w:p>
    <w:p w14:paraId="777779DE" w14:textId="777779DF">
      <w:pPr>
        <w:pStyle w:val="Heading2"/>
      </w:pPr>
      <w:r>
        <w:rPr/>
        <w:t xml:space="preserve">DEPLOYMENT</w:t>
      </w:r>
    </w:p>
    <w:p w14:paraId="777779E0" w14:textId="77777A9E">
      <w:pPr>
        <w:ind w:firstLine="720"/>
        <w:jc w:val="both"/>
      </w:pPr>
      <w:r>
        <w:rPr/>
        <w:t xml:space="preserve">SAGIP separates field-test deployment from production release. Field-test releases support the physical acceptance runbook. The workflow checks the hosted backend and runs application and backend checks. It builds a debug Android APK with the HTTPS backend configuration. It also computes a checksum and publishes a pre-release asset. The field-test APK uses debug signing and is not a production artifact.</w:t>
      </w:r>
    </w:p>
    <w:p w14:paraId="777779E2" w14:textId="77777A9F">
      <w:pPr>
        <w:ind w:firstLine="720"/>
        <w:jc w:val="both"/>
      </w:pPr>
      <w:r>
        <w:rPr/>
        <w:t xml:space="preserve">A separate production workflow exists for signed Android artifacts and backend deployment. Release configuration requires an HTTPS backend, version metadata, and an approved Android signing identity. The workflow can apply PostgreSQL migrations and deploy the backend to the pinned Neon target. It also checks release artifacts and basic backend health. A successful workflow does not prove production emergency-service readiness.</w:t>
      </w:r>
    </w:p>
    <w:p w14:paraId="777779E4" w14:textId="777779E5">
      <w:pPr>
        <w:pStyle w:val="Heading3"/>
      </w:pPr>
      <w:r>
        <w:rPr/>
        <w:t xml:space="preserve">Deployment and Production Readiness Gates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deployment and production-readiness gates"/>
        <w:tblDescription w:val="Deployment gates that must remain distinct from implementation or build success."/>
      </w:tblPr>
      <w:tblGrid>
        <w:gridCol w:w="3008"/>
        <w:gridCol w:w="3008"/>
        <w:gridCol w:w="3008"/>
      </w:tblGrid>
      <w:tr>
        <w:tc>
          <w:p w14:paraId="777779E6" w14:textId="777779E7">
            <w:r>
              <w:t xml:space="preserve">Gate</w:t>
            </w:r>
          </w:p>
        </w:tc>
        <w:tc>
          <w:p w14:paraId="777779E8" w14:textId="777779E9">
            <w:r>
              <w:t xml:space="preserve">Required Evidence</w:t>
            </w:r>
          </w:p>
        </w:tc>
        <w:tc>
          <w:p w14:paraId="777779EA" w14:textId="777779EB">
            <w:r>
              <w:t xml:space="preserve">Current Treatment</w:t>
            </w:r>
          </w:p>
        </w:tc>
      </w:tr>
      <w:tr>
        <w:tc>
          <w:p w14:paraId="777779EC" w14:textId="777779ED">
            <w:r>
              <w:t xml:space="preserve">Field-test artifact</w:t>
            </w:r>
          </w:p>
        </w:tc>
        <w:tc>
          <w:p w14:paraId="777779EE" w14:textId="777779EF">
            <w:r>
              <w:t xml:space="preserve">Automated checks plus configured hosted backend plus APK checksum</w:t>
            </w:r>
          </w:p>
        </w:tc>
        <w:tc>
          <w:p w14:paraId="777779F0" w14:textId="777779F1">
            <w:r>
              <w:t xml:space="preserve">Available for field validation</w:t>
            </w:r>
          </w:p>
        </w:tc>
      </w:tr>
      <w:tr>
        <w:tc>
          <w:p w14:paraId="777779F2" w14:textId="777779F3">
            <w:r>
              <w:t xml:space="preserve">Production Android signing</w:t>
            </w:r>
          </w:p>
        </w:tc>
        <w:tc>
          <w:p w14:paraId="777779F4" w14:textId="777779F5">
            <w:r>
              <w:t xml:space="preserve">Owner-approved private release keystore and verified certificate fingerprint</w:t>
            </w:r>
          </w:p>
        </w:tc>
        <w:tc>
          <w:p w14:paraId="777779F6" w14:textId="777779F7">
            <w:r>
              <w:t xml:space="preserve">Production-gated</w:t>
            </w:r>
          </w:p>
        </w:tc>
      </w:tr>
      <w:tr>
        <w:tc>
          <w:p w14:paraId="777779F8" w14:textId="777779F9">
            <w:r>
              <w:t xml:space="preserve">Live production backend</w:t>
            </w:r>
          </w:p>
        </w:tc>
        <w:tc>
          <w:p w14:paraId="777779FA" w14:textId="777779FB">
            <w:r>
              <w:t xml:space="preserve">Reviewed migrations plus deployed function plus verified health and authorization boundaries</w:t>
            </w:r>
          </w:p>
        </w:tc>
        <w:tc>
          <w:p w14:paraId="777779FC" w14:textId="777779FD">
            <w:r>
              <w:t xml:space="preserve">Partially evidenced but not sufficient alone</w:t>
            </w:r>
          </w:p>
        </w:tc>
      </w:tr>
      <w:tr>
        <w:tc>
          <w:p w14:paraId="777779FE" w14:textId="777779FF">
            <w:r>
              <w:t xml:space="preserve">Two-phone physical BLE</w:t>
            </w:r>
          </w:p>
        </w:tc>
        <w:tc>
          <w:p w14:paraId="77777A00" w14:textId="77777A01">
            <w:r>
              <w:t xml:space="preserve">Real A to B custody and B to A return acknowledgement</w:t>
            </w:r>
          </w:p>
        </w:tc>
        <w:tc>
          <w:p w14:paraId="77777A02" w14:textId="77777A03">
            <w:r>
              <w:t xml:space="preserve">Pending field validation</w:t>
            </w:r>
          </w:p>
        </w:tc>
      </w:tr>
      <w:tr>
        <w:tc>
          <w:p w14:paraId="77777A04" w14:textId="77777A05">
            <w:r>
              <w:t xml:space="preserve">Encrypted local storage</w:t>
            </w:r>
          </w:p>
        </w:tc>
        <w:tc>
          <w:p w14:paraId="77777A06" w14:textId="77777A07">
            <w:r>
              <w:t xml:space="preserve">Representative real-device SQLCipher migration and reopen testing</w:t>
            </w:r>
          </w:p>
        </w:tc>
        <w:tc>
          <w:p w14:paraId="77777A08" w14:textId="77777A09">
            <w:r>
              <w:t xml:space="preserve">Production-gated</w:t>
            </w:r>
          </w:p>
        </w:tc>
      </w:tr>
      <w:tr>
        <w:tc>
          <w:p w14:paraId="77777A0A" w14:textId="77777A0B">
            <w:r>
              <w:t xml:space="preserve">Encrypted incident delivery</w:t>
            </w:r>
          </w:p>
        </w:tc>
        <w:tc>
          <w:p w14:paraId="77777A0C" w14:textId="77777A0D">
            <w:r>
              <w:t xml:space="preserve">SGP2 emission plus ciphertext persistence plus responder-local decryption and key custody</w:t>
            </w:r>
          </w:p>
        </w:tc>
        <w:tc>
          <w:p w14:paraId="77777A0E" w14:textId="77777A0F">
            <w:r>
              <w:t xml:space="preserve">Not operational as the normal field path</w:t>
            </w:r>
          </w:p>
        </w:tc>
      </w:tr>
      <w:tr>
        <w:tc>
          <w:p w14:paraId="77777A10" w14:textId="77777A11">
            <w:r>
              <w:t xml:space="preserve">Responder operations</w:t>
            </w:r>
          </w:p>
        </w:tc>
        <w:tc>
          <w:p w14:paraId="77777A12" w14:textId="77777A13">
            <w:r>
              <w:t xml:space="preserve">Controlled credential and key provisioning with operational procedures</w:t>
            </w:r>
          </w:p>
        </w:tc>
        <w:tc>
          <w:p w14:paraId="77777A14" w14:textId="77777A15">
            <w:r>
              <w:t xml:space="preserve">Production-gated</w:t>
            </w:r>
          </w:p>
        </w:tc>
      </w:tr>
      <w:tr>
        <w:tc>
          <w:p w14:paraId="77777A16" w14:textId="77777A17">
            <w:r>
              <w:t xml:space="preserve">Service readiness</w:t>
            </w:r>
          </w:p>
        </w:tc>
        <w:tc>
          <w:p w14:paraId="77777A18" w14:textId="77777A19">
            <w:r>
              <w:t xml:space="preserve">Monitoring uptime incident response and recovery expectations with operational evidence</w:t>
            </w:r>
          </w:p>
        </w:tc>
        <w:tc>
          <w:p w14:paraId="77777A1A" w14:textId="77777A1B">
            <w:r>
              <w:t xml:space="preserve">Production-gated</w:t>
            </w:r>
          </w:p>
        </w:tc>
      </w:tr>
    </w:tbl>
    <w:p w14:paraId="77777A1C" w14:textId="77777A1D">
      <w:pPr>
        <w:jc w:val="center"/>
      </w:pPr>
      <w:r>
        <w:rPr/>
        <w:t xml:space="preserve">Table 4. Deployment and Production Readiness Gates.</w:t>
      </w:r>
    </w:p>
    <w:p w14:paraId="77777A1E" w14:textId="77777A1F">
      <w:pPr>
        <w:pStyle w:val="Heading2"/>
      </w:pPr>
      <w:r>
        <w:rPr/>
        <w:t xml:space="preserve">MAINTENANCE</w:t>
      </w:r>
    </w:p>
    <w:p w14:paraId="77777A20" w14:textId="77777AA0">
      <w:pPr>
        <w:ind w:firstLine="720"/>
        <w:jc w:val="both"/>
      </w:pPr>
      <w:r>
        <w:rPr/>
        <w:t xml:space="preserve">SAGIP maintenance must preserve the emergency-delivery invariants. Local database changes must use explicit non-destructive migrations. PostgreSQL changes must use checksum-tracked migrations. Maintenance must not rewrite immutable emergency envelopes to simulate compatibility with a new protocol.</w:t>
      </w:r>
    </w:p>
    <w:p w14:paraId="77777A22" w14:textId="77777AA1">
      <w:pPr>
        <w:ind w:firstLine="720"/>
        <w:jc w:val="both"/>
      </w:pPr>
      <w:r>
        <w:rPr/>
        <w:t xml:space="preserve">Protocol maintenance must preserve established compatibility paths. SGP1 remains the normal path unless current production configuration proves otherwise. SGP2 and SRE2 are not operational until production emission, ciphertext persistence, responder decryption, key distribution, and required device tests are active. SGA1 remains a plaintext CRC-protected status frame. It is not cryptographically confidential or authenticated.</w:t>
      </w:r>
    </w:p>
    <w:p w14:paraId="77777A24" w14:textId="77777AA2">
      <w:pPr>
        <w:ind w:firstLine="720"/>
        <w:jc w:val="both"/>
      </w:pPr>
      <w:r>
        <w:rPr/>
        <w:t xml:space="preserve">Android maintenance must test permissions, BLE scanning and advertising, foreground-service ownership, JobScheduler recovery, process restart, database migration, and OEM background restrictions. Representative connected-device tests must qualify SQLCipher migration and Keystore-loss behavior before field use.</w:t>
      </w:r>
    </w:p>
    <w:p w14:paraId="77777A26" w14:textId="77777AA3">
      <w:pPr>
        <w:ind w:firstLine="720"/>
        <w:jc w:val="both"/>
      </w:pPr>
      <w:r>
        <w:rPr/>
        <w:t xml:space="preserve">Backend maintenance must preserve input bounds, signature and digest checks, idempotent ingestion, responder authentication, migration integrity, and sanitized public errors. Live deployment evidence must remain separate from host or in-memory tests. Production evaluation must cover load, concurrency, rate limiting, monitoring, and incident response.</w:t>
      </w:r>
    </w:p>
    <w:p w14:paraId="77777A28" w14:textId="77777AA4">
      <w:pPr>
        <w:ind w:firstLine="720"/>
        <w:jc w:val="both"/>
      </w:pPr>
      <w:r>
        <w:rPr/>
        <w:t xml:space="preserve">Documentation is part of maintenance. PROJECT_STATUS.md must describe the current state after meaningful changes. PROGRESS_LOG.md must record the change and exact evidence. Affected protocol or architecture documents must also be updated. This process prevents historical results from appearing as current behavior.</w:t>
      </w:r>
    </w:p>
    <w:p w14:paraId="77777AA5" w14:textId="77777AA6">
      <w:pPr>
        <w:pStyle w:val="Heading1"/>
        <w:keepNext/>
        <w:pageBreakBefore/>
      </w:pPr>
      <w:r>
        <w:rPr/>
        <w:t xml:space="preserve">REFERENCES</w:t>
      </w:r>
    </w:p>
    <w:p w14:paraId="77777AA7" w14:textId="77777AA8">
      <w:pPr>
        <w:pStyle w:val="Normal"/>
        <w:ind w:hanging="720"/>
      </w:pPr>
      <w:r>
        <w:rPr/>
        <w:t xml:space="preserve">[1] International Telecommunication Union, “Emergency telecommunications,” May 2025. [Online]. Available: https://www.itu.int/en/mediacentre/backgrounders/Pages/emergency-telecommunications.aspx. Accessed: Sep. 29, 2026.</w:t>
      </w:r>
    </w:p>
    <w:p w14:paraId="77777AA9" w14:textId="77777AAA">
      <w:pPr>
        <w:pStyle w:val="Normal"/>
        <w:ind w:hanging="720"/>
      </w:pPr>
      <w:r>
        <w:rPr/>
        <w:t xml:space="preserve">[2] J. T. B. Fajardo, K. Yasumoto, N. Shibata, W. Sun, and M. Ito, “Disaster information collection with opportunistic communication and message aggregation,” J. Inf. Process., vol. 22, no. 2, pp. 106–117, Apr. 2014, doi: 10.2197/ipsjjip.22.106.</w:t>
      </w:r>
    </w:p>
    <w:p w14:paraId="77777AAB" w14:textId="77777AAC">
      <w:pPr>
        <w:pStyle w:val="Normal"/>
        <w:ind w:hanging="720"/>
      </w:pPr>
      <w:r>
        <w:rPr/>
        <w:t xml:space="preserve">[3] S. Saha, S. Nandi, P. S. Paul, V. K. Shah, A. Roy, and S. K. Das, “Designing delay constrained hybrid ad hoc network infrastructure for post-disaster communication,” Ad Hoc Networks, vol. 25, pt. B, pp. 406–429, Feb. 2015, doi: 10.1016/j.adhoc.2014.08.009.</w:t>
      </w:r>
    </w:p>
    <w:p w14:paraId="77777AAD" w14:textId="77777AAE">
      <w:pPr>
        <w:pStyle w:val="Normal"/>
        <w:ind w:hanging="720"/>
      </w:pPr>
      <w:r>
        <w:rPr/>
        <w:t xml:space="preserve">[4] M. A. Hossain, S. K. Ray, and J. Lota, “SmartDR: A device-to-device communication for post-disaster recovery,” J. Netw. Comput. Appl., vol. 171, Art. no. 102813, Dec. 2020, doi: 10.1016/j.jnca.2020.102813.</w:t>
      </w:r>
    </w:p>
    <w:p w14:paraId="77777AAF" w14:textId="77777AB0">
      <w:pPr>
        <w:pStyle w:val="Normal"/>
        <w:ind w:hanging="720"/>
      </w:pPr>
      <w:r>
        <w:rPr/>
        <w:t xml:space="preserve">[5] K. Fall, “A delay-tolerant network architecture for challenged internets,” in Proc. ACM SIGCOMM 2003, 2003, pp. 27–34, doi: 10.1145/863955.863960.</w:t>
      </w:r>
    </w:p>
    <w:p w14:paraId="77777AB1" w14:textId="77777AB2">
      <w:pPr>
        <w:pStyle w:val="Normal"/>
        <w:ind w:hanging="720"/>
      </w:pPr>
      <w:r>
        <w:rPr/>
        <w:t xml:space="preserve">[6] V. Cerf, S. Burleigh, A. Hooke, L. Torgerson, R. Durst, K. Scott, K. Fall, and H. Weiss, “Delay-Tolerant Networking Architecture,” RFC 4838, Apr. 2007, doi: 10.17487/RFC4838.</w:t>
      </w:r>
    </w:p>
    <w:p w14:paraId="77777AB3" w14:textId="77777AB4">
      <w:pPr>
        <w:pStyle w:val="Normal"/>
        <w:ind w:hanging="720"/>
      </w:pPr>
      <w:r>
        <w:rPr/>
        <w:t xml:space="preserve">[7] S. Burleigh, K. Fall, and E. Birrane III, “Bundle Protocol Version 7,” RFC 9171, Jan. 2022, doi: 10.17487/RFC9171.</w:t>
      </w:r>
    </w:p>
    <w:p w14:paraId="77777AB5" w14:textId="77777AB6">
      <w:pPr>
        <w:pStyle w:val="Normal"/>
        <w:ind w:hanging="720"/>
      </w:pPr>
      <w:r>
        <w:rPr/>
        <w:t xml:space="preserve">[8] F. Álvarez, L. Almon, H. Radtki, and M. Hollick, “Bluemergency: Mediating post-disaster communication systems using the Internet of Things and Bluetooth Mesh,” in Proc. 2019 IEEE Global Humanitarian Technology Conf. (GHTC), Seattle, WA, USA, Oct. 2019, pp. 1–8, doi: 10.1109/GHTC46095.2019.9033063.</w:t>
      </w:r>
    </w:p>
    <w:p w14:paraId="77777AB7" w14:textId="77777AB8">
      <w:pPr>
        <w:pStyle w:val="Normal"/>
        <w:ind w:hanging="720"/>
      </w:pPr>
      <w:r>
        <w:rPr/>
        <w:t xml:space="preserve">[9] Android Developers, “Bluetooth Low Energy,” Google. [Online]. Available: https://developer.android.com/develop/connectivity/bluetooth/ble/ble-overview. Accessed: Sep. 29, 2026.</w:t>
      </w:r>
    </w:p>
    <w:p w14:paraId="77777AB9" w14:textId="77777ABA">
      <w:pPr>
        <w:pStyle w:val="Normal"/>
        <w:ind w:hanging="720"/>
      </w:pPr>
      <w:r>
        <w:rPr/>
        <w:t xml:space="preserve">[10] Android Developers, “Android Keystore system,” Google. [Online]. Available: https://developer.android.com/privacy-and-security/keystore. Accessed: Sep. 29, 2026.</w:t>
      </w:r>
    </w:p>
    <w:p w14:paraId="77777ABB" w14:textId="77777ABC">
      <w:pPr>
        <w:pStyle w:val="Normal"/>
        <w:ind w:hanging="720"/>
      </w:pPr>
      <w:r>
        <w:rPr/>
        <w:t xml:space="preserve">[11] National Institute of Standards and Technology, Digital Signature Standard (DSS), FIPS PUB 186-5, Feb. 2023, doi: 10.6028/NIST.FIPS.186-5.</w:t>
      </w:r>
    </w:p>
    <w:p w14:paraId="77777ABD" w14:textId="77777ABE">
      <w:pPr>
        <w:pStyle w:val="Normal"/>
        <w:ind w:hanging="720"/>
      </w:pPr>
      <w:r>
        <w:rPr/>
        <w:t xml:space="preserve">[12] R. Barnes, K. Bhargavan, B. Lipp, and C. Wood, “Hybrid Public Key Encryption,” RFC 9180, Feb. 2022, doi: 10.17487/RFC9180.</w:t>
      </w:r>
    </w:p>
    <w:p w14:paraId="77777ABF" w14:textId="77777AC0">
      <w:pPr>
        <w:pStyle w:val="Normal"/>
        <w:ind w:hanging="720"/>
      </w:pPr>
      <w:r>
        <w:rPr/>
        <w:t xml:space="preserve">[13] Google, “Hybrid Encryption,” Tink, Mar. 3, 2025. [Online]. Available: https://developers.google.com/tink/hybrid. Accessed: Sep. 29, 2026.</w:t>
      </w:r>
    </w:p>
    <w:p w14:paraId="77777AC1" w14:textId="77777AC2">
      <w:pPr>
        <w:pStyle w:val="Normal"/>
        <w:ind w:hanging="720"/>
      </w:pPr>
      <w:r>
        <w:rPr/>
        <w:t xml:space="preserve">[14] OWASP Foundation, “OWASP Mobile Application Security Verification Standard (MASVS).” [Online]. Available: https://mas.owasp.org/MASVS/. Accessed: Sep. 29, 2026.</w:t>
      </w:r>
    </w:p>
    <w:p w14:paraId="77777AC3" w14:textId="77777AC4">
      <w:pPr>
        <w:pStyle w:val="Normal"/>
        <w:ind w:hanging="720"/>
      </w:pPr>
      <w:r>
        <w:rPr/>
        <w:t xml:space="preserve">[15] Zetetic LLC, “SQLCipher documentation.” [Online]. Available: https://www.zetetic.net/sqlcipher/documentation/. Accessed: Sep. 29, 2026.</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png" Id="R4057321438124bfc" /><Relationship Type="http://schemas.openxmlformats.org/officeDocument/2006/relationships/image" Target="../media/image.svg" Id="Rb74f692ab4384234" /><Relationship Type="http://schemas.openxmlformats.org/officeDocument/2006/relationships/image" Target="/media/image12.svg" Id="R1c78f83479284983" /><Relationship Type="http://schemas.openxmlformats.org/officeDocument/2006/relationships/image" Target="/media/image12.png" Id="R8bfeb41d98174954" /><Relationship Type="http://schemas.openxmlformats.org/officeDocument/2006/relationships/image" Target="/media/image13.svg" Id="Rbd41fbd975c14252" /><Relationship Type="http://schemas.openxmlformats.org/officeDocument/2006/relationships/image" Target="/media/image13.png" Id="Rec62fcdafc614bce" /><Relationship Type="http://schemas.openxmlformats.org/officeDocument/2006/relationships/image" Target="/media/image14.svg" Id="Rf2ea47d65be349ae" /><Relationship Type="http://schemas.openxmlformats.org/officeDocument/2006/relationships/image" Target="/media/image14.png" Id="Rbcda9b30f9384ce2" /><Relationship Type="http://schemas.openxmlformats.org/officeDocument/2006/relationships/image" Target="/media/image15.svg" Id="Rae0e26f5093b4d52" /><Relationship Type="http://schemas.openxmlformats.org/officeDocument/2006/relationships/image" Target="/media/image15.png" Id="R586ed3e05e9a4438" /><Relationship Type="http://schemas.openxmlformats.org/officeDocument/2006/relationships/image" Target="/media/image16.svg" Id="Re4eb7df0e9b24b1b" /><Relationship Type="http://schemas.openxmlformats.org/officeDocument/2006/relationships/image" Target="/media/image16.png" Id="R74ac1f73472b4787" /><Relationship Type="http://schemas.openxmlformats.org/officeDocument/2006/relationships/image" Target="/media/image17.svg" Id="Rdca9ac1eb36e4af9" /><Relationship Type="http://schemas.openxmlformats.org/officeDocument/2006/relationships/image" Target="/media/image17.png" Id="R776955d17bf8458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2026-09-29T12:15:04Z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