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736F6" w14:textId="24B9CBF3" w:rsidR="00785E60" w:rsidRPr="008512BE" w:rsidRDefault="00D30B7D" w:rsidP="2AA1C73E">
      <w:pPr>
        <w:spacing w:line="360" w:lineRule="auto"/>
        <w:jc w:val="both"/>
        <w:rPr>
          <w:rFonts w:ascii="Arial" w:hAnsi="Arial" w:cs="Arial"/>
          <w:sz w:val="20"/>
          <w:szCs w:val="20"/>
        </w:rPr>
      </w:pPr>
      <w:r w:rsidRPr="008512BE">
        <w:rPr>
          <w:rFonts w:ascii="Arial" w:hAnsi="Arial" w:cs="Arial"/>
          <w:sz w:val="20"/>
          <w:szCs w:val="20"/>
        </w:rPr>
        <w:t xml:space="preserve">This </w:t>
      </w:r>
      <w:r w:rsidR="00D13EB9" w:rsidRPr="008512BE">
        <w:rPr>
          <w:rFonts w:ascii="Arial" w:hAnsi="Arial" w:cs="Arial"/>
          <w:sz w:val="20"/>
          <w:szCs w:val="20"/>
        </w:rPr>
        <w:t>Data Processing Agreement</w:t>
      </w:r>
      <w:r w:rsidRPr="008512BE">
        <w:rPr>
          <w:rFonts w:ascii="Arial" w:hAnsi="Arial" w:cs="Arial"/>
          <w:sz w:val="20"/>
          <w:szCs w:val="20"/>
        </w:rPr>
        <w:t xml:space="preserve"> </w:t>
      </w:r>
      <w:r w:rsidR="00E15336" w:rsidRPr="008512BE">
        <w:rPr>
          <w:rFonts w:ascii="Arial" w:hAnsi="Arial" w:cs="Arial"/>
          <w:sz w:val="20"/>
          <w:szCs w:val="20"/>
        </w:rPr>
        <w:t>(“DPA”) forms part of the Terms of Use (or other similarly titled written or electronic agreement addressing the same subject matter) (“</w:t>
      </w:r>
      <w:r w:rsidR="00E15336" w:rsidRPr="008512BE">
        <w:rPr>
          <w:rFonts w:ascii="Arial" w:hAnsi="Arial" w:cs="Arial"/>
          <w:b/>
          <w:bCs/>
          <w:sz w:val="20"/>
          <w:szCs w:val="20"/>
        </w:rPr>
        <w:t>Agreement</w:t>
      </w:r>
      <w:r w:rsidR="00E15336" w:rsidRPr="008512BE">
        <w:rPr>
          <w:rFonts w:ascii="Arial" w:hAnsi="Arial" w:cs="Arial"/>
          <w:sz w:val="20"/>
          <w:szCs w:val="20"/>
        </w:rPr>
        <w:t xml:space="preserve">”) between </w:t>
      </w:r>
      <w:r w:rsidR="00D91097" w:rsidRPr="00AD2283">
        <w:rPr>
          <w:rFonts w:ascii="Arial" w:hAnsi="Arial" w:cs="Arial"/>
          <w:sz w:val="20"/>
          <w:szCs w:val="20"/>
        </w:rPr>
        <w:t>Customer (as defined in the Agreement)</w:t>
      </w:r>
      <w:r w:rsidR="0040044E" w:rsidRPr="00AD2283">
        <w:rPr>
          <w:rFonts w:ascii="Arial" w:eastAsia="Arial" w:hAnsi="Arial" w:cs="Arial"/>
          <w:color w:val="000000" w:themeColor="text1"/>
          <w:sz w:val="20"/>
          <w:szCs w:val="20"/>
        </w:rPr>
        <w:t xml:space="preserve"> </w:t>
      </w:r>
      <w:r w:rsidR="00E15336" w:rsidRPr="00AD2283">
        <w:rPr>
          <w:rFonts w:ascii="Arial" w:eastAsia="Arial" w:hAnsi="Arial" w:cs="Arial"/>
          <w:color w:val="000000" w:themeColor="text1"/>
          <w:sz w:val="20"/>
          <w:szCs w:val="20"/>
        </w:rPr>
        <w:t xml:space="preserve">and </w:t>
      </w:r>
      <w:r w:rsidR="00AD2283" w:rsidRPr="00AD2283">
        <w:rPr>
          <w:rFonts w:ascii="Arial" w:eastAsia="Arial" w:hAnsi="Arial" w:cs="Arial"/>
          <w:color w:val="000000" w:themeColor="text1"/>
          <w:sz w:val="20"/>
          <w:szCs w:val="20"/>
        </w:rPr>
        <w:t>Data Semantics Pvt Ltd</w:t>
      </w:r>
      <w:r w:rsidR="00E15336" w:rsidRPr="00AD2283">
        <w:rPr>
          <w:rFonts w:ascii="Arial" w:eastAsia="Arial" w:hAnsi="Arial" w:cs="Arial"/>
          <w:b/>
          <w:bCs/>
          <w:color w:val="000000" w:themeColor="text1"/>
          <w:sz w:val="20"/>
          <w:szCs w:val="20"/>
        </w:rPr>
        <w:t xml:space="preserve"> </w:t>
      </w:r>
      <w:r w:rsidR="00E15336" w:rsidRPr="00AD2283">
        <w:rPr>
          <w:rFonts w:ascii="Arial" w:eastAsia="Arial" w:hAnsi="Arial" w:cs="Arial"/>
          <w:color w:val="000000" w:themeColor="text1"/>
          <w:sz w:val="20"/>
          <w:szCs w:val="20"/>
        </w:rPr>
        <w:t xml:space="preserve">under which the Processor provides the Controller </w:t>
      </w:r>
      <w:r w:rsidR="072D7BA9" w:rsidRPr="00AD2283">
        <w:rPr>
          <w:rFonts w:ascii="Arial" w:eastAsia="Arial" w:hAnsi="Arial" w:cs="Arial"/>
          <w:color w:val="000000" w:themeColor="text1"/>
          <w:sz w:val="20"/>
          <w:szCs w:val="20"/>
        </w:rPr>
        <w:t xml:space="preserve">with </w:t>
      </w:r>
      <w:r w:rsidR="00E15336" w:rsidRPr="00AD2283">
        <w:rPr>
          <w:rFonts w:ascii="Arial" w:eastAsia="Arial" w:hAnsi="Arial" w:cs="Arial"/>
          <w:color w:val="000000" w:themeColor="text1"/>
          <w:sz w:val="20"/>
          <w:szCs w:val="20"/>
        </w:rPr>
        <w:t xml:space="preserve">the software and services (the </w:t>
      </w:r>
      <w:r w:rsidR="00E15336" w:rsidRPr="00AD2283">
        <w:rPr>
          <w:rFonts w:ascii="Arial" w:eastAsia="Arial" w:hAnsi="Arial" w:cs="Arial"/>
          <w:b/>
          <w:bCs/>
          <w:color w:val="000000" w:themeColor="text1"/>
          <w:sz w:val="20"/>
          <w:szCs w:val="20"/>
        </w:rPr>
        <w:t>“Services”</w:t>
      </w:r>
      <w:r w:rsidR="00E15336" w:rsidRPr="00AD2283">
        <w:rPr>
          <w:rFonts w:ascii="Arial" w:eastAsia="Arial" w:hAnsi="Arial" w:cs="Arial"/>
          <w:color w:val="000000" w:themeColor="text1"/>
          <w:sz w:val="20"/>
          <w:szCs w:val="20"/>
        </w:rPr>
        <w:t>)</w:t>
      </w:r>
      <w:r w:rsidR="005B2C06" w:rsidRPr="00AD2283">
        <w:rPr>
          <w:rFonts w:ascii="Arial" w:eastAsia="Arial" w:hAnsi="Arial" w:cs="Arial"/>
          <w:color w:val="000000" w:themeColor="text1"/>
          <w:sz w:val="20"/>
          <w:szCs w:val="20"/>
        </w:rPr>
        <w:t>.</w:t>
      </w:r>
      <w:r w:rsidR="00E15336" w:rsidRPr="00AD2283">
        <w:rPr>
          <w:rFonts w:ascii="Arial" w:eastAsia="Arial" w:hAnsi="Arial" w:cs="Arial"/>
          <w:color w:val="000000" w:themeColor="text1"/>
          <w:sz w:val="20"/>
          <w:szCs w:val="20"/>
        </w:rPr>
        <w:t xml:space="preserve"> The Controller and the Processor are individually</w:t>
      </w:r>
      <w:r w:rsidR="00E15336" w:rsidRPr="008512BE">
        <w:rPr>
          <w:rFonts w:ascii="Arial" w:eastAsia="Arial" w:hAnsi="Arial" w:cs="Arial"/>
          <w:color w:val="000000" w:themeColor="text1"/>
          <w:sz w:val="20"/>
          <w:szCs w:val="20"/>
        </w:rPr>
        <w:t xml:space="preserve"> referred to as a </w:t>
      </w:r>
      <w:r w:rsidR="00E15336" w:rsidRPr="008512BE">
        <w:rPr>
          <w:rFonts w:ascii="Arial" w:eastAsia="Arial" w:hAnsi="Arial" w:cs="Arial"/>
          <w:b/>
          <w:bCs/>
          <w:color w:val="000000" w:themeColor="text1"/>
          <w:sz w:val="20"/>
          <w:szCs w:val="20"/>
        </w:rPr>
        <w:t>“Party”</w:t>
      </w:r>
      <w:r w:rsidR="00E15336" w:rsidRPr="008512BE">
        <w:rPr>
          <w:rFonts w:ascii="Arial" w:eastAsia="Arial" w:hAnsi="Arial" w:cs="Arial"/>
          <w:color w:val="000000" w:themeColor="text1"/>
          <w:sz w:val="20"/>
          <w:szCs w:val="20"/>
        </w:rPr>
        <w:t xml:space="preserve"> and collectively as the </w:t>
      </w:r>
      <w:r w:rsidR="00E15336" w:rsidRPr="008512BE">
        <w:rPr>
          <w:rFonts w:ascii="Arial" w:eastAsia="Arial" w:hAnsi="Arial" w:cs="Arial"/>
          <w:b/>
          <w:bCs/>
          <w:color w:val="000000" w:themeColor="text1"/>
          <w:sz w:val="20"/>
          <w:szCs w:val="20"/>
        </w:rPr>
        <w:t>“Parties</w:t>
      </w:r>
      <w:r w:rsidR="00E15336" w:rsidRPr="008512BE">
        <w:rPr>
          <w:rFonts w:ascii="Arial" w:hAnsi="Arial" w:cs="Arial"/>
          <w:b/>
          <w:bCs/>
          <w:sz w:val="20"/>
          <w:szCs w:val="20"/>
        </w:rPr>
        <w:t>”</w:t>
      </w:r>
      <w:r w:rsidR="00E15336" w:rsidRPr="008512BE">
        <w:rPr>
          <w:rFonts w:ascii="Arial" w:hAnsi="Arial" w:cs="Arial"/>
          <w:sz w:val="20"/>
          <w:szCs w:val="20"/>
        </w:rPr>
        <w:t>.</w:t>
      </w:r>
    </w:p>
    <w:p w14:paraId="6BD46BFB" w14:textId="2FAC7A15" w:rsidR="00785E60" w:rsidRPr="008512BE" w:rsidRDefault="00E15336" w:rsidP="2AA1C73E">
      <w:pPr>
        <w:spacing w:line="360" w:lineRule="auto"/>
        <w:jc w:val="both"/>
        <w:rPr>
          <w:rFonts w:ascii="Arial" w:hAnsi="Arial" w:cs="Arial"/>
          <w:sz w:val="20"/>
          <w:szCs w:val="20"/>
        </w:rPr>
      </w:pPr>
      <w:r w:rsidRPr="008512BE">
        <w:rPr>
          <w:rFonts w:ascii="Arial" w:hAnsi="Arial" w:cs="Arial"/>
          <w:sz w:val="20"/>
          <w:szCs w:val="20"/>
        </w:rPr>
        <w:t xml:space="preserve">The Parties seek to implement this DPA to comply with the requirements of </w:t>
      </w:r>
      <w:r w:rsidR="005B2C06" w:rsidRPr="008512BE">
        <w:rPr>
          <w:rFonts w:ascii="Arial" w:hAnsi="Arial" w:cs="Arial"/>
          <w:sz w:val="20"/>
          <w:szCs w:val="20"/>
        </w:rPr>
        <w:t xml:space="preserve">EU </w:t>
      </w:r>
      <w:r w:rsidRPr="008512BE">
        <w:rPr>
          <w:rFonts w:ascii="Arial" w:hAnsi="Arial" w:cs="Arial"/>
          <w:sz w:val="20"/>
          <w:szCs w:val="20"/>
        </w:rPr>
        <w:t xml:space="preserve">GDPR (defined hereunder) in relation to Processor’s processing of Personal Data (as defined under the </w:t>
      </w:r>
      <w:r w:rsidR="005B2C06" w:rsidRPr="008512BE">
        <w:rPr>
          <w:rFonts w:ascii="Arial" w:hAnsi="Arial" w:cs="Arial"/>
          <w:sz w:val="20"/>
          <w:szCs w:val="20"/>
        </w:rPr>
        <w:t xml:space="preserve">EU </w:t>
      </w:r>
      <w:r w:rsidRPr="008512BE">
        <w:rPr>
          <w:rFonts w:ascii="Arial" w:hAnsi="Arial" w:cs="Arial"/>
          <w:sz w:val="20"/>
          <w:szCs w:val="20"/>
        </w:rPr>
        <w:t>GDPR) as part of its obligations under the Agreement.</w:t>
      </w:r>
    </w:p>
    <w:p w14:paraId="4F3F7CAF" w14:textId="56C6D7CB" w:rsidR="00785E60" w:rsidRPr="008512BE" w:rsidRDefault="00E15336" w:rsidP="2AA1C73E">
      <w:pPr>
        <w:spacing w:line="360" w:lineRule="auto"/>
        <w:jc w:val="both"/>
        <w:rPr>
          <w:rFonts w:ascii="Arial" w:hAnsi="Arial" w:cs="Arial"/>
          <w:sz w:val="20"/>
          <w:szCs w:val="20"/>
        </w:rPr>
      </w:pPr>
      <w:r w:rsidRPr="008512BE">
        <w:rPr>
          <w:rFonts w:ascii="Arial" w:hAnsi="Arial" w:cs="Arial"/>
          <w:sz w:val="20"/>
          <w:szCs w:val="20"/>
        </w:rPr>
        <w:t>This DPA shall apply to Processor’s processing of Personal Data, provided by the Controller as part of Processor’s obligations under the Agreement.</w:t>
      </w:r>
    </w:p>
    <w:p w14:paraId="637BD509" w14:textId="003747E6" w:rsidR="00785E60" w:rsidRPr="008512BE" w:rsidRDefault="00E15336" w:rsidP="2AA1C73E">
      <w:pPr>
        <w:spacing w:line="360" w:lineRule="auto"/>
        <w:jc w:val="both"/>
        <w:rPr>
          <w:rFonts w:ascii="Arial" w:hAnsi="Arial" w:cs="Arial"/>
          <w:sz w:val="20"/>
          <w:szCs w:val="20"/>
        </w:rPr>
      </w:pPr>
      <w:r w:rsidRPr="008512BE">
        <w:rPr>
          <w:rFonts w:ascii="Arial" w:hAnsi="Arial" w:cs="Arial"/>
          <w:sz w:val="20"/>
          <w:szCs w:val="20"/>
        </w:rPr>
        <w:t xml:space="preserve">Except as modified below, the terms of the Agreement shall remain in full force and effect.   </w:t>
      </w:r>
    </w:p>
    <w:p w14:paraId="6E2830CE" w14:textId="77777777" w:rsidR="00B670BF" w:rsidRPr="008512BE" w:rsidRDefault="00B670BF" w:rsidP="00B670BF">
      <w:pPr>
        <w:spacing w:after="0" w:line="360" w:lineRule="auto"/>
        <w:jc w:val="both"/>
        <w:rPr>
          <w:rFonts w:ascii="Arial" w:hAnsi="Arial" w:cs="Arial"/>
          <w:sz w:val="20"/>
          <w:szCs w:val="20"/>
        </w:rPr>
      </w:pPr>
    </w:p>
    <w:p w14:paraId="20A8AC3D" w14:textId="4F88B88E" w:rsidR="00785E60" w:rsidRPr="008512BE" w:rsidRDefault="00E15336" w:rsidP="00503F90">
      <w:pPr>
        <w:numPr>
          <w:ilvl w:val="0"/>
          <w:numId w:val="56"/>
        </w:numPr>
        <w:spacing w:line="360" w:lineRule="auto"/>
        <w:jc w:val="both"/>
        <w:rPr>
          <w:rFonts w:ascii="Arial" w:hAnsi="Arial" w:cs="Arial"/>
          <w:sz w:val="20"/>
          <w:szCs w:val="20"/>
        </w:rPr>
      </w:pPr>
      <w:r w:rsidRPr="008512BE">
        <w:rPr>
          <w:rFonts w:ascii="Arial" w:hAnsi="Arial" w:cs="Arial"/>
          <w:b/>
          <w:bCs/>
          <w:sz w:val="20"/>
          <w:szCs w:val="20"/>
        </w:rPr>
        <w:t>Definitions</w:t>
      </w:r>
    </w:p>
    <w:p w14:paraId="01E45E34" w14:textId="2FC0ABE1" w:rsidR="00785E60" w:rsidRPr="008512BE" w:rsidRDefault="00B670BF" w:rsidP="00503F90">
      <w:pPr>
        <w:pStyle w:val="ListParagraph"/>
        <w:spacing w:line="360" w:lineRule="auto"/>
        <w:ind w:left="360"/>
        <w:jc w:val="both"/>
        <w:rPr>
          <w:rFonts w:ascii="Arial" w:hAnsi="Arial" w:cs="Arial"/>
          <w:sz w:val="20"/>
          <w:szCs w:val="20"/>
        </w:rPr>
      </w:pPr>
      <w:r w:rsidRPr="008512BE">
        <w:rPr>
          <w:rFonts w:ascii="Arial" w:hAnsi="Arial" w:cs="Arial"/>
          <w:sz w:val="20"/>
          <w:szCs w:val="20"/>
        </w:rPr>
        <w:t>T</w:t>
      </w:r>
      <w:r w:rsidR="00E15336" w:rsidRPr="008512BE">
        <w:rPr>
          <w:rFonts w:ascii="Arial" w:hAnsi="Arial" w:cs="Arial"/>
          <w:sz w:val="20"/>
          <w:szCs w:val="20"/>
        </w:rPr>
        <w:t xml:space="preserve">erms not otherwise defined herein shall have the meaning given to them in the </w:t>
      </w:r>
      <w:r w:rsidR="009B48D7" w:rsidRPr="008512BE">
        <w:rPr>
          <w:rFonts w:ascii="Arial" w:hAnsi="Arial" w:cs="Arial"/>
          <w:sz w:val="20"/>
          <w:szCs w:val="20"/>
        </w:rPr>
        <w:t xml:space="preserve">EU </w:t>
      </w:r>
      <w:r w:rsidR="00E15336" w:rsidRPr="008512BE">
        <w:rPr>
          <w:rFonts w:ascii="Arial" w:hAnsi="Arial" w:cs="Arial"/>
          <w:sz w:val="20"/>
          <w:szCs w:val="20"/>
        </w:rPr>
        <w:t xml:space="preserve">GDPR or the Agreement. The following terms shall have the corresponding meanings assigned to them below: </w:t>
      </w:r>
    </w:p>
    <w:p w14:paraId="30FEB3A7" w14:textId="44436AA1" w:rsidR="00785E60" w:rsidRPr="008512BE" w:rsidRDefault="00E15336" w:rsidP="00EC6870">
      <w:pPr>
        <w:numPr>
          <w:ilvl w:val="1"/>
          <w:numId w:val="56"/>
        </w:numPr>
        <w:spacing w:line="360" w:lineRule="auto"/>
        <w:ind w:left="1134"/>
        <w:jc w:val="both"/>
        <w:rPr>
          <w:rFonts w:ascii="Arial" w:hAnsi="Arial" w:cs="Arial"/>
          <w:sz w:val="20"/>
          <w:szCs w:val="20"/>
        </w:rPr>
      </w:pPr>
      <w:r w:rsidRPr="008512BE">
        <w:rPr>
          <w:rFonts w:ascii="Arial" w:hAnsi="Arial" w:cs="Arial"/>
          <w:sz w:val="20"/>
          <w:szCs w:val="20"/>
        </w:rPr>
        <w:t>"</w:t>
      </w:r>
      <w:r w:rsidRPr="008512BE">
        <w:rPr>
          <w:rFonts w:ascii="Arial" w:hAnsi="Arial" w:cs="Arial"/>
          <w:b/>
          <w:bCs/>
          <w:sz w:val="20"/>
          <w:szCs w:val="20"/>
        </w:rPr>
        <w:t>Data Transfer</w:t>
      </w:r>
      <w:r w:rsidRPr="008512BE">
        <w:rPr>
          <w:rFonts w:ascii="Arial" w:hAnsi="Arial" w:cs="Arial"/>
          <w:sz w:val="20"/>
          <w:szCs w:val="20"/>
        </w:rPr>
        <w:t>" means a transfer of the Personal Data from the Controller to the Processor, or between two establishments of the Processor, or with a Sub-processor by the Processor.</w:t>
      </w:r>
    </w:p>
    <w:p w14:paraId="363EE171" w14:textId="75C556D6" w:rsidR="00785E60" w:rsidRPr="008512BE" w:rsidRDefault="00E15336" w:rsidP="00EC6870">
      <w:pPr>
        <w:numPr>
          <w:ilvl w:val="1"/>
          <w:numId w:val="56"/>
        </w:numPr>
        <w:spacing w:line="360" w:lineRule="auto"/>
        <w:ind w:left="1134"/>
        <w:jc w:val="both"/>
        <w:rPr>
          <w:rFonts w:ascii="Arial" w:hAnsi="Arial" w:cs="Arial"/>
          <w:sz w:val="20"/>
          <w:szCs w:val="20"/>
        </w:rPr>
      </w:pPr>
      <w:r w:rsidRPr="008512BE">
        <w:rPr>
          <w:rFonts w:ascii="Arial" w:hAnsi="Arial" w:cs="Arial"/>
          <w:sz w:val="20"/>
          <w:szCs w:val="20"/>
        </w:rPr>
        <w:t>“</w:t>
      </w:r>
      <w:r w:rsidR="009B48D7" w:rsidRPr="008512BE">
        <w:rPr>
          <w:rFonts w:ascii="Arial" w:hAnsi="Arial" w:cs="Arial"/>
          <w:b/>
          <w:bCs/>
          <w:sz w:val="20"/>
          <w:szCs w:val="20"/>
        </w:rPr>
        <w:t>EU</w:t>
      </w:r>
      <w:r w:rsidR="009B48D7" w:rsidRPr="008512BE">
        <w:rPr>
          <w:rFonts w:ascii="Arial" w:hAnsi="Arial" w:cs="Arial"/>
          <w:sz w:val="20"/>
          <w:szCs w:val="20"/>
        </w:rPr>
        <w:t xml:space="preserve"> </w:t>
      </w:r>
      <w:r w:rsidRPr="008512BE">
        <w:rPr>
          <w:rFonts w:ascii="Arial" w:hAnsi="Arial" w:cs="Arial"/>
          <w:b/>
          <w:bCs/>
          <w:sz w:val="20"/>
          <w:szCs w:val="20"/>
        </w:rPr>
        <w:t>GDPR</w:t>
      </w:r>
      <w:r w:rsidRPr="008512BE">
        <w:rPr>
          <w:rFonts w:ascii="Arial" w:hAnsi="Arial" w:cs="Arial"/>
          <w:sz w:val="20"/>
          <w:szCs w:val="20"/>
        </w:rPr>
        <w:t>” means the Regulation (EU) 2016/679 of the European Parliament and of the Council of 27 April 2016 on the protection of natural persons with regard to the processing of personal data and on the free movement of such data and repealing Directive 95/46/EC (General Data Protection Regulation).</w:t>
      </w:r>
    </w:p>
    <w:p w14:paraId="255B7961" w14:textId="524FBC2D" w:rsidR="00785E60" w:rsidRPr="008512BE" w:rsidRDefault="00E15336" w:rsidP="00EC6870">
      <w:pPr>
        <w:numPr>
          <w:ilvl w:val="1"/>
          <w:numId w:val="56"/>
        </w:numPr>
        <w:spacing w:line="360" w:lineRule="auto"/>
        <w:ind w:left="1134"/>
        <w:jc w:val="both"/>
        <w:rPr>
          <w:rFonts w:ascii="Arial" w:hAnsi="Arial" w:cs="Arial"/>
          <w:sz w:val="20"/>
          <w:szCs w:val="20"/>
        </w:rPr>
      </w:pPr>
      <w:r w:rsidRPr="008512BE">
        <w:rPr>
          <w:rFonts w:ascii="Arial" w:hAnsi="Arial" w:cs="Arial"/>
          <w:sz w:val="20"/>
          <w:szCs w:val="20"/>
        </w:rPr>
        <w:t>“</w:t>
      </w:r>
      <w:r w:rsidRPr="008512BE">
        <w:rPr>
          <w:rFonts w:ascii="Arial" w:hAnsi="Arial" w:cs="Arial"/>
          <w:b/>
          <w:bCs/>
          <w:sz w:val="20"/>
          <w:szCs w:val="20"/>
        </w:rPr>
        <w:t>Standard Contractual Clauses</w:t>
      </w:r>
      <w:r w:rsidRPr="008512BE">
        <w:rPr>
          <w:rFonts w:ascii="Arial" w:hAnsi="Arial" w:cs="Arial"/>
          <w:sz w:val="20"/>
          <w:szCs w:val="20"/>
        </w:rPr>
        <w:t xml:space="preserve">” means the contractual clauses attached hereto as Schedule </w:t>
      </w:r>
      <w:r w:rsidR="0084697B" w:rsidRPr="008512BE">
        <w:rPr>
          <w:rFonts w:ascii="Arial" w:hAnsi="Arial" w:cs="Arial"/>
          <w:sz w:val="20"/>
          <w:szCs w:val="20"/>
        </w:rPr>
        <w:t>1</w:t>
      </w:r>
      <w:r w:rsidRPr="008512BE">
        <w:rPr>
          <w:rFonts w:ascii="Arial" w:hAnsi="Arial" w:cs="Arial"/>
          <w:sz w:val="20"/>
          <w:szCs w:val="20"/>
        </w:rPr>
        <w:t xml:space="preserve"> pursuant to the European Commission’s </w:t>
      </w:r>
      <w:r w:rsidR="00D13EB9" w:rsidRPr="008512BE">
        <w:rPr>
          <w:rFonts w:ascii="Arial" w:hAnsi="Arial" w:cs="Arial"/>
          <w:sz w:val="20"/>
          <w:szCs w:val="20"/>
        </w:rPr>
        <w:t xml:space="preserve">Implementing Decision </w:t>
      </w:r>
      <w:r w:rsidRPr="008512BE">
        <w:rPr>
          <w:rFonts w:ascii="Arial" w:hAnsi="Arial" w:cs="Arial"/>
          <w:sz w:val="20"/>
          <w:szCs w:val="20"/>
        </w:rPr>
        <w:t>(EU) 2021/914 of 4 June 2021 on Standard Contractual Clauses for the transfer of Personal Data to processors established in third countries which do not ensure an adequate level of data protection.</w:t>
      </w:r>
    </w:p>
    <w:p w14:paraId="42825C10" w14:textId="02405FCF" w:rsidR="00EE6CEA" w:rsidRPr="008512BE" w:rsidRDefault="0068125F" w:rsidP="00EC6870">
      <w:pPr>
        <w:numPr>
          <w:ilvl w:val="1"/>
          <w:numId w:val="56"/>
        </w:numPr>
        <w:spacing w:line="360" w:lineRule="auto"/>
        <w:ind w:left="1134"/>
        <w:jc w:val="both"/>
        <w:rPr>
          <w:rFonts w:ascii="Arial" w:hAnsi="Arial" w:cs="Arial"/>
          <w:sz w:val="20"/>
          <w:szCs w:val="20"/>
        </w:rPr>
      </w:pPr>
      <w:r w:rsidRPr="008512BE">
        <w:rPr>
          <w:rFonts w:ascii="Arial" w:hAnsi="Arial" w:cs="Arial"/>
          <w:sz w:val="20"/>
          <w:szCs w:val="20"/>
        </w:rPr>
        <w:t>“</w:t>
      </w:r>
      <w:r w:rsidRPr="008512BE">
        <w:rPr>
          <w:rFonts w:ascii="Arial" w:hAnsi="Arial" w:cs="Arial"/>
          <w:b/>
          <w:bCs/>
          <w:sz w:val="20"/>
          <w:szCs w:val="20"/>
        </w:rPr>
        <w:t>Controller</w:t>
      </w:r>
      <w:r w:rsidRPr="008512BE">
        <w:rPr>
          <w:rFonts w:ascii="Arial" w:hAnsi="Arial" w:cs="Arial"/>
          <w:sz w:val="20"/>
          <w:szCs w:val="20"/>
        </w:rPr>
        <w:t xml:space="preserve">” means the natural or legal person, public authority, </w:t>
      </w:r>
      <w:r w:rsidR="00931557" w:rsidRPr="008512BE">
        <w:rPr>
          <w:rFonts w:ascii="Arial" w:hAnsi="Arial" w:cs="Arial"/>
          <w:sz w:val="20"/>
          <w:szCs w:val="20"/>
        </w:rPr>
        <w:t>agency,</w:t>
      </w:r>
      <w:r w:rsidRPr="008512BE">
        <w:rPr>
          <w:rFonts w:ascii="Arial" w:hAnsi="Arial" w:cs="Arial"/>
          <w:sz w:val="20"/>
          <w:szCs w:val="20"/>
        </w:rPr>
        <w:t xml:space="preserve"> or other body which, alone or jointly with others, determines the purposes and means of the processing of personal data; where the purposes and means of such processing are determined by Union or Member State law, the controller or the specific criteria for its nomination may be provided for by Union or Member State law.</w:t>
      </w:r>
    </w:p>
    <w:p w14:paraId="63C17DC1" w14:textId="2F3A85AA" w:rsidR="00931557" w:rsidRPr="008512BE" w:rsidRDefault="00931557" w:rsidP="00EC6870">
      <w:pPr>
        <w:numPr>
          <w:ilvl w:val="1"/>
          <w:numId w:val="56"/>
        </w:numPr>
        <w:spacing w:line="360" w:lineRule="auto"/>
        <w:ind w:left="1134"/>
        <w:jc w:val="both"/>
        <w:rPr>
          <w:rFonts w:ascii="Arial" w:hAnsi="Arial" w:cs="Arial"/>
          <w:b/>
          <w:bCs/>
          <w:sz w:val="20"/>
          <w:szCs w:val="20"/>
        </w:rPr>
      </w:pPr>
      <w:r w:rsidRPr="008512BE">
        <w:rPr>
          <w:rFonts w:ascii="Arial" w:hAnsi="Arial" w:cs="Arial"/>
          <w:b/>
          <w:bCs/>
          <w:sz w:val="20"/>
          <w:szCs w:val="20"/>
        </w:rPr>
        <w:t xml:space="preserve">“Processor” </w:t>
      </w:r>
      <w:r w:rsidRPr="008512BE">
        <w:rPr>
          <w:rFonts w:ascii="Arial" w:hAnsi="Arial" w:cs="Arial"/>
          <w:sz w:val="20"/>
          <w:szCs w:val="20"/>
        </w:rPr>
        <w:t>means a natural or legal person, public authority, agency, or other body which processes personal data on behalf of the controller.</w:t>
      </w:r>
    </w:p>
    <w:p w14:paraId="1B31698B" w14:textId="71D6EF02" w:rsidR="0084697B" w:rsidRPr="008512BE" w:rsidRDefault="00E15336" w:rsidP="2AA1C73E">
      <w:pPr>
        <w:numPr>
          <w:ilvl w:val="1"/>
          <w:numId w:val="56"/>
        </w:numPr>
        <w:spacing w:line="360" w:lineRule="auto"/>
        <w:ind w:left="1134"/>
        <w:jc w:val="both"/>
        <w:rPr>
          <w:rFonts w:ascii="Arial" w:hAnsi="Arial" w:cs="Arial"/>
          <w:sz w:val="20"/>
          <w:szCs w:val="20"/>
        </w:rPr>
      </w:pPr>
      <w:r w:rsidRPr="008512BE">
        <w:rPr>
          <w:rFonts w:ascii="Arial" w:hAnsi="Arial" w:cs="Arial"/>
          <w:sz w:val="20"/>
          <w:szCs w:val="20"/>
        </w:rPr>
        <w:lastRenderedPageBreak/>
        <w:t>“</w:t>
      </w:r>
      <w:r w:rsidRPr="008512BE">
        <w:rPr>
          <w:rFonts w:ascii="Arial" w:hAnsi="Arial" w:cs="Arial"/>
          <w:b/>
          <w:bCs/>
          <w:sz w:val="20"/>
          <w:szCs w:val="20"/>
        </w:rPr>
        <w:t>Sub-processor</w:t>
      </w:r>
      <w:r w:rsidRPr="008512BE">
        <w:rPr>
          <w:rFonts w:ascii="Arial" w:hAnsi="Arial" w:cs="Arial"/>
          <w:sz w:val="20"/>
          <w:szCs w:val="20"/>
        </w:rPr>
        <w:t>” means a processor/ sub-contractor appointed by the Processor for the provision of all or parts of the Services and Processes the Personal Data as provided by the Controller.</w:t>
      </w:r>
    </w:p>
    <w:p w14:paraId="75B4A730" w14:textId="5BE21D68" w:rsidR="00785E60" w:rsidRPr="008512BE" w:rsidRDefault="00E15336" w:rsidP="00503F90">
      <w:pPr>
        <w:numPr>
          <w:ilvl w:val="0"/>
          <w:numId w:val="56"/>
        </w:numPr>
        <w:spacing w:line="360" w:lineRule="auto"/>
        <w:jc w:val="both"/>
        <w:rPr>
          <w:rFonts w:ascii="Arial" w:hAnsi="Arial" w:cs="Arial"/>
          <w:sz w:val="20"/>
          <w:szCs w:val="20"/>
        </w:rPr>
      </w:pPr>
      <w:r w:rsidRPr="008512BE">
        <w:rPr>
          <w:rFonts w:ascii="Arial" w:hAnsi="Arial" w:cs="Arial"/>
          <w:sz w:val="20"/>
          <w:szCs w:val="20"/>
        </w:rPr>
        <w:t xml:space="preserve"> </w:t>
      </w:r>
      <w:r w:rsidRPr="008512BE">
        <w:rPr>
          <w:rFonts w:ascii="Arial" w:hAnsi="Arial" w:cs="Arial"/>
          <w:b/>
          <w:bCs/>
          <w:sz w:val="20"/>
          <w:szCs w:val="20"/>
        </w:rPr>
        <w:t xml:space="preserve">Purpose of this </w:t>
      </w:r>
      <w:r w:rsidR="009B48D7" w:rsidRPr="008512BE">
        <w:rPr>
          <w:rFonts w:ascii="Arial" w:hAnsi="Arial" w:cs="Arial"/>
          <w:b/>
          <w:bCs/>
          <w:sz w:val="20"/>
          <w:szCs w:val="20"/>
        </w:rPr>
        <w:t>Agreement</w:t>
      </w:r>
    </w:p>
    <w:p w14:paraId="53ACB3B5" w14:textId="33DF1C6A" w:rsidR="00785E60" w:rsidRPr="008512BE" w:rsidRDefault="00E15336" w:rsidP="0084697B">
      <w:pPr>
        <w:pStyle w:val="ListParagraph"/>
        <w:spacing w:line="360" w:lineRule="auto"/>
        <w:ind w:left="426"/>
        <w:jc w:val="both"/>
        <w:rPr>
          <w:rFonts w:ascii="Arial" w:hAnsi="Arial" w:cs="Arial"/>
          <w:sz w:val="20"/>
          <w:szCs w:val="20"/>
        </w:rPr>
      </w:pPr>
      <w:r w:rsidRPr="008512BE">
        <w:rPr>
          <w:rFonts w:ascii="Arial" w:hAnsi="Arial" w:cs="Arial"/>
          <w:sz w:val="20"/>
          <w:szCs w:val="20"/>
        </w:rPr>
        <w:t>This DPA sets out various obligations of the Processor in relation to the Processing of Personal Data and shall be limited to the Processor’s obligations under the Agreement. If there is a conflict between the provisions of the Agreement and this DPA, the provisions of this DPA shall prevail.</w:t>
      </w:r>
    </w:p>
    <w:p w14:paraId="6CEFCF30" w14:textId="66872F7B" w:rsidR="00785E60" w:rsidRPr="008512BE" w:rsidRDefault="00E15336" w:rsidP="00503F90">
      <w:pPr>
        <w:numPr>
          <w:ilvl w:val="0"/>
          <w:numId w:val="56"/>
        </w:numPr>
        <w:spacing w:line="360" w:lineRule="auto"/>
        <w:jc w:val="both"/>
        <w:rPr>
          <w:rFonts w:ascii="Arial" w:hAnsi="Arial" w:cs="Arial"/>
          <w:sz w:val="20"/>
          <w:szCs w:val="20"/>
        </w:rPr>
      </w:pPr>
      <w:r w:rsidRPr="008512BE">
        <w:rPr>
          <w:rFonts w:ascii="Arial" w:hAnsi="Arial" w:cs="Arial"/>
          <w:b/>
          <w:bCs/>
          <w:sz w:val="20"/>
          <w:szCs w:val="20"/>
        </w:rPr>
        <w:t>Categories of Personal Data and Data Subjects</w:t>
      </w:r>
      <w:r w:rsidRPr="008512BE">
        <w:rPr>
          <w:rFonts w:ascii="Arial" w:hAnsi="Arial" w:cs="Arial"/>
          <w:sz w:val="20"/>
          <w:szCs w:val="20"/>
        </w:rPr>
        <w:t xml:space="preserve"> </w:t>
      </w:r>
    </w:p>
    <w:p w14:paraId="3A80C346" w14:textId="7271AF04" w:rsidR="0D240B81" w:rsidRPr="008512BE" w:rsidRDefault="0D240B81" w:rsidP="51065457">
      <w:pPr>
        <w:pStyle w:val="ListParagraph"/>
        <w:spacing w:line="360" w:lineRule="auto"/>
        <w:ind w:left="360"/>
        <w:jc w:val="both"/>
        <w:rPr>
          <w:rFonts w:ascii="Arial" w:hAnsi="Arial" w:cs="Arial"/>
          <w:sz w:val="20"/>
          <w:szCs w:val="20"/>
        </w:rPr>
      </w:pPr>
      <w:r w:rsidRPr="008512BE">
        <w:rPr>
          <w:rFonts w:ascii="Arial" w:hAnsi="Arial" w:cs="Arial"/>
          <w:sz w:val="20"/>
          <w:szCs w:val="20"/>
        </w:rPr>
        <w:t xml:space="preserve">The Controller </w:t>
      </w:r>
      <w:r w:rsidR="4BC8F0B2" w:rsidRPr="008512BE">
        <w:rPr>
          <w:rFonts w:ascii="Arial" w:hAnsi="Arial" w:cs="Arial"/>
          <w:sz w:val="20"/>
          <w:szCs w:val="20"/>
        </w:rPr>
        <w:t>authorizes</w:t>
      </w:r>
      <w:r w:rsidRPr="008512BE">
        <w:rPr>
          <w:rFonts w:ascii="Arial" w:hAnsi="Arial" w:cs="Arial"/>
          <w:sz w:val="20"/>
          <w:szCs w:val="20"/>
        </w:rPr>
        <w:t xml:space="preserve"> permission to the Processor to process the Personal Data to the extent of which is determined and regulated by the Controller. </w:t>
      </w:r>
      <w:r w:rsidR="633DCF6A" w:rsidRPr="008512BE">
        <w:rPr>
          <w:rFonts w:ascii="Arial" w:hAnsi="Arial" w:cs="Arial"/>
          <w:sz w:val="20"/>
          <w:szCs w:val="20"/>
        </w:rPr>
        <w:t>The current nature of the Personal Data is specified in A</w:t>
      </w:r>
      <w:r w:rsidR="41BBCEFA" w:rsidRPr="008512BE">
        <w:rPr>
          <w:rFonts w:ascii="Arial" w:hAnsi="Arial" w:cs="Arial"/>
          <w:sz w:val="20"/>
          <w:szCs w:val="20"/>
        </w:rPr>
        <w:t>nne</w:t>
      </w:r>
      <w:r w:rsidR="7AE31D2D" w:rsidRPr="008512BE">
        <w:rPr>
          <w:rFonts w:ascii="Arial" w:hAnsi="Arial" w:cs="Arial"/>
          <w:sz w:val="20"/>
          <w:szCs w:val="20"/>
        </w:rPr>
        <w:t>x</w:t>
      </w:r>
      <w:r w:rsidR="633DCF6A" w:rsidRPr="008512BE">
        <w:rPr>
          <w:rFonts w:ascii="Arial" w:hAnsi="Arial" w:cs="Arial"/>
          <w:sz w:val="20"/>
          <w:szCs w:val="20"/>
        </w:rPr>
        <w:t xml:space="preserve"> </w:t>
      </w:r>
      <w:r w:rsidR="00ED3EC9" w:rsidRPr="008512BE">
        <w:rPr>
          <w:rFonts w:ascii="Arial" w:hAnsi="Arial" w:cs="Arial"/>
          <w:sz w:val="20"/>
          <w:szCs w:val="20"/>
        </w:rPr>
        <w:t>I</w:t>
      </w:r>
      <w:r w:rsidR="633DCF6A" w:rsidRPr="008512BE">
        <w:rPr>
          <w:rFonts w:ascii="Arial" w:hAnsi="Arial" w:cs="Arial"/>
          <w:sz w:val="20"/>
          <w:szCs w:val="20"/>
        </w:rPr>
        <w:t xml:space="preserve"> to Schedule 1 to this DPA.</w:t>
      </w:r>
    </w:p>
    <w:p w14:paraId="48F5A197" w14:textId="7DB1BEF4" w:rsidR="00785E60" w:rsidRPr="008512BE" w:rsidRDefault="00E15336" w:rsidP="00503F90">
      <w:pPr>
        <w:numPr>
          <w:ilvl w:val="0"/>
          <w:numId w:val="56"/>
        </w:numPr>
        <w:spacing w:line="360" w:lineRule="auto"/>
        <w:jc w:val="both"/>
        <w:rPr>
          <w:rFonts w:ascii="Arial" w:hAnsi="Arial" w:cs="Arial"/>
          <w:b/>
          <w:bCs/>
          <w:sz w:val="20"/>
          <w:szCs w:val="20"/>
        </w:rPr>
      </w:pPr>
      <w:r w:rsidRPr="008512BE">
        <w:rPr>
          <w:rFonts w:ascii="Arial" w:hAnsi="Arial" w:cs="Arial"/>
          <w:b/>
          <w:bCs/>
          <w:sz w:val="20"/>
          <w:szCs w:val="20"/>
        </w:rPr>
        <w:t xml:space="preserve">Purpose of Processing </w:t>
      </w:r>
    </w:p>
    <w:p w14:paraId="5EC0F9B1" w14:textId="3007219E" w:rsidR="00E15336" w:rsidRPr="008512BE" w:rsidRDefault="00E15336" w:rsidP="51065457">
      <w:pPr>
        <w:pStyle w:val="ListParagraph"/>
        <w:spacing w:line="360" w:lineRule="auto"/>
        <w:ind w:left="360"/>
        <w:jc w:val="both"/>
        <w:rPr>
          <w:rFonts w:ascii="Arial" w:hAnsi="Arial" w:cs="Arial"/>
          <w:b/>
          <w:bCs/>
          <w:sz w:val="20"/>
          <w:szCs w:val="20"/>
        </w:rPr>
      </w:pPr>
      <w:r w:rsidRPr="008512BE">
        <w:rPr>
          <w:rFonts w:ascii="Arial" w:hAnsi="Arial" w:cs="Arial"/>
          <w:sz w:val="20"/>
          <w:szCs w:val="20"/>
        </w:rPr>
        <w:t xml:space="preserve">The objective of Processing of Personal Data by the Processor shall be limited to the Processor’s provision of the Services to the Controller and or its Client, pursuant to the Agreement. </w:t>
      </w:r>
    </w:p>
    <w:p w14:paraId="3BF9A21F" w14:textId="37644CD9" w:rsidR="00785E60" w:rsidRPr="008512BE" w:rsidRDefault="00E15336" w:rsidP="00503F90">
      <w:pPr>
        <w:numPr>
          <w:ilvl w:val="0"/>
          <w:numId w:val="56"/>
        </w:numPr>
        <w:spacing w:line="360" w:lineRule="auto"/>
        <w:jc w:val="both"/>
        <w:rPr>
          <w:rFonts w:ascii="Arial" w:hAnsi="Arial" w:cs="Arial"/>
          <w:b/>
          <w:bCs/>
          <w:sz w:val="20"/>
          <w:szCs w:val="20"/>
        </w:rPr>
      </w:pPr>
      <w:r w:rsidRPr="008512BE">
        <w:rPr>
          <w:rFonts w:ascii="Arial" w:hAnsi="Arial" w:cs="Arial"/>
          <w:b/>
          <w:bCs/>
          <w:sz w:val="20"/>
          <w:szCs w:val="20"/>
        </w:rPr>
        <w:t xml:space="preserve">Duration of Processing </w:t>
      </w:r>
    </w:p>
    <w:p w14:paraId="0BE20065" w14:textId="157EA3BE" w:rsidR="00E15336" w:rsidRPr="008512BE" w:rsidRDefault="00E15336" w:rsidP="51065457">
      <w:pPr>
        <w:pStyle w:val="ListParagraph"/>
        <w:spacing w:line="360" w:lineRule="auto"/>
        <w:ind w:left="360"/>
        <w:jc w:val="both"/>
        <w:rPr>
          <w:rFonts w:ascii="Arial" w:hAnsi="Arial" w:cs="Arial"/>
          <w:b/>
          <w:bCs/>
          <w:sz w:val="20"/>
          <w:szCs w:val="20"/>
        </w:rPr>
      </w:pPr>
      <w:r w:rsidRPr="008512BE">
        <w:rPr>
          <w:rFonts w:ascii="Arial" w:hAnsi="Arial" w:cs="Arial"/>
          <w:sz w:val="20"/>
          <w:szCs w:val="20"/>
        </w:rPr>
        <w:t>The Processor will Process Personal Data for the duration of the Agreement, unless otherwise agreed upon in writing by the Controller.</w:t>
      </w:r>
    </w:p>
    <w:p w14:paraId="121EB16F" w14:textId="497CEB0D" w:rsidR="51065457" w:rsidRPr="008512BE" w:rsidRDefault="51065457" w:rsidP="51065457">
      <w:pPr>
        <w:pStyle w:val="ListParagraph"/>
        <w:spacing w:line="360" w:lineRule="auto"/>
        <w:ind w:left="360"/>
        <w:jc w:val="both"/>
        <w:rPr>
          <w:rFonts w:ascii="Arial" w:hAnsi="Arial" w:cs="Arial"/>
          <w:sz w:val="20"/>
          <w:szCs w:val="20"/>
        </w:rPr>
      </w:pPr>
    </w:p>
    <w:p w14:paraId="41C42981" w14:textId="0594C633" w:rsidR="24B546D4" w:rsidRPr="008512BE" w:rsidRDefault="24B546D4" w:rsidP="51065457">
      <w:pPr>
        <w:pStyle w:val="ListParagraph"/>
        <w:numPr>
          <w:ilvl w:val="0"/>
          <w:numId w:val="56"/>
        </w:numPr>
        <w:spacing w:line="360" w:lineRule="auto"/>
        <w:jc w:val="both"/>
        <w:rPr>
          <w:rFonts w:ascii="Arial" w:hAnsi="Arial" w:cs="Arial"/>
          <w:b/>
          <w:bCs/>
          <w:sz w:val="20"/>
          <w:szCs w:val="20"/>
        </w:rPr>
      </w:pPr>
      <w:r w:rsidRPr="008512BE">
        <w:rPr>
          <w:rFonts w:ascii="Arial" w:hAnsi="Arial" w:cs="Arial"/>
          <w:b/>
          <w:bCs/>
          <w:sz w:val="20"/>
          <w:szCs w:val="20"/>
        </w:rPr>
        <w:t>Data Controller’s Obligations</w:t>
      </w:r>
    </w:p>
    <w:p w14:paraId="5FA234EF" w14:textId="5AAB0D07" w:rsidR="24B546D4" w:rsidRPr="008512BE" w:rsidRDefault="24B546D4" w:rsidP="51065457">
      <w:pPr>
        <w:pStyle w:val="ListParagraph"/>
        <w:numPr>
          <w:ilvl w:val="1"/>
          <w:numId w:val="56"/>
        </w:numPr>
        <w:spacing w:line="360" w:lineRule="auto"/>
        <w:jc w:val="both"/>
        <w:rPr>
          <w:rFonts w:ascii="Arial" w:hAnsi="Arial" w:cs="Arial"/>
          <w:sz w:val="20"/>
          <w:szCs w:val="20"/>
        </w:rPr>
      </w:pPr>
      <w:r w:rsidRPr="008512BE">
        <w:rPr>
          <w:rFonts w:ascii="Arial" w:hAnsi="Arial" w:cs="Arial"/>
          <w:sz w:val="20"/>
          <w:szCs w:val="20"/>
        </w:rPr>
        <w:t>The Data Controller shall warrant that it has all necessary rights to provide the Personal Data to the Data Processor for the Processing to be performed in relation to the agreed services. To the extent required by Data Privacy L</w:t>
      </w:r>
      <w:r w:rsidR="00AD2283">
        <w:rPr>
          <w:rFonts w:ascii="Arial" w:hAnsi="Arial" w:cs="Arial"/>
          <w:sz w:val="20"/>
          <w:szCs w:val="20"/>
        </w:rPr>
        <w:t>Azure</w:t>
      </w:r>
      <w:r w:rsidRPr="008512BE">
        <w:rPr>
          <w:rFonts w:ascii="Arial" w:hAnsi="Arial" w:cs="Arial"/>
          <w:sz w:val="20"/>
          <w:szCs w:val="20"/>
        </w:rPr>
        <w:t xml:space="preserve">, Data Controller is responsible for ensuring that it provides such Personal Data to Data Processor based on an appropriate legal basis allowing lawful processing activities, including any necessary Data Subject consents to this Processing are obtained, and for ensuring that a record of such consents is maintained. Should such consent be revoked by the Data Subject, the Data Controller is responsible for communicating the fact of such revocation to the Data Processor. </w:t>
      </w:r>
    </w:p>
    <w:p w14:paraId="571EA035" w14:textId="6D195DB6" w:rsidR="24B546D4" w:rsidRPr="008512BE" w:rsidRDefault="24B546D4" w:rsidP="51065457">
      <w:pPr>
        <w:pStyle w:val="ListParagraph"/>
        <w:numPr>
          <w:ilvl w:val="1"/>
          <w:numId w:val="56"/>
        </w:numPr>
        <w:spacing w:line="360" w:lineRule="auto"/>
        <w:jc w:val="both"/>
        <w:rPr>
          <w:rFonts w:ascii="Arial" w:hAnsi="Arial" w:cs="Arial"/>
          <w:sz w:val="20"/>
          <w:szCs w:val="20"/>
        </w:rPr>
      </w:pPr>
      <w:r w:rsidRPr="008512BE">
        <w:rPr>
          <w:rFonts w:ascii="Arial" w:hAnsi="Arial" w:cs="Arial"/>
          <w:sz w:val="20"/>
          <w:szCs w:val="20"/>
        </w:rPr>
        <w:t xml:space="preserve">The Data Controller shall provide all natural persons from whom it collects Personal Data with the relevant privacy notice. </w:t>
      </w:r>
    </w:p>
    <w:p w14:paraId="388BA2EE" w14:textId="566ED604" w:rsidR="24B546D4" w:rsidRPr="008512BE" w:rsidRDefault="24B546D4" w:rsidP="51065457">
      <w:pPr>
        <w:pStyle w:val="ListParagraph"/>
        <w:numPr>
          <w:ilvl w:val="1"/>
          <w:numId w:val="56"/>
        </w:numPr>
        <w:spacing w:line="360" w:lineRule="auto"/>
        <w:jc w:val="both"/>
        <w:rPr>
          <w:rFonts w:ascii="Arial" w:hAnsi="Arial" w:cs="Arial"/>
          <w:sz w:val="20"/>
          <w:szCs w:val="20"/>
        </w:rPr>
      </w:pPr>
      <w:r w:rsidRPr="008512BE">
        <w:rPr>
          <w:rFonts w:ascii="Arial" w:hAnsi="Arial" w:cs="Arial"/>
          <w:sz w:val="20"/>
          <w:szCs w:val="20"/>
        </w:rPr>
        <w:t xml:space="preserve">The Data Controller shall request the Data Processor to purge Personal Data when required by the Data Controller or any Data Subject whom it collects Personal Data unless the Data Processor is otherwise required to retain the Personal Data by applicable law. </w:t>
      </w:r>
    </w:p>
    <w:p w14:paraId="1665A51A" w14:textId="4E0231BD" w:rsidR="24B546D4" w:rsidRPr="008512BE" w:rsidRDefault="24B546D4" w:rsidP="51065457">
      <w:pPr>
        <w:pStyle w:val="ListParagraph"/>
        <w:numPr>
          <w:ilvl w:val="1"/>
          <w:numId w:val="56"/>
        </w:numPr>
        <w:spacing w:line="360" w:lineRule="auto"/>
        <w:jc w:val="both"/>
        <w:rPr>
          <w:rFonts w:ascii="Arial" w:hAnsi="Arial" w:cs="Arial"/>
          <w:sz w:val="20"/>
          <w:szCs w:val="20"/>
        </w:rPr>
      </w:pPr>
      <w:r w:rsidRPr="008512BE">
        <w:rPr>
          <w:rFonts w:ascii="Arial" w:hAnsi="Arial" w:cs="Arial"/>
          <w:sz w:val="20"/>
          <w:szCs w:val="20"/>
        </w:rPr>
        <w:t xml:space="preserve">The Data Controller shall immediately advise the Data Processor in writing if it receives or learns of any: </w:t>
      </w:r>
    </w:p>
    <w:p w14:paraId="34A6EF38" w14:textId="2D266DC6" w:rsidR="269F16E1" w:rsidRPr="008512BE" w:rsidRDefault="269F16E1" w:rsidP="51065457">
      <w:pPr>
        <w:pStyle w:val="ListParagraph"/>
        <w:numPr>
          <w:ilvl w:val="2"/>
          <w:numId w:val="56"/>
        </w:numPr>
        <w:spacing w:line="360" w:lineRule="auto"/>
        <w:jc w:val="both"/>
        <w:rPr>
          <w:rFonts w:ascii="Arial" w:hAnsi="Arial" w:cs="Arial"/>
          <w:sz w:val="20"/>
          <w:szCs w:val="20"/>
        </w:rPr>
      </w:pPr>
      <w:r w:rsidRPr="008512BE">
        <w:rPr>
          <w:rFonts w:ascii="Arial" w:hAnsi="Arial" w:cs="Arial"/>
          <w:sz w:val="20"/>
          <w:szCs w:val="20"/>
        </w:rPr>
        <w:lastRenderedPageBreak/>
        <w:t xml:space="preserve"> </w:t>
      </w:r>
      <w:r w:rsidR="00DB8AC8" w:rsidRPr="008512BE">
        <w:rPr>
          <w:rFonts w:ascii="Arial" w:hAnsi="Arial" w:cs="Arial"/>
          <w:sz w:val="20"/>
          <w:szCs w:val="20"/>
        </w:rPr>
        <w:t>C</w:t>
      </w:r>
      <w:r w:rsidR="24B546D4" w:rsidRPr="008512BE">
        <w:rPr>
          <w:rFonts w:ascii="Arial" w:hAnsi="Arial" w:cs="Arial"/>
          <w:sz w:val="20"/>
          <w:szCs w:val="20"/>
        </w:rPr>
        <w:t>omplaint or allegation indicating a violation of Data Privacy L</w:t>
      </w:r>
      <w:r w:rsidR="00AD2283">
        <w:rPr>
          <w:rFonts w:ascii="Arial" w:hAnsi="Arial" w:cs="Arial"/>
          <w:sz w:val="20"/>
          <w:szCs w:val="20"/>
        </w:rPr>
        <w:t>Azure</w:t>
      </w:r>
      <w:r w:rsidR="24B546D4" w:rsidRPr="008512BE">
        <w:rPr>
          <w:rFonts w:ascii="Arial" w:hAnsi="Arial" w:cs="Arial"/>
          <w:sz w:val="20"/>
          <w:szCs w:val="20"/>
        </w:rPr>
        <w:t xml:space="preserve"> regarding Personal Data;</w:t>
      </w:r>
    </w:p>
    <w:p w14:paraId="77BE5836" w14:textId="61A1ED1D" w:rsidR="1B9DA54D" w:rsidRPr="008512BE" w:rsidRDefault="1B9DA54D" w:rsidP="51065457">
      <w:pPr>
        <w:pStyle w:val="ListParagraph"/>
        <w:numPr>
          <w:ilvl w:val="2"/>
          <w:numId w:val="56"/>
        </w:numPr>
        <w:spacing w:line="360" w:lineRule="auto"/>
        <w:jc w:val="both"/>
        <w:rPr>
          <w:rFonts w:ascii="Arial" w:hAnsi="Arial" w:cs="Arial"/>
          <w:sz w:val="20"/>
          <w:szCs w:val="20"/>
        </w:rPr>
      </w:pPr>
      <w:r w:rsidRPr="008512BE">
        <w:rPr>
          <w:rFonts w:ascii="Arial" w:hAnsi="Arial" w:cs="Arial"/>
          <w:sz w:val="20"/>
          <w:szCs w:val="20"/>
        </w:rPr>
        <w:t xml:space="preserve"> </w:t>
      </w:r>
      <w:r w:rsidR="36069ECE" w:rsidRPr="008512BE">
        <w:rPr>
          <w:rFonts w:ascii="Arial" w:hAnsi="Arial" w:cs="Arial"/>
          <w:sz w:val="20"/>
          <w:szCs w:val="20"/>
        </w:rPr>
        <w:t>R</w:t>
      </w:r>
      <w:r w:rsidR="24B546D4" w:rsidRPr="008512BE">
        <w:rPr>
          <w:rFonts w:ascii="Arial" w:hAnsi="Arial" w:cs="Arial"/>
          <w:sz w:val="20"/>
          <w:szCs w:val="20"/>
        </w:rPr>
        <w:t xml:space="preserve">equest from one or more individuals seeking to access, correct, or delete Personal Data; </w:t>
      </w:r>
    </w:p>
    <w:p w14:paraId="0BEE3194" w14:textId="1C8527AF" w:rsidR="1B9DA54D" w:rsidRPr="008512BE" w:rsidRDefault="1B9DA54D" w:rsidP="51065457">
      <w:pPr>
        <w:pStyle w:val="ListParagraph"/>
        <w:numPr>
          <w:ilvl w:val="2"/>
          <w:numId w:val="56"/>
        </w:numPr>
        <w:spacing w:line="360" w:lineRule="auto"/>
        <w:jc w:val="both"/>
        <w:rPr>
          <w:rFonts w:ascii="Arial" w:hAnsi="Arial" w:cs="Arial"/>
          <w:sz w:val="20"/>
          <w:szCs w:val="20"/>
        </w:rPr>
      </w:pPr>
      <w:r w:rsidRPr="008512BE">
        <w:rPr>
          <w:rFonts w:ascii="Arial" w:hAnsi="Arial" w:cs="Arial"/>
          <w:sz w:val="20"/>
          <w:szCs w:val="20"/>
        </w:rPr>
        <w:t xml:space="preserve"> </w:t>
      </w:r>
      <w:r w:rsidR="35D35854" w:rsidRPr="008512BE">
        <w:rPr>
          <w:rFonts w:ascii="Arial" w:hAnsi="Arial" w:cs="Arial"/>
          <w:sz w:val="20"/>
          <w:szCs w:val="20"/>
        </w:rPr>
        <w:t>I</w:t>
      </w:r>
      <w:r w:rsidR="24B546D4" w:rsidRPr="008512BE">
        <w:rPr>
          <w:rFonts w:ascii="Arial" w:hAnsi="Arial" w:cs="Arial"/>
          <w:sz w:val="20"/>
          <w:szCs w:val="20"/>
        </w:rPr>
        <w:t xml:space="preserve">nquiry or complaint from one or more individuals relating to the collection, processing, use, or transfer of Personal Data; and </w:t>
      </w:r>
    </w:p>
    <w:p w14:paraId="61E02748" w14:textId="4D0E2D7F" w:rsidR="52F21EF2" w:rsidRPr="008512BE" w:rsidRDefault="52F21EF2" w:rsidP="51065457">
      <w:pPr>
        <w:pStyle w:val="ListParagraph"/>
        <w:numPr>
          <w:ilvl w:val="2"/>
          <w:numId w:val="56"/>
        </w:numPr>
        <w:spacing w:line="360" w:lineRule="auto"/>
        <w:jc w:val="both"/>
        <w:rPr>
          <w:rFonts w:ascii="Arial" w:hAnsi="Arial" w:cs="Arial"/>
          <w:sz w:val="20"/>
          <w:szCs w:val="20"/>
        </w:rPr>
      </w:pPr>
      <w:r w:rsidRPr="008512BE">
        <w:rPr>
          <w:rFonts w:ascii="Arial" w:hAnsi="Arial" w:cs="Arial"/>
          <w:sz w:val="20"/>
          <w:szCs w:val="20"/>
        </w:rPr>
        <w:t xml:space="preserve"> </w:t>
      </w:r>
      <w:r w:rsidR="2B43EBC2" w:rsidRPr="008512BE">
        <w:rPr>
          <w:rFonts w:ascii="Arial" w:hAnsi="Arial" w:cs="Arial"/>
          <w:sz w:val="20"/>
          <w:szCs w:val="20"/>
        </w:rPr>
        <w:t>A</w:t>
      </w:r>
      <w:r w:rsidR="24B546D4" w:rsidRPr="008512BE">
        <w:rPr>
          <w:rFonts w:ascii="Arial" w:hAnsi="Arial" w:cs="Arial"/>
          <w:sz w:val="20"/>
          <w:szCs w:val="20"/>
        </w:rPr>
        <w:t>ny regulatory request, search warrant, or other legal, regulatory, administrative, or governmental process seeking Personal Data</w:t>
      </w:r>
    </w:p>
    <w:p w14:paraId="781CD97A" w14:textId="2882B67A" w:rsidR="00785E60" w:rsidRPr="008512BE" w:rsidRDefault="00A42DA8" w:rsidP="00503F90">
      <w:pPr>
        <w:numPr>
          <w:ilvl w:val="0"/>
          <w:numId w:val="56"/>
        </w:numPr>
        <w:spacing w:line="360" w:lineRule="auto"/>
        <w:jc w:val="both"/>
        <w:rPr>
          <w:rFonts w:ascii="Arial" w:hAnsi="Arial" w:cs="Arial"/>
          <w:sz w:val="20"/>
          <w:szCs w:val="20"/>
        </w:rPr>
      </w:pPr>
      <w:r w:rsidRPr="008512BE">
        <w:rPr>
          <w:rFonts w:ascii="Arial" w:hAnsi="Arial" w:cs="Arial"/>
          <w:b/>
          <w:bCs/>
          <w:sz w:val="20"/>
          <w:szCs w:val="20"/>
        </w:rPr>
        <w:t>Data</w:t>
      </w:r>
      <w:r w:rsidR="00E15336" w:rsidRPr="008512BE">
        <w:rPr>
          <w:rFonts w:ascii="Arial" w:hAnsi="Arial" w:cs="Arial"/>
          <w:b/>
          <w:bCs/>
          <w:sz w:val="20"/>
          <w:szCs w:val="20"/>
        </w:rPr>
        <w:t xml:space="preserve"> Processor’s </w:t>
      </w:r>
      <w:r w:rsidRPr="008512BE">
        <w:rPr>
          <w:rFonts w:ascii="Arial" w:hAnsi="Arial" w:cs="Arial"/>
          <w:b/>
          <w:bCs/>
          <w:sz w:val="20"/>
          <w:szCs w:val="20"/>
        </w:rPr>
        <w:t>O</w:t>
      </w:r>
      <w:r w:rsidR="00E15336" w:rsidRPr="008512BE">
        <w:rPr>
          <w:rFonts w:ascii="Arial" w:hAnsi="Arial" w:cs="Arial"/>
          <w:b/>
          <w:bCs/>
          <w:sz w:val="20"/>
          <w:szCs w:val="20"/>
        </w:rPr>
        <w:t>bligations</w:t>
      </w:r>
    </w:p>
    <w:p w14:paraId="05D02398" w14:textId="65D0EEEB" w:rsidR="00785E60" w:rsidRPr="008512BE" w:rsidRDefault="00E15336" w:rsidP="00D93DBB">
      <w:pPr>
        <w:numPr>
          <w:ilvl w:val="1"/>
          <w:numId w:val="56"/>
        </w:numPr>
        <w:spacing w:line="360" w:lineRule="auto"/>
        <w:ind w:left="851"/>
        <w:jc w:val="both"/>
        <w:rPr>
          <w:rFonts w:ascii="Arial" w:hAnsi="Arial" w:cs="Arial"/>
          <w:sz w:val="20"/>
          <w:szCs w:val="20"/>
        </w:rPr>
      </w:pPr>
      <w:r w:rsidRPr="008512BE">
        <w:rPr>
          <w:rFonts w:ascii="Arial" w:hAnsi="Arial" w:cs="Arial"/>
          <w:sz w:val="20"/>
          <w:szCs w:val="20"/>
        </w:rPr>
        <w:t>The Processor will follow written and documented instructions received, including email, from the Controller, its affiliate, agents, or personnel, with respect to the Processing of Personal Data (each, an “</w:t>
      </w:r>
      <w:r w:rsidRPr="008512BE">
        <w:rPr>
          <w:rFonts w:ascii="Arial" w:hAnsi="Arial" w:cs="Arial"/>
          <w:b/>
          <w:bCs/>
          <w:sz w:val="20"/>
          <w:szCs w:val="20"/>
        </w:rPr>
        <w:t>Instruction</w:t>
      </w:r>
      <w:r w:rsidRPr="008512BE">
        <w:rPr>
          <w:rFonts w:ascii="Arial" w:hAnsi="Arial" w:cs="Arial"/>
          <w:sz w:val="20"/>
          <w:szCs w:val="20"/>
        </w:rPr>
        <w:t>”).</w:t>
      </w:r>
    </w:p>
    <w:p w14:paraId="1CF244E1" w14:textId="77777777" w:rsidR="00785E60" w:rsidRPr="008512BE" w:rsidRDefault="00E15336" w:rsidP="00D93DBB">
      <w:pPr>
        <w:numPr>
          <w:ilvl w:val="1"/>
          <w:numId w:val="56"/>
        </w:numPr>
        <w:spacing w:line="360" w:lineRule="auto"/>
        <w:ind w:left="851"/>
        <w:jc w:val="both"/>
        <w:rPr>
          <w:rFonts w:ascii="Arial" w:hAnsi="Arial" w:cs="Arial"/>
          <w:sz w:val="20"/>
          <w:szCs w:val="20"/>
        </w:rPr>
      </w:pPr>
      <w:r w:rsidRPr="008512BE">
        <w:rPr>
          <w:rFonts w:ascii="Arial" w:hAnsi="Arial" w:cs="Arial"/>
          <w:sz w:val="20"/>
          <w:szCs w:val="20"/>
        </w:rPr>
        <w:t>The Processing described in the Agreement and the relating documentation shall be considered as Instruction from the Controller.</w:t>
      </w:r>
    </w:p>
    <w:p w14:paraId="1946302B" w14:textId="440DC512" w:rsidR="7BEC2151" w:rsidRPr="008512BE" w:rsidRDefault="7BEC2151" w:rsidP="51065457">
      <w:pPr>
        <w:numPr>
          <w:ilvl w:val="1"/>
          <w:numId w:val="56"/>
        </w:numPr>
        <w:spacing w:line="360" w:lineRule="auto"/>
        <w:ind w:left="851"/>
        <w:jc w:val="both"/>
        <w:rPr>
          <w:rFonts w:ascii="Arial" w:hAnsi="Arial" w:cs="Arial"/>
          <w:sz w:val="20"/>
          <w:szCs w:val="20"/>
        </w:rPr>
      </w:pPr>
      <w:r w:rsidRPr="008512BE">
        <w:rPr>
          <w:rFonts w:ascii="Arial" w:hAnsi="Arial" w:cs="Arial"/>
          <w:sz w:val="20"/>
          <w:szCs w:val="20"/>
        </w:rPr>
        <w:t xml:space="preserve">At the Data Controller’s request, the Data Processor will provide reasonable assistance to the Data Controller in responding to/ complying with requests/ directions by Data Subject in exercising their rights or of the applicable regulatory authorities regarding Data Processor’s Processing of Personal Data. </w:t>
      </w:r>
    </w:p>
    <w:p w14:paraId="64F796B3" w14:textId="69F46BCB" w:rsidR="7BEC2151" w:rsidRPr="008512BE" w:rsidRDefault="7BEC2151" w:rsidP="51065457">
      <w:pPr>
        <w:numPr>
          <w:ilvl w:val="1"/>
          <w:numId w:val="56"/>
        </w:numPr>
        <w:spacing w:line="360" w:lineRule="auto"/>
        <w:ind w:left="851"/>
        <w:jc w:val="both"/>
        <w:rPr>
          <w:rFonts w:ascii="Arial" w:hAnsi="Arial" w:cs="Arial"/>
          <w:sz w:val="20"/>
          <w:szCs w:val="20"/>
        </w:rPr>
      </w:pPr>
      <w:r w:rsidRPr="008512BE">
        <w:rPr>
          <w:rFonts w:ascii="Arial" w:hAnsi="Arial" w:cs="Arial"/>
          <w:sz w:val="20"/>
          <w:szCs w:val="20"/>
        </w:rPr>
        <w:t>In relation to the Personal Data, Data Processor shall obtain consent (where necessary) and/or provide notice to the Data Subject in accordance with Data Protection L</w:t>
      </w:r>
      <w:r w:rsidR="00AD2283">
        <w:rPr>
          <w:rFonts w:ascii="Arial" w:hAnsi="Arial" w:cs="Arial"/>
          <w:sz w:val="20"/>
          <w:szCs w:val="20"/>
        </w:rPr>
        <w:t>Azure</w:t>
      </w:r>
      <w:r w:rsidRPr="008512BE">
        <w:rPr>
          <w:rFonts w:ascii="Arial" w:hAnsi="Arial" w:cs="Arial"/>
          <w:sz w:val="20"/>
          <w:szCs w:val="20"/>
        </w:rPr>
        <w:t xml:space="preserve"> to enable shared Personal Data to be provided to, and used by, the other Party as contemplated by this Agreement. </w:t>
      </w:r>
    </w:p>
    <w:p w14:paraId="380F3415" w14:textId="62CBF473" w:rsidR="7BEC2151" w:rsidRPr="008512BE" w:rsidRDefault="7BEC2151" w:rsidP="51065457">
      <w:pPr>
        <w:numPr>
          <w:ilvl w:val="1"/>
          <w:numId w:val="56"/>
        </w:numPr>
        <w:spacing w:line="360" w:lineRule="auto"/>
        <w:ind w:left="851"/>
        <w:jc w:val="both"/>
        <w:rPr>
          <w:rFonts w:ascii="Arial" w:hAnsi="Arial" w:cs="Arial"/>
          <w:sz w:val="20"/>
          <w:szCs w:val="20"/>
        </w:rPr>
      </w:pPr>
      <w:r w:rsidRPr="008512BE">
        <w:rPr>
          <w:rFonts w:ascii="Arial" w:hAnsi="Arial" w:cs="Arial"/>
          <w:sz w:val="20"/>
          <w:szCs w:val="20"/>
        </w:rPr>
        <w:t>Where shared Personal Data is transferred outside the Data Processor’s territorial boundaries, the transferor shall ensure that the recipient of such data is under contractual obligations to protect such Personal Data to the same or higher standards as those imposed under this Addendum and the Data Protection L</w:t>
      </w:r>
      <w:r w:rsidR="00AD2283">
        <w:rPr>
          <w:rFonts w:ascii="Arial" w:hAnsi="Arial" w:cs="Arial"/>
          <w:sz w:val="20"/>
          <w:szCs w:val="20"/>
        </w:rPr>
        <w:t>Azure</w:t>
      </w:r>
      <w:r w:rsidRPr="008512BE">
        <w:rPr>
          <w:rFonts w:ascii="Arial" w:hAnsi="Arial" w:cs="Arial"/>
          <w:sz w:val="20"/>
          <w:szCs w:val="20"/>
        </w:rPr>
        <w:t>.</w:t>
      </w:r>
    </w:p>
    <w:p w14:paraId="1424DD7C" w14:textId="786DA7C4" w:rsidR="00785E60" w:rsidRPr="008512BE" w:rsidRDefault="00E15336" w:rsidP="00503F90">
      <w:pPr>
        <w:numPr>
          <w:ilvl w:val="0"/>
          <w:numId w:val="56"/>
        </w:numPr>
        <w:spacing w:line="360" w:lineRule="auto"/>
        <w:jc w:val="both"/>
        <w:rPr>
          <w:rFonts w:ascii="Arial" w:hAnsi="Arial" w:cs="Arial"/>
          <w:sz w:val="20"/>
          <w:szCs w:val="20"/>
        </w:rPr>
      </w:pPr>
      <w:r w:rsidRPr="008512BE">
        <w:rPr>
          <w:rFonts w:ascii="Arial" w:hAnsi="Arial" w:cs="Arial"/>
          <w:b/>
          <w:bCs/>
          <w:sz w:val="20"/>
          <w:szCs w:val="20"/>
        </w:rPr>
        <w:t>Data Secrecy</w:t>
      </w:r>
    </w:p>
    <w:p w14:paraId="0A3C030E" w14:textId="25B5DB73" w:rsidR="00785E60" w:rsidRPr="008512BE" w:rsidRDefault="00E15336" w:rsidP="00D93DBB">
      <w:pPr>
        <w:pStyle w:val="ListParagraph"/>
        <w:numPr>
          <w:ilvl w:val="1"/>
          <w:numId w:val="56"/>
        </w:numPr>
        <w:spacing w:line="360" w:lineRule="auto"/>
        <w:ind w:left="851"/>
        <w:jc w:val="both"/>
        <w:rPr>
          <w:rFonts w:ascii="Arial" w:eastAsia="Arial" w:hAnsi="Arial" w:cs="Arial"/>
          <w:color w:val="000000" w:themeColor="text1"/>
          <w:sz w:val="20"/>
          <w:szCs w:val="20"/>
        </w:rPr>
      </w:pPr>
      <w:r w:rsidRPr="008512BE">
        <w:rPr>
          <w:rFonts w:ascii="Arial" w:eastAsia="Arial" w:hAnsi="Arial" w:cs="Arial"/>
          <w:color w:val="000000" w:themeColor="text1"/>
          <w:sz w:val="20"/>
          <w:szCs w:val="20"/>
        </w:rPr>
        <w:t>To Process the Personal Data, the Processor will use personnel who are</w:t>
      </w:r>
    </w:p>
    <w:p w14:paraId="3348078B" w14:textId="4EF3D059" w:rsidR="00785E60" w:rsidRPr="008512BE" w:rsidRDefault="00EC6870" w:rsidP="00D93DBB">
      <w:pPr>
        <w:pStyle w:val="ListParagraph"/>
        <w:numPr>
          <w:ilvl w:val="2"/>
          <w:numId w:val="56"/>
        </w:numPr>
        <w:spacing w:line="360" w:lineRule="auto"/>
        <w:ind w:left="1701"/>
        <w:jc w:val="both"/>
        <w:rPr>
          <w:rFonts w:ascii="Arial" w:eastAsia="Arial" w:hAnsi="Arial" w:cs="Arial"/>
          <w:color w:val="000000" w:themeColor="text1"/>
          <w:sz w:val="20"/>
          <w:szCs w:val="20"/>
        </w:rPr>
      </w:pPr>
      <w:r w:rsidRPr="008512BE">
        <w:rPr>
          <w:rFonts w:ascii="Arial" w:eastAsia="Arial" w:hAnsi="Arial" w:cs="Arial"/>
          <w:color w:val="000000" w:themeColor="text1"/>
          <w:sz w:val="20"/>
          <w:szCs w:val="20"/>
        </w:rPr>
        <w:t xml:space="preserve"> </w:t>
      </w:r>
      <w:r w:rsidR="000E6B97" w:rsidRPr="008512BE">
        <w:rPr>
          <w:rFonts w:ascii="Arial" w:eastAsia="Arial" w:hAnsi="Arial" w:cs="Arial"/>
          <w:color w:val="000000" w:themeColor="text1"/>
          <w:sz w:val="20"/>
          <w:szCs w:val="20"/>
        </w:rPr>
        <w:t>I</w:t>
      </w:r>
      <w:r w:rsidR="00E15336" w:rsidRPr="008512BE">
        <w:rPr>
          <w:rFonts w:ascii="Arial" w:eastAsia="Arial" w:hAnsi="Arial" w:cs="Arial"/>
          <w:color w:val="000000" w:themeColor="text1"/>
          <w:sz w:val="20"/>
          <w:szCs w:val="20"/>
        </w:rPr>
        <w:t xml:space="preserve">nformed of the confidential nature of the Personal Data, </w:t>
      </w:r>
      <w:r w:rsidR="7B9125D9" w:rsidRPr="008512BE">
        <w:rPr>
          <w:rFonts w:ascii="Arial" w:eastAsia="Arial" w:hAnsi="Arial" w:cs="Arial"/>
          <w:color w:val="000000" w:themeColor="text1"/>
          <w:sz w:val="20"/>
          <w:szCs w:val="20"/>
        </w:rPr>
        <w:t xml:space="preserve">and </w:t>
      </w:r>
    </w:p>
    <w:p w14:paraId="705706B1" w14:textId="06AC3307" w:rsidR="00785E60" w:rsidRPr="008512BE" w:rsidRDefault="00EC6870" w:rsidP="00D93DBB">
      <w:pPr>
        <w:pStyle w:val="ListParagraph"/>
        <w:numPr>
          <w:ilvl w:val="2"/>
          <w:numId w:val="56"/>
        </w:numPr>
        <w:spacing w:line="360" w:lineRule="auto"/>
        <w:ind w:left="1701"/>
        <w:jc w:val="both"/>
        <w:rPr>
          <w:rFonts w:ascii="Arial" w:eastAsia="Arial" w:hAnsi="Arial" w:cs="Arial"/>
          <w:color w:val="000000" w:themeColor="text1"/>
          <w:sz w:val="20"/>
          <w:szCs w:val="20"/>
        </w:rPr>
      </w:pPr>
      <w:r w:rsidRPr="008512BE">
        <w:rPr>
          <w:rFonts w:ascii="Arial" w:eastAsia="Arial" w:hAnsi="Arial" w:cs="Arial"/>
          <w:color w:val="000000" w:themeColor="text1"/>
          <w:sz w:val="20"/>
          <w:szCs w:val="20"/>
        </w:rPr>
        <w:t xml:space="preserve"> </w:t>
      </w:r>
      <w:r w:rsidR="000E6B97" w:rsidRPr="008512BE">
        <w:rPr>
          <w:rFonts w:ascii="Arial" w:eastAsia="Arial" w:hAnsi="Arial" w:cs="Arial"/>
          <w:color w:val="000000" w:themeColor="text1"/>
          <w:sz w:val="20"/>
          <w:szCs w:val="20"/>
        </w:rPr>
        <w:t>P</w:t>
      </w:r>
      <w:r w:rsidR="7B9125D9" w:rsidRPr="008512BE">
        <w:rPr>
          <w:rFonts w:ascii="Arial" w:eastAsia="Arial" w:hAnsi="Arial" w:cs="Arial"/>
          <w:color w:val="000000" w:themeColor="text1"/>
          <w:sz w:val="20"/>
          <w:szCs w:val="20"/>
        </w:rPr>
        <w:t>erform</w:t>
      </w:r>
      <w:r w:rsidR="00E15336" w:rsidRPr="008512BE">
        <w:rPr>
          <w:rFonts w:ascii="Arial" w:eastAsia="Arial" w:hAnsi="Arial" w:cs="Arial"/>
          <w:color w:val="000000" w:themeColor="text1"/>
          <w:sz w:val="20"/>
          <w:szCs w:val="20"/>
        </w:rPr>
        <w:t xml:space="preserve"> the Services in accordance with the Agreement.</w:t>
      </w:r>
    </w:p>
    <w:p w14:paraId="21A951EC" w14:textId="7C874811" w:rsidR="00785E60" w:rsidRPr="008512BE" w:rsidRDefault="00E15336" w:rsidP="00D93DBB">
      <w:pPr>
        <w:pStyle w:val="ListParagraph"/>
        <w:numPr>
          <w:ilvl w:val="1"/>
          <w:numId w:val="56"/>
        </w:numPr>
        <w:spacing w:line="360" w:lineRule="auto"/>
        <w:ind w:left="851"/>
        <w:jc w:val="both"/>
        <w:rPr>
          <w:rFonts w:ascii="Arial" w:eastAsia="Arial" w:hAnsi="Arial" w:cs="Arial"/>
          <w:color w:val="000000" w:themeColor="text1"/>
          <w:sz w:val="20"/>
          <w:szCs w:val="20"/>
        </w:rPr>
      </w:pPr>
      <w:r w:rsidRPr="008512BE">
        <w:rPr>
          <w:rFonts w:ascii="Arial" w:eastAsia="Arial" w:hAnsi="Arial" w:cs="Arial"/>
          <w:color w:val="000000" w:themeColor="text1"/>
          <w:sz w:val="20"/>
          <w:szCs w:val="20"/>
        </w:rPr>
        <w:t>The Processor will regularly train individuals having access to Personal Data in data security and data privacy in accordance with accepted industry practice and shall ensure that all the Personal Data is kept strictly confidential.</w:t>
      </w:r>
    </w:p>
    <w:p w14:paraId="0614AA2C" w14:textId="3DA3F8E1" w:rsidR="00785E60" w:rsidRPr="008512BE" w:rsidRDefault="7B9125D9" w:rsidP="2AA1C73E">
      <w:pPr>
        <w:pStyle w:val="ListParagraph"/>
        <w:numPr>
          <w:ilvl w:val="1"/>
          <w:numId w:val="56"/>
        </w:numPr>
        <w:spacing w:line="360" w:lineRule="auto"/>
        <w:ind w:left="851"/>
        <w:jc w:val="both"/>
        <w:rPr>
          <w:rFonts w:ascii="Arial" w:eastAsia="Arial" w:hAnsi="Arial" w:cs="Arial"/>
          <w:color w:val="000000" w:themeColor="text1"/>
          <w:sz w:val="20"/>
          <w:szCs w:val="20"/>
        </w:rPr>
      </w:pPr>
      <w:r w:rsidRPr="008512BE">
        <w:rPr>
          <w:rFonts w:ascii="Arial" w:eastAsia="Arial" w:hAnsi="Arial" w:cs="Arial"/>
          <w:color w:val="000000" w:themeColor="text1"/>
          <w:sz w:val="20"/>
          <w:szCs w:val="20"/>
        </w:rPr>
        <w:t>The</w:t>
      </w:r>
      <w:r w:rsidR="00E15336" w:rsidRPr="008512BE">
        <w:rPr>
          <w:rFonts w:ascii="Arial" w:eastAsia="Arial" w:hAnsi="Arial" w:cs="Arial"/>
          <w:color w:val="000000" w:themeColor="text1"/>
          <w:sz w:val="20"/>
          <w:szCs w:val="20"/>
        </w:rPr>
        <w:t xml:space="preserve"> Processor will maintain appropriate technical and organizational measures for protection of the security, confidentiality, and integrity of the Personal Data as per the specifications as per the standards mutually agreed in writing by the Parties.</w:t>
      </w:r>
    </w:p>
    <w:p w14:paraId="61D11B52" w14:textId="76851DBC" w:rsidR="00785E60" w:rsidRPr="008512BE" w:rsidRDefault="00E15336" w:rsidP="00503F90">
      <w:pPr>
        <w:numPr>
          <w:ilvl w:val="0"/>
          <w:numId w:val="56"/>
        </w:numPr>
        <w:spacing w:line="360" w:lineRule="auto"/>
        <w:jc w:val="both"/>
        <w:rPr>
          <w:rFonts w:ascii="Arial" w:hAnsi="Arial" w:cs="Arial"/>
          <w:b/>
          <w:bCs/>
          <w:sz w:val="20"/>
          <w:szCs w:val="20"/>
        </w:rPr>
      </w:pPr>
      <w:r w:rsidRPr="008512BE">
        <w:rPr>
          <w:rFonts w:ascii="Arial" w:hAnsi="Arial" w:cs="Arial"/>
          <w:b/>
          <w:bCs/>
          <w:sz w:val="20"/>
          <w:szCs w:val="20"/>
        </w:rPr>
        <w:lastRenderedPageBreak/>
        <w:t>Audit Rights</w:t>
      </w:r>
    </w:p>
    <w:p w14:paraId="62959AC8" w14:textId="215F0711" w:rsidR="00785E60" w:rsidRPr="008512BE" w:rsidRDefault="00E15336" w:rsidP="00503F90">
      <w:pPr>
        <w:numPr>
          <w:ilvl w:val="1"/>
          <w:numId w:val="56"/>
        </w:numPr>
        <w:spacing w:line="360" w:lineRule="auto"/>
        <w:jc w:val="both"/>
        <w:rPr>
          <w:rFonts w:ascii="Arial" w:hAnsi="Arial" w:cs="Arial"/>
          <w:sz w:val="20"/>
          <w:szCs w:val="20"/>
        </w:rPr>
      </w:pPr>
      <w:r w:rsidRPr="008512BE">
        <w:rPr>
          <w:rFonts w:ascii="Arial" w:eastAsia="Arial" w:hAnsi="Arial" w:cs="Arial"/>
          <w:color w:val="000000" w:themeColor="text1"/>
          <w:sz w:val="20"/>
          <w:szCs w:val="20"/>
        </w:rPr>
        <w:t xml:space="preserve">Upon Controller’s reasonable request, the Processor will make available to the Controller, information as is reasonably necessary to demonstrate Processor’s compliance with its obligations under the </w:t>
      </w:r>
      <w:r w:rsidR="005D0CE5" w:rsidRPr="008512BE">
        <w:rPr>
          <w:rFonts w:ascii="Arial" w:eastAsia="Arial" w:hAnsi="Arial" w:cs="Arial"/>
          <w:color w:val="000000" w:themeColor="text1"/>
          <w:sz w:val="20"/>
          <w:szCs w:val="20"/>
        </w:rPr>
        <w:t xml:space="preserve">EU GDPR </w:t>
      </w:r>
      <w:r w:rsidRPr="008512BE">
        <w:rPr>
          <w:rFonts w:ascii="Arial" w:eastAsia="Arial" w:hAnsi="Arial" w:cs="Arial"/>
          <w:color w:val="000000" w:themeColor="text1"/>
          <w:sz w:val="20"/>
          <w:szCs w:val="20"/>
        </w:rPr>
        <w:t>or other applicable l</w:t>
      </w:r>
      <w:r w:rsidR="00AD2283">
        <w:rPr>
          <w:rFonts w:ascii="Arial" w:eastAsia="Arial" w:hAnsi="Arial" w:cs="Arial"/>
          <w:color w:val="000000" w:themeColor="text1"/>
          <w:sz w:val="20"/>
          <w:szCs w:val="20"/>
        </w:rPr>
        <w:t>Azure</w:t>
      </w:r>
      <w:r w:rsidRPr="008512BE">
        <w:rPr>
          <w:rFonts w:ascii="Arial" w:eastAsia="Arial" w:hAnsi="Arial" w:cs="Arial"/>
          <w:color w:val="000000" w:themeColor="text1"/>
          <w:sz w:val="20"/>
          <w:szCs w:val="20"/>
        </w:rPr>
        <w:t xml:space="preserve"> in respect of its Processing of the Personal Data.</w:t>
      </w:r>
    </w:p>
    <w:p w14:paraId="2E12019D" w14:textId="213DAB85" w:rsidR="00785E60" w:rsidRPr="008512BE" w:rsidRDefault="00E15336" w:rsidP="00503F90">
      <w:pPr>
        <w:numPr>
          <w:ilvl w:val="1"/>
          <w:numId w:val="56"/>
        </w:numPr>
        <w:spacing w:line="360" w:lineRule="auto"/>
        <w:jc w:val="both"/>
        <w:rPr>
          <w:rFonts w:ascii="Arial" w:hAnsi="Arial" w:cs="Arial"/>
          <w:sz w:val="20"/>
          <w:szCs w:val="20"/>
        </w:rPr>
      </w:pPr>
      <w:r w:rsidRPr="008512BE">
        <w:rPr>
          <w:rFonts w:ascii="Arial" w:eastAsia="Arial" w:hAnsi="Arial" w:cs="Arial"/>
          <w:color w:val="000000" w:themeColor="text1"/>
          <w:sz w:val="20"/>
          <w:szCs w:val="20"/>
        </w:rPr>
        <w:t xml:space="preserve">When the Controller wishes to conduct the audit (by itself or through a representative) at Processor’s site, it shall provide </w:t>
      </w:r>
      <w:r w:rsidRPr="00AD2283">
        <w:rPr>
          <w:rFonts w:ascii="Arial" w:eastAsia="Arial" w:hAnsi="Arial" w:cs="Arial"/>
          <w:color w:val="000000" w:themeColor="text1"/>
          <w:sz w:val="20"/>
          <w:szCs w:val="20"/>
        </w:rPr>
        <w:t>at least fifteen (15) days’</w:t>
      </w:r>
      <w:r w:rsidRPr="008512BE">
        <w:rPr>
          <w:rFonts w:ascii="Arial" w:eastAsia="Arial" w:hAnsi="Arial" w:cs="Arial"/>
          <w:color w:val="000000" w:themeColor="text1"/>
          <w:sz w:val="20"/>
          <w:szCs w:val="20"/>
        </w:rPr>
        <w:t xml:space="preserve"> prior written notice to the Processor; the Processor will provide reasonable cooperation and assistance in relation to audits, including inspections, conducted by the Controller or its representative</w:t>
      </w:r>
      <w:r w:rsidRPr="008512BE">
        <w:rPr>
          <w:rFonts w:ascii="Arial" w:hAnsi="Arial" w:cs="Arial"/>
          <w:sz w:val="20"/>
          <w:szCs w:val="20"/>
        </w:rPr>
        <w:t xml:space="preserve">. </w:t>
      </w:r>
    </w:p>
    <w:p w14:paraId="5FE26CF0" w14:textId="15CA3A8D" w:rsidR="00785E60" w:rsidRPr="008512BE" w:rsidRDefault="00E15336" w:rsidP="2AA1C73E">
      <w:pPr>
        <w:numPr>
          <w:ilvl w:val="1"/>
          <w:numId w:val="56"/>
        </w:numPr>
        <w:spacing w:line="360" w:lineRule="auto"/>
        <w:jc w:val="both"/>
        <w:rPr>
          <w:rFonts w:ascii="Arial" w:hAnsi="Arial" w:cs="Arial"/>
          <w:sz w:val="20"/>
          <w:szCs w:val="20"/>
        </w:rPr>
      </w:pPr>
      <w:r w:rsidRPr="008512BE">
        <w:rPr>
          <w:rFonts w:ascii="Arial" w:hAnsi="Arial" w:cs="Arial"/>
          <w:sz w:val="20"/>
          <w:szCs w:val="20"/>
        </w:rPr>
        <w:t>The Controller shall bear the expense of such an audit.</w:t>
      </w:r>
    </w:p>
    <w:p w14:paraId="0C7A1559" w14:textId="42D057D7" w:rsidR="00785E60" w:rsidRPr="008512BE" w:rsidRDefault="00E15336" w:rsidP="00503F90">
      <w:pPr>
        <w:numPr>
          <w:ilvl w:val="0"/>
          <w:numId w:val="56"/>
        </w:numPr>
        <w:spacing w:line="360" w:lineRule="auto"/>
        <w:jc w:val="both"/>
        <w:rPr>
          <w:rFonts w:ascii="Arial" w:hAnsi="Arial" w:cs="Arial"/>
          <w:sz w:val="20"/>
          <w:szCs w:val="20"/>
        </w:rPr>
      </w:pPr>
      <w:r w:rsidRPr="008512BE">
        <w:rPr>
          <w:rFonts w:ascii="Arial" w:hAnsi="Arial" w:cs="Arial"/>
          <w:b/>
          <w:bCs/>
          <w:sz w:val="20"/>
          <w:szCs w:val="20"/>
        </w:rPr>
        <w:t xml:space="preserve">Mechanism of Data Transfers </w:t>
      </w:r>
    </w:p>
    <w:p w14:paraId="6907DC3B" w14:textId="708D3B0E" w:rsidR="00785E60" w:rsidRPr="008512BE" w:rsidRDefault="00E15336" w:rsidP="001D0B39">
      <w:pPr>
        <w:pStyle w:val="ListParagraph"/>
        <w:spacing w:line="360" w:lineRule="auto"/>
        <w:ind w:left="426"/>
        <w:jc w:val="both"/>
        <w:rPr>
          <w:rFonts w:ascii="Arial" w:hAnsi="Arial" w:cs="Arial"/>
          <w:sz w:val="20"/>
          <w:szCs w:val="20"/>
        </w:rPr>
      </w:pPr>
      <w:r w:rsidRPr="008512BE">
        <w:rPr>
          <w:rFonts w:ascii="Arial" w:hAnsi="Arial" w:cs="Arial"/>
          <w:sz w:val="20"/>
          <w:szCs w:val="20"/>
        </w:rPr>
        <w:t>Any Data Transfer for the purpose of Processing by the Processor in a country outside the European Economic Area (the “</w:t>
      </w:r>
      <w:r w:rsidRPr="008512BE">
        <w:rPr>
          <w:rFonts w:ascii="Arial" w:hAnsi="Arial" w:cs="Arial"/>
          <w:b/>
          <w:bCs/>
          <w:i/>
          <w:iCs/>
          <w:sz w:val="20"/>
          <w:szCs w:val="20"/>
        </w:rPr>
        <w:t>EEA</w:t>
      </w:r>
      <w:r w:rsidRPr="008512BE">
        <w:rPr>
          <w:rFonts w:ascii="Arial" w:hAnsi="Arial" w:cs="Arial"/>
          <w:sz w:val="20"/>
          <w:szCs w:val="20"/>
        </w:rPr>
        <w:t>”) shall only take place in compliance as detailed in Schedule 1 to the DPA. Where such model clauses have not been executed at the same time as this DPA, the Processor shall not unduly withhold the execution of such template model clauses, where the transfer of Personal Data outside of the EEA is required for the performance of the Agreement.</w:t>
      </w:r>
    </w:p>
    <w:p w14:paraId="6D98BB3E" w14:textId="57D2CA75" w:rsidR="00785E60" w:rsidRPr="008512BE" w:rsidRDefault="00E15336" w:rsidP="00503F90">
      <w:pPr>
        <w:numPr>
          <w:ilvl w:val="0"/>
          <w:numId w:val="56"/>
        </w:numPr>
        <w:spacing w:line="360" w:lineRule="auto"/>
        <w:jc w:val="both"/>
        <w:rPr>
          <w:rFonts w:ascii="Arial" w:hAnsi="Arial" w:cs="Arial"/>
          <w:b/>
          <w:bCs/>
          <w:sz w:val="20"/>
          <w:szCs w:val="20"/>
        </w:rPr>
      </w:pPr>
      <w:r w:rsidRPr="008512BE">
        <w:rPr>
          <w:rFonts w:ascii="Arial" w:hAnsi="Arial" w:cs="Arial"/>
          <w:b/>
          <w:bCs/>
          <w:sz w:val="20"/>
          <w:szCs w:val="20"/>
        </w:rPr>
        <w:t>Sub-processors</w:t>
      </w:r>
    </w:p>
    <w:p w14:paraId="17542460" w14:textId="570F9670" w:rsidR="00785E60" w:rsidRPr="008512BE" w:rsidRDefault="00E15336" w:rsidP="00D93DBB">
      <w:pPr>
        <w:numPr>
          <w:ilvl w:val="1"/>
          <w:numId w:val="56"/>
        </w:numPr>
        <w:spacing w:line="360" w:lineRule="auto"/>
        <w:ind w:left="993" w:hanging="567"/>
        <w:jc w:val="both"/>
        <w:rPr>
          <w:rFonts w:ascii="Arial" w:hAnsi="Arial" w:cs="Arial"/>
          <w:sz w:val="20"/>
          <w:szCs w:val="20"/>
        </w:rPr>
      </w:pPr>
      <w:r w:rsidRPr="008512BE">
        <w:rPr>
          <w:rFonts w:ascii="Arial" w:hAnsi="Arial" w:cs="Arial"/>
          <w:sz w:val="20"/>
          <w:szCs w:val="20"/>
        </w:rPr>
        <w:t xml:space="preserve">The Controller acknowledges and agrees that the Processor, may engage a third-party Sub-processor(s) in connection with the performance of the Services, provided such Sub-processor(s) take technical and organizational measures to ensure confidentiality of Personal Data shared with them; The current Sub-processors engaged by the Processors and approved by the Controller are listed in Annex </w:t>
      </w:r>
      <w:r w:rsidR="3E073DBB" w:rsidRPr="008512BE">
        <w:rPr>
          <w:rFonts w:ascii="Arial" w:hAnsi="Arial" w:cs="Arial"/>
          <w:sz w:val="20"/>
          <w:szCs w:val="20"/>
        </w:rPr>
        <w:t>III</w:t>
      </w:r>
      <w:r w:rsidRPr="008512BE">
        <w:rPr>
          <w:rFonts w:ascii="Arial" w:hAnsi="Arial" w:cs="Arial"/>
          <w:sz w:val="20"/>
          <w:szCs w:val="20"/>
        </w:rPr>
        <w:t xml:space="preserve"> of Schedule 1 hereto. In accordance with Article 28(4) of the GDPR, the Processor shall remain liable to Controller for any failure on behalf of a Sub-processor to fulfil its data protection obligations under the DPA in connection with the performance of the Services.</w:t>
      </w:r>
    </w:p>
    <w:p w14:paraId="44FC0ED1" w14:textId="082C74A8" w:rsidR="00785E60" w:rsidRPr="008512BE" w:rsidRDefault="00E15336" w:rsidP="51065457">
      <w:pPr>
        <w:numPr>
          <w:ilvl w:val="1"/>
          <w:numId w:val="56"/>
        </w:numPr>
        <w:spacing w:line="360" w:lineRule="auto"/>
        <w:ind w:left="993" w:hanging="509"/>
        <w:jc w:val="both"/>
        <w:rPr>
          <w:rFonts w:ascii="Arial" w:hAnsi="Arial" w:cs="Arial"/>
          <w:sz w:val="20"/>
          <w:szCs w:val="20"/>
        </w:rPr>
      </w:pPr>
      <w:r w:rsidRPr="008512BE">
        <w:rPr>
          <w:rFonts w:ascii="Arial" w:hAnsi="Arial" w:cs="Arial"/>
          <w:sz w:val="20"/>
          <w:szCs w:val="20"/>
        </w:rPr>
        <w:t xml:space="preserve">If the Controller has a concern that the Sub-processor(s) Processing of Personal Data is reasonably likely to cause the Controller to breach its data protection obligations under the GDPR, the Controller may object to Processor’s use of such Sub-processor and the Processor and Controller shall confer in good faith to address such concern. </w:t>
      </w:r>
    </w:p>
    <w:p w14:paraId="14D1363B" w14:textId="58769115" w:rsidR="00785E60" w:rsidRPr="008512BE" w:rsidRDefault="00E15336" w:rsidP="00503F90">
      <w:pPr>
        <w:numPr>
          <w:ilvl w:val="0"/>
          <w:numId w:val="56"/>
        </w:numPr>
        <w:spacing w:line="360" w:lineRule="auto"/>
        <w:jc w:val="both"/>
        <w:rPr>
          <w:rFonts w:ascii="Arial" w:hAnsi="Arial" w:cs="Arial"/>
          <w:b/>
          <w:bCs/>
          <w:sz w:val="20"/>
          <w:szCs w:val="20"/>
        </w:rPr>
      </w:pPr>
      <w:r w:rsidRPr="008512BE">
        <w:rPr>
          <w:rFonts w:ascii="Arial" w:hAnsi="Arial" w:cs="Arial"/>
          <w:b/>
          <w:bCs/>
          <w:sz w:val="20"/>
          <w:szCs w:val="20"/>
        </w:rPr>
        <w:t>Personal Data Breach Notification</w:t>
      </w:r>
    </w:p>
    <w:p w14:paraId="391A21CB" w14:textId="77777777" w:rsidR="00785E60" w:rsidRPr="008512BE" w:rsidRDefault="00E15336" w:rsidP="00D93DBB">
      <w:pPr>
        <w:numPr>
          <w:ilvl w:val="1"/>
          <w:numId w:val="56"/>
        </w:numPr>
        <w:spacing w:line="360" w:lineRule="auto"/>
        <w:ind w:left="1134" w:hanging="633"/>
        <w:jc w:val="both"/>
        <w:rPr>
          <w:rFonts w:ascii="Arial" w:hAnsi="Arial" w:cs="Arial"/>
          <w:sz w:val="20"/>
          <w:szCs w:val="20"/>
        </w:rPr>
      </w:pPr>
      <w:r w:rsidRPr="008512BE">
        <w:rPr>
          <w:rFonts w:ascii="Arial" w:hAnsi="Arial" w:cs="Arial"/>
          <w:sz w:val="20"/>
          <w:szCs w:val="20"/>
        </w:rPr>
        <w:t xml:space="preserve">The Processor shall maintain defined procedures in case of a Personal Data Breach (as defined under the GDPR) and shall without undue delay notify Controller if it becomes aware of any Personal Data Breach unless such Data Breach is unlikely to result in a risk to the rights and freedoms of natural persons. </w:t>
      </w:r>
    </w:p>
    <w:p w14:paraId="3A8F309A" w14:textId="77777777" w:rsidR="00785E60" w:rsidRPr="008512BE" w:rsidRDefault="00E15336" w:rsidP="00D93DBB">
      <w:pPr>
        <w:numPr>
          <w:ilvl w:val="1"/>
          <w:numId w:val="56"/>
        </w:numPr>
        <w:spacing w:line="360" w:lineRule="auto"/>
        <w:ind w:left="1134" w:hanging="633"/>
        <w:jc w:val="both"/>
        <w:rPr>
          <w:rFonts w:ascii="Arial" w:hAnsi="Arial" w:cs="Arial"/>
          <w:sz w:val="20"/>
          <w:szCs w:val="20"/>
        </w:rPr>
      </w:pPr>
      <w:r w:rsidRPr="008512BE">
        <w:rPr>
          <w:rFonts w:ascii="Arial" w:hAnsi="Arial" w:cs="Arial"/>
          <w:sz w:val="20"/>
          <w:szCs w:val="20"/>
        </w:rPr>
        <w:lastRenderedPageBreak/>
        <w:t xml:space="preserve">The Processor shall provide the Controller with all reasonable assistance to comply with the notification of Personal Data Breach to Supervisory Authority and/or the Data Subject, to identify the cause of such Data Breach and take such commercially reasonable steps as reasonably required to mitigate and remedy such Data Breach. </w:t>
      </w:r>
    </w:p>
    <w:p w14:paraId="4E5F4CE3" w14:textId="313A33A7" w:rsidR="00785E60" w:rsidRPr="008512BE" w:rsidRDefault="00E15336" w:rsidP="51065457">
      <w:pPr>
        <w:numPr>
          <w:ilvl w:val="1"/>
          <w:numId w:val="56"/>
        </w:numPr>
        <w:spacing w:line="360" w:lineRule="auto"/>
        <w:ind w:left="1134" w:hanging="633"/>
        <w:jc w:val="both"/>
        <w:rPr>
          <w:rFonts w:ascii="Arial" w:hAnsi="Arial" w:cs="Arial"/>
          <w:sz w:val="20"/>
          <w:szCs w:val="20"/>
        </w:rPr>
      </w:pPr>
      <w:r w:rsidRPr="008512BE">
        <w:rPr>
          <w:rFonts w:ascii="Arial" w:hAnsi="Arial" w:cs="Arial"/>
          <w:sz w:val="20"/>
          <w:szCs w:val="20"/>
        </w:rPr>
        <w:t>No Acknowledgement of Fault by Processor. Processor’s notification of or response to a Personal Data Breach under this DPA will not be construed as an acknowledgement by Processor of any fault or liability with respect to the data incident.</w:t>
      </w:r>
    </w:p>
    <w:p w14:paraId="391587DE" w14:textId="1F43A3C9" w:rsidR="00785E60" w:rsidRPr="008512BE" w:rsidRDefault="00E15336" w:rsidP="00503F90">
      <w:pPr>
        <w:numPr>
          <w:ilvl w:val="0"/>
          <w:numId w:val="56"/>
        </w:numPr>
        <w:spacing w:line="360" w:lineRule="auto"/>
        <w:jc w:val="both"/>
        <w:rPr>
          <w:rFonts w:ascii="Arial" w:hAnsi="Arial" w:cs="Arial"/>
          <w:b/>
          <w:bCs/>
          <w:sz w:val="20"/>
          <w:szCs w:val="20"/>
        </w:rPr>
      </w:pPr>
      <w:r w:rsidRPr="008512BE">
        <w:rPr>
          <w:rFonts w:ascii="Arial" w:hAnsi="Arial" w:cs="Arial"/>
          <w:b/>
          <w:bCs/>
          <w:sz w:val="20"/>
          <w:szCs w:val="20"/>
        </w:rPr>
        <w:t>Return and Deletion of Personal Data</w:t>
      </w:r>
    </w:p>
    <w:p w14:paraId="0A0A1C9A" w14:textId="2A35FA73" w:rsidR="00785E60" w:rsidRPr="008512BE" w:rsidRDefault="00E15336" w:rsidP="00D93DBB">
      <w:pPr>
        <w:numPr>
          <w:ilvl w:val="1"/>
          <w:numId w:val="56"/>
        </w:numPr>
        <w:spacing w:line="360" w:lineRule="auto"/>
        <w:ind w:left="1276" w:hanging="709"/>
        <w:jc w:val="both"/>
        <w:rPr>
          <w:rFonts w:ascii="Arial" w:hAnsi="Arial" w:cs="Arial"/>
          <w:sz w:val="20"/>
          <w:szCs w:val="20"/>
        </w:rPr>
      </w:pPr>
      <w:r w:rsidRPr="008512BE">
        <w:rPr>
          <w:rFonts w:ascii="Arial" w:hAnsi="Arial" w:cs="Arial"/>
          <w:sz w:val="20"/>
          <w:szCs w:val="20"/>
        </w:rPr>
        <w:t xml:space="preserve">The Processor shall at least </w:t>
      </w:r>
      <w:r w:rsidRPr="008512BE">
        <w:rPr>
          <w:rFonts w:ascii="Arial" w:hAnsi="Arial" w:cs="Arial"/>
          <w:sz w:val="20"/>
          <w:szCs w:val="20"/>
          <w:highlight w:val="yellow"/>
        </w:rPr>
        <w:t>thirty (30) days</w:t>
      </w:r>
      <w:r w:rsidRPr="008512BE">
        <w:rPr>
          <w:rFonts w:ascii="Arial" w:hAnsi="Arial" w:cs="Arial"/>
          <w:sz w:val="20"/>
          <w:szCs w:val="20"/>
        </w:rPr>
        <w:t xml:space="preserve"> from the end of the Agreement or cessation of the Processor’s Services under the Agreement, whichever occurs earlier, shall return to the Controller all the Personal Data, or if the Controller so instructs, the Processor shall have the Personal Data deleted. The Processor shall return such Personal Data in a commonly used </w:t>
      </w:r>
      <w:r w:rsidR="00A669CB" w:rsidRPr="008512BE">
        <w:rPr>
          <w:rFonts w:ascii="Arial" w:hAnsi="Arial" w:cs="Arial"/>
          <w:sz w:val="20"/>
          <w:szCs w:val="20"/>
        </w:rPr>
        <w:t>format</w:t>
      </w:r>
      <w:r w:rsidRPr="008512BE">
        <w:rPr>
          <w:rFonts w:ascii="Arial" w:hAnsi="Arial" w:cs="Arial"/>
          <w:sz w:val="20"/>
          <w:szCs w:val="20"/>
        </w:rPr>
        <w:t xml:space="preserve"> or in </w:t>
      </w:r>
      <w:r w:rsidR="00A669CB" w:rsidRPr="008512BE">
        <w:rPr>
          <w:rFonts w:ascii="Arial" w:hAnsi="Arial" w:cs="Arial"/>
          <w:sz w:val="20"/>
          <w:szCs w:val="20"/>
        </w:rPr>
        <w:t>the</w:t>
      </w:r>
      <w:r w:rsidRPr="008512BE">
        <w:rPr>
          <w:rFonts w:ascii="Arial" w:hAnsi="Arial" w:cs="Arial"/>
          <w:sz w:val="20"/>
          <w:szCs w:val="20"/>
        </w:rPr>
        <w:t xml:space="preserve"> current format in which it was stored at discretion of the Controller, soon as reasonably practicable following receipt of Controller’s notification.</w:t>
      </w:r>
    </w:p>
    <w:p w14:paraId="3B5269A7" w14:textId="347973AE" w:rsidR="000177AC" w:rsidRPr="008512BE" w:rsidRDefault="00E15336" w:rsidP="51065457">
      <w:pPr>
        <w:numPr>
          <w:ilvl w:val="1"/>
          <w:numId w:val="56"/>
        </w:numPr>
        <w:spacing w:line="360" w:lineRule="auto"/>
        <w:ind w:left="1276" w:hanging="709"/>
        <w:jc w:val="both"/>
        <w:rPr>
          <w:rFonts w:ascii="Arial" w:hAnsi="Arial" w:cs="Arial"/>
          <w:b/>
          <w:bCs/>
          <w:sz w:val="20"/>
          <w:szCs w:val="20"/>
        </w:rPr>
      </w:pPr>
      <w:r w:rsidRPr="008512BE">
        <w:rPr>
          <w:rFonts w:ascii="Arial" w:hAnsi="Arial" w:cs="Arial"/>
          <w:sz w:val="20"/>
          <w:szCs w:val="20"/>
        </w:rPr>
        <w:t xml:space="preserve">In any case, the Processor shall delete Personal Data including all the copies of it as soon as reasonably practicable following the end of the Agreement. </w:t>
      </w:r>
    </w:p>
    <w:p w14:paraId="4F8AD02A" w14:textId="0338C143" w:rsidR="00785E60" w:rsidRPr="008512BE" w:rsidRDefault="00E15336" w:rsidP="00503F90">
      <w:pPr>
        <w:numPr>
          <w:ilvl w:val="0"/>
          <w:numId w:val="56"/>
        </w:numPr>
        <w:spacing w:line="360" w:lineRule="auto"/>
        <w:jc w:val="both"/>
        <w:rPr>
          <w:rFonts w:ascii="Arial" w:hAnsi="Arial" w:cs="Arial"/>
          <w:sz w:val="20"/>
          <w:szCs w:val="20"/>
        </w:rPr>
      </w:pPr>
      <w:bookmarkStart w:id="0" w:name="_heading=h.gjdgxs"/>
      <w:bookmarkEnd w:id="0"/>
      <w:r w:rsidRPr="008512BE">
        <w:rPr>
          <w:rFonts w:ascii="Arial" w:hAnsi="Arial" w:cs="Arial"/>
          <w:b/>
          <w:bCs/>
          <w:sz w:val="20"/>
          <w:szCs w:val="20"/>
        </w:rPr>
        <w:t>Technical and Organizational Measures</w:t>
      </w:r>
    </w:p>
    <w:p w14:paraId="1B60C549" w14:textId="3E2DC2FC" w:rsidR="00785E60" w:rsidRPr="008512BE" w:rsidRDefault="00E15336" w:rsidP="00D93DBB">
      <w:pPr>
        <w:pStyle w:val="ListParagraph"/>
        <w:spacing w:line="360" w:lineRule="auto"/>
        <w:ind w:left="426"/>
        <w:jc w:val="both"/>
        <w:rPr>
          <w:rFonts w:ascii="Arial" w:hAnsi="Arial" w:cs="Arial"/>
          <w:sz w:val="20"/>
          <w:szCs w:val="20"/>
        </w:rPr>
      </w:pPr>
      <w:r w:rsidRPr="008512BE">
        <w:rPr>
          <w:rFonts w:ascii="Arial" w:hAnsi="Arial" w:cs="Arial"/>
          <w:sz w:val="20"/>
          <w:szCs w:val="20"/>
        </w:rPr>
        <w:t xml:space="preserve">Having regard to the state of technological development and the cost of implementing any measures, the Processor will take appropriate technical and organizational measures against the unauthorized or unlawful processing of Personal Data and against the accidental loss or destruction of, or damage to, Personal Data to ensure a level of security appropriate to: (a) the harm that might result from unauthorized or unlawful processing or accidental loss, destruction or damage; and (b) the nature of the data to be protected [including the measures stated in Annex </w:t>
      </w:r>
      <w:r w:rsidR="0B5ADFAA" w:rsidRPr="008512BE">
        <w:rPr>
          <w:rFonts w:ascii="Arial" w:hAnsi="Arial" w:cs="Arial"/>
          <w:sz w:val="20"/>
          <w:szCs w:val="20"/>
        </w:rPr>
        <w:t>II</w:t>
      </w:r>
      <w:r w:rsidRPr="008512BE">
        <w:rPr>
          <w:rFonts w:ascii="Arial" w:hAnsi="Arial" w:cs="Arial"/>
          <w:sz w:val="20"/>
          <w:szCs w:val="20"/>
        </w:rPr>
        <w:t xml:space="preserve"> of Schedule </w:t>
      </w:r>
      <w:r w:rsidR="234CBABB" w:rsidRPr="008512BE">
        <w:rPr>
          <w:rFonts w:ascii="Arial" w:hAnsi="Arial" w:cs="Arial"/>
          <w:sz w:val="20"/>
          <w:szCs w:val="20"/>
        </w:rPr>
        <w:t>1</w:t>
      </w:r>
      <w:r w:rsidRPr="008512BE">
        <w:rPr>
          <w:rFonts w:ascii="Arial" w:hAnsi="Arial" w:cs="Arial"/>
          <w:sz w:val="20"/>
          <w:szCs w:val="20"/>
        </w:rPr>
        <w:t>]</w:t>
      </w:r>
    </w:p>
    <w:tbl>
      <w:tblPr>
        <w:tblStyle w:val="1"/>
        <w:tblW w:w="9360" w:type="dxa"/>
        <w:tblBorders>
          <w:top w:val="nil"/>
          <w:left w:val="nil"/>
          <w:bottom w:val="nil"/>
          <w:right w:val="nil"/>
          <w:insideH w:val="nil"/>
          <w:insideV w:val="nil"/>
        </w:tblBorders>
        <w:tblLayout w:type="fixed"/>
        <w:tblLook w:val="0600" w:firstRow="0" w:lastRow="0" w:firstColumn="0" w:lastColumn="0" w:noHBand="1" w:noVBand="1"/>
      </w:tblPr>
      <w:tblGrid>
        <w:gridCol w:w="4777"/>
        <w:gridCol w:w="4583"/>
      </w:tblGrid>
      <w:tr w:rsidR="00785E60" w:rsidRPr="008512BE" w14:paraId="0D1C7BBF" w14:textId="77777777" w:rsidTr="2AA1C73E">
        <w:trPr>
          <w:trHeight w:val="3675"/>
        </w:trPr>
        <w:tc>
          <w:tcPr>
            <w:tcW w:w="47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0868AE2" w14:textId="77777777" w:rsidR="00785E60" w:rsidRPr="008512BE" w:rsidRDefault="00785E60" w:rsidP="00CF7DFF">
            <w:pPr>
              <w:pStyle w:val="ListParagraph"/>
              <w:spacing w:after="0" w:line="226" w:lineRule="auto"/>
              <w:ind w:left="360" w:right="240"/>
              <w:jc w:val="both"/>
              <w:rPr>
                <w:rFonts w:ascii="Arial" w:eastAsia="Arial" w:hAnsi="Arial" w:cs="Arial"/>
                <w:b/>
                <w:bCs/>
                <w:sz w:val="20"/>
                <w:szCs w:val="20"/>
              </w:rPr>
            </w:pPr>
          </w:p>
          <w:p w14:paraId="248AF8E3" w14:textId="765DE355" w:rsidR="00785E60" w:rsidRPr="008512BE" w:rsidRDefault="00D42543" w:rsidP="001C4FBC">
            <w:pPr>
              <w:pStyle w:val="ListParagraph"/>
              <w:tabs>
                <w:tab w:val="left" w:pos="2280"/>
              </w:tabs>
              <w:spacing w:after="0" w:line="226" w:lineRule="auto"/>
              <w:ind w:left="360" w:right="240"/>
              <w:jc w:val="both"/>
              <w:rPr>
                <w:rFonts w:ascii="Arial" w:eastAsia="Arial" w:hAnsi="Arial" w:cs="Arial"/>
                <w:bCs/>
                <w:sz w:val="20"/>
                <w:szCs w:val="20"/>
              </w:rPr>
            </w:pPr>
            <w:r w:rsidRPr="00AD2283">
              <w:rPr>
                <w:rFonts w:ascii="Arial" w:eastAsia="Arial" w:hAnsi="Arial" w:cs="Arial"/>
                <w:b/>
                <w:bCs/>
                <w:color w:val="000000" w:themeColor="text1"/>
                <w:sz w:val="20"/>
                <w:szCs w:val="20"/>
              </w:rPr>
              <w:t>Enter Controller organization’s name here</w:t>
            </w:r>
            <w:r w:rsidR="001C4FBC" w:rsidRPr="008512BE">
              <w:rPr>
                <w:rFonts w:ascii="Arial" w:eastAsia="Arial" w:hAnsi="Arial" w:cs="Arial"/>
                <w:bCs/>
                <w:sz w:val="20"/>
                <w:szCs w:val="20"/>
              </w:rPr>
              <w:tab/>
            </w:r>
          </w:p>
          <w:p w14:paraId="027AEED1" w14:textId="1BB81484" w:rsidR="00785E60" w:rsidRPr="008512BE" w:rsidRDefault="00785E60" w:rsidP="00503F90">
            <w:pPr>
              <w:spacing w:after="0" w:line="226" w:lineRule="auto"/>
              <w:ind w:right="240" w:firstLine="120"/>
              <w:jc w:val="both"/>
              <w:rPr>
                <w:rFonts w:ascii="Arial" w:eastAsia="Arial" w:hAnsi="Arial" w:cs="Arial"/>
                <w:b/>
                <w:sz w:val="20"/>
                <w:szCs w:val="20"/>
              </w:rPr>
            </w:pPr>
          </w:p>
          <w:p w14:paraId="4D2F1DC6" w14:textId="5CE4273F" w:rsidR="00785E60" w:rsidRPr="008512BE" w:rsidRDefault="00E15336" w:rsidP="00CF7DFF">
            <w:pPr>
              <w:pStyle w:val="ListParagraph"/>
              <w:spacing w:after="0" w:line="226" w:lineRule="auto"/>
              <w:ind w:left="360" w:right="240"/>
              <w:jc w:val="both"/>
              <w:rPr>
                <w:rFonts w:ascii="Arial" w:eastAsia="Arial" w:hAnsi="Arial" w:cs="Arial"/>
                <w:sz w:val="20"/>
                <w:szCs w:val="20"/>
              </w:rPr>
            </w:pPr>
            <w:r w:rsidRPr="008512BE">
              <w:rPr>
                <w:rFonts w:ascii="Arial" w:eastAsia="Arial" w:hAnsi="Arial" w:cs="Arial"/>
                <w:sz w:val="20"/>
                <w:szCs w:val="20"/>
              </w:rPr>
              <w:t>By: ________</w:t>
            </w:r>
            <w:r w:rsidR="00AD2283">
              <w:rPr>
                <w:rFonts w:ascii="Arial" w:eastAsia="Arial" w:hAnsi="Arial" w:cs="Arial"/>
                <w:sz w:val="20"/>
                <w:szCs w:val="20"/>
              </w:rPr>
              <w:t>Data Semantics</w:t>
            </w:r>
            <w:r w:rsidRPr="008512BE">
              <w:rPr>
                <w:rFonts w:ascii="Arial" w:eastAsia="Arial" w:hAnsi="Arial" w:cs="Arial"/>
                <w:sz w:val="20"/>
                <w:szCs w:val="20"/>
              </w:rPr>
              <w:t>_________</w:t>
            </w:r>
          </w:p>
          <w:p w14:paraId="23961D02" w14:textId="4D9F941E" w:rsidR="00785E60" w:rsidRPr="008512BE" w:rsidRDefault="00785E60" w:rsidP="00503F90">
            <w:pPr>
              <w:spacing w:after="0" w:line="226" w:lineRule="auto"/>
              <w:ind w:right="240" w:firstLine="60"/>
              <w:jc w:val="both"/>
              <w:rPr>
                <w:rFonts w:ascii="Arial" w:eastAsia="Arial" w:hAnsi="Arial" w:cs="Arial"/>
                <w:sz w:val="20"/>
                <w:szCs w:val="20"/>
              </w:rPr>
            </w:pPr>
          </w:p>
          <w:p w14:paraId="50E394AA" w14:textId="7E022859" w:rsidR="00785E60" w:rsidRPr="008512BE" w:rsidRDefault="00785E60" w:rsidP="00503F90">
            <w:pPr>
              <w:spacing w:after="0" w:line="226" w:lineRule="auto"/>
              <w:ind w:right="240" w:firstLine="60"/>
              <w:jc w:val="both"/>
              <w:rPr>
                <w:rFonts w:ascii="Arial" w:eastAsia="Arial" w:hAnsi="Arial" w:cs="Arial"/>
                <w:sz w:val="20"/>
                <w:szCs w:val="20"/>
              </w:rPr>
            </w:pPr>
          </w:p>
          <w:p w14:paraId="7E4FD3E7" w14:textId="24C8EEF5" w:rsidR="00785E60" w:rsidRPr="008512BE" w:rsidRDefault="00785E60" w:rsidP="00AD2283">
            <w:pPr>
              <w:pStyle w:val="ListParagraph"/>
              <w:spacing w:after="0" w:line="226" w:lineRule="auto"/>
              <w:ind w:left="360" w:right="240"/>
              <w:jc w:val="both"/>
              <w:rPr>
                <w:rFonts w:ascii="Arial" w:eastAsia="Arial" w:hAnsi="Arial" w:cs="Arial"/>
                <w:b/>
                <w:sz w:val="20"/>
                <w:szCs w:val="20"/>
              </w:rPr>
            </w:pPr>
          </w:p>
        </w:tc>
        <w:tc>
          <w:tcPr>
            <w:tcW w:w="4583" w:type="dxa"/>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tcPr>
          <w:p w14:paraId="57814532" w14:textId="77777777" w:rsidR="00785E60" w:rsidRPr="008512BE" w:rsidRDefault="00785E60" w:rsidP="00CF7DFF">
            <w:pPr>
              <w:pStyle w:val="ListParagraph"/>
              <w:spacing w:after="0" w:line="226" w:lineRule="auto"/>
              <w:ind w:left="360" w:right="240"/>
              <w:jc w:val="both"/>
              <w:rPr>
                <w:rFonts w:ascii="Arial" w:eastAsia="Arial" w:hAnsi="Arial" w:cs="Arial"/>
                <w:b/>
                <w:bCs/>
                <w:color w:val="222222"/>
                <w:sz w:val="20"/>
                <w:szCs w:val="20"/>
              </w:rPr>
            </w:pPr>
          </w:p>
          <w:p w14:paraId="154867CF" w14:textId="772A4710" w:rsidR="00785E60" w:rsidRPr="008512BE" w:rsidRDefault="00E15336" w:rsidP="00CF7DFF">
            <w:pPr>
              <w:pStyle w:val="ListParagraph"/>
              <w:spacing w:after="0" w:line="226" w:lineRule="auto"/>
              <w:ind w:left="360" w:right="240"/>
              <w:jc w:val="both"/>
              <w:rPr>
                <w:rFonts w:ascii="Arial" w:eastAsia="Arial" w:hAnsi="Arial" w:cs="Arial"/>
                <w:sz w:val="20"/>
                <w:szCs w:val="20"/>
              </w:rPr>
            </w:pPr>
            <w:r w:rsidRPr="00AD2283">
              <w:rPr>
                <w:rFonts w:ascii="Arial" w:eastAsia="Arial" w:hAnsi="Arial" w:cs="Arial"/>
                <w:b/>
                <w:bCs/>
                <w:color w:val="000000" w:themeColor="text1"/>
                <w:sz w:val="20"/>
                <w:szCs w:val="20"/>
              </w:rPr>
              <w:t xml:space="preserve">Enter </w:t>
            </w:r>
            <w:r w:rsidR="3983412A" w:rsidRPr="00AD2283">
              <w:rPr>
                <w:rFonts w:ascii="Arial" w:eastAsia="Arial" w:hAnsi="Arial" w:cs="Arial"/>
                <w:b/>
                <w:bCs/>
                <w:color w:val="000000" w:themeColor="text1"/>
                <w:sz w:val="20"/>
                <w:szCs w:val="20"/>
              </w:rPr>
              <w:t>Processor</w:t>
            </w:r>
            <w:r w:rsidRPr="00AD2283">
              <w:rPr>
                <w:rFonts w:ascii="Arial" w:eastAsia="Arial" w:hAnsi="Arial" w:cs="Arial"/>
                <w:b/>
                <w:bCs/>
                <w:color w:val="000000" w:themeColor="text1"/>
                <w:sz w:val="20"/>
                <w:szCs w:val="20"/>
              </w:rPr>
              <w:t xml:space="preserve"> organisation’s name here</w:t>
            </w:r>
          </w:p>
          <w:p w14:paraId="15C31F1B" w14:textId="1D80F91A" w:rsidR="00785E60" w:rsidRPr="008512BE" w:rsidRDefault="00785E60" w:rsidP="00503F90">
            <w:pPr>
              <w:spacing w:after="0" w:line="226" w:lineRule="auto"/>
              <w:ind w:right="240" w:firstLine="60"/>
              <w:jc w:val="both"/>
              <w:rPr>
                <w:rFonts w:ascii="Arial" w:eastAsia="Arial" w:hAnsi="Arial" w:cs="Arial"/>
                <w:sz w:val="20"/>
                <w:szCs w:val="20"/>
              </w:rPr>
            </w:pPr>
          </w:p>
          <w:p w14:paraId="7143F99C" w14:textId="77777777" w:rsidR="00785E60" w:rsidRPr="008512BE" w:rsidRDefault="00785E60">
            <w:pPr>
              <w:spacing w:after="0" w:line="226" w:lineRule="auto"/>
              <w:ind w:right="240"/>
              <w:jc w:val="both"/>
              <w:rPr>
                <w:rFonts w:ascii="Arial" w:eastAsia="Arial" w:hAnsi="Arial" w:cs="Arial"/>
                <w:sz w:val="20"/>
                <w:szCs w:val="20"/>
              </w:rPr>
            </w:pPr>
          </w:p>
          <w:p w14:paraId="69D30A75" w14:textId="4507E417" w:rsidR="00785E60" w:rsidRPr="008512BE" w:rsidRDefault="00E15336" w:rsidP="00AD2283">
            <w:pPr>
              <w:pStyle w:val="ListParagraph"/>
              <w:spacing w:after="0" w:line="226" w:lineRule="auto"/>
              <w:ind w:left="360" w:right="240"/>
              <w:jc w:val="both"/>
              <w:rPr>
                <w:rFonts w:ascii="Arial" w:eastAsia="Arial" w:hAnsi="Arial" w:cs="Arial"/>
                <w:sz w:val="20"/>
                <w:szCs w:val="20"/>
              </w:rPr>
            </w:pPr>
            <w:r w:rsidRPr="008512BE">
              <w:rPr>
                <w:rFonts w:ascii="Arial" w:eastAsia="Arial" w:hAnsi="Arial" w:cs="Arial"/>
                <w:sz w:val="20"/>
                <w:szCs w:val="20"/>
              </w:rPr>
              <w:t>B</w:t>
            </w:r>
            <w:r w:rsidR="00AD2283">
              <w:rPr>
                <w:rFonts w:ascii="Arial" w:eastAsia="Arial" w:hAnsi="Arial" w:cs="Arial"/>
                <w:sz w:val="20"/>
                <w:szCs w:val="20"/>
              </w:rPr>
              <w:t xml:space="preserve">y: </w:t>
            </w:r>
            <w:r w:rsidR="00AD2283">
              <w:rPr>
                <w:rFonts w:ascii="Arial" w:eastAsia="Arial" w:hAnsi="Arial" w:cs="Arial"/>
                <w:sz w:val="20"/>
                <w:szCs w:val="20"/>
              </w:rPr>
              <w:t>Data Semantic</w:t>
            </w:r>
            <w:r w:rsidR="00AD2283">
              <w:rPr>
                <w:rFonts w:ascii="Arial" w:eastAsia="Arial" w:hAnsi="Arial" w:cs="Arial"/>
                <w:sz w:val="20"/>
                <w:szCs w:val="20"/>
              </w:rPr>
              <w:t>s</w:t>
            </w:r>
          </w:p>
          <w:p w14:paraId="60451D11" w14:textId="70D27C1C" w:rsidR="00785E60" w:rsidRPr="008512BE" w:rsidRDefault="00785E60" w:rsidP="00503F90">
            <w:pPr>
              <w:spacing w:after="0" w:line="226" w:lineRule="auto"/>
              <w:ind w:right="240" w:firstLine="60"/>
              <w:jc w:val="both"/>
              <w:rPr>
                <w:rFonts w:ascii="Arial" w:eastAsia="Arial" w:hAnsi="Arial" w:cs="Arial"/>
                <w:sz w:val="20"/>
                <w:szCs w:val="20"/>
              </w:rPr>
            </w:pPr>
          </w:p>
          <w:p w14:paraId="4C199957" w14:textId="23035031" w:rsidR="00785E60" w:rsidRPr="008512BE" w:rsidRDefault="00785E60" w:rsidP="00CF7DFF">
            <w:pPr>
              <w:pStyle w:val="ListParagraph"/>
              <w:spacing w:after="0" w:line="226" w:lineRule="auto"/>
              <w:ind w:left="360" w:right="240"/>
              <w:jc w:val="both"/>
              <w:rPr>
                <w:rFonts w:ascii="Arial" w:eastAsia="Arial" w:hAnsi="Arial" w:cs="Arial"/>
                <w:sz w:val="20"/>
                <w:szCs w:val="20"/>
              </w:rPr>
            </w:pPr>
          </w:p>
        </w:tc>
      </w:tr>
    </w:tbl>
    <w:p w14:paraId="174EB625" w14:textId="49E911F0" w:rsidR="00241A9F" w:rsidRPr="008512BE" w:rsidRDefault="00241A9F" w:rsidP="2AA1C73E">
      <w:pPr>
        <w:spacing w:after="0" w:line="276" w:lineRule="auto"/>
        <w:ind w:right="240"/>
        <w:jc w:val="both"/>
        <w:rPr>
          <w:rFonts w:ascii="Arial" w:hAnsi="Arial" w:cs="Arial"/>
          <w:b/>
          <w:bCs/>
          <w:sz w:val="20"/>
          <w:szCs w:val="20"/>
          <w:lang w:val="en-GB"/>
        </w:rPr>
        <w:sectPr w:rsidR="00241A9F" w:rsidRPr="008512BE" w:rsidSect="00ED10A0">
          <w:endnotePr>
            <w:numFmt w:val="decimal"/>
          </w:endnotePr>
          <w:pgSz w:w="12240" w:h="15840"/>
          <w:pgMar w:top="1440" w:right="1440" w:bottom="1440" w:left="1440" w:header="720" w:footer="720" w:gutter="0"/>
          <w:cols w:space="720"/>
          <w:docGrid w:linePitch="360"/>
        </w:sectPr>
      </w:pPr>
    </w:p>
    <w:p w14:paraId="71A4DFF2" w14:textId="0BD49D86" w:rsidR="13A5F933" w:rsidRPr="008512BE" w:rsidRDefault="13A5F933" w:rsidP="0DAC9994">
      <w:pPr>
        <w:jc w:val="center"/>
        <w:rPr>
          <w:rFonts w:ascii="Arial" w:hAnsi="Arial" w:cs="Arial"/>
          <w:b/>
          <w:bCs/>
          <w:u w:val="single"/>
        </w:rPr>
      </w:pPr>
      <w:r w:rsidRPr="008512BE">
        <w:rPr>
          <w:rFonts w:ascii="Arial" w:hAnsi="Arial" w:cs="Arial"/>
          <w:b/>
          <w:bCs/>
          <w:u w:val="single"/>
        </w:rPr>
        <w:lastRenderedPageBreak/>
        <w:t>SCHEDULE 1</w:t>
      </w:r>
    </w:p>
    <w:p w14:paraId="7D068495" w14:textId="6228E4FA" w:rsidR="00785E60" w:rsidRPr="008512BE" w:rsidRDefault="00E15336" w:rsidP="2AA1C73E">
      <w:pPr>
        <w:jc w:val="center"/>
        <w:rPr>
          <w:rFonts w:ascii="Arial" w:hAnsi="Arial" w:cs="Arial"/>
          <w:b/>
          <w:bCs/>
          <w:i/>
          <w:iCs/>
          <w:sz w:val="20"/>
          <w:szCs w:val="20"/>
        </w:rPr>
      </w:pPr>
      <w:r w:rsidRPr="008512BE">
        <w:rPr>
          <w:rFonts w:ascii="Arial" w:hAnsi="Arial" w:cs="Arial"/>
          <w:b/>
          <w:bCs/>
          <w:i/>
          <w:iCs/>
          <w:sz w:val="20"/>
          <w:szCs w:val="20"/>
        </w:rPr>
        <w:t>ANNEX I</w:t>
      </w:r>
    </w:p>
    <w:p w14:paraId="3312E1E7" w14:textId="3413A15A" w:rsidR="001F566B" w:rsidRPr="008512BE" w:rsidRDefault="00105906" w:rsidP="2AA1C73E">
      <w:pPr>
        <w:jc w:val="center"/>
        <w:rPr>
          <w:rFonts w:ascii="Arial" w:hAnsi="Arial" w:cs="Arial"/>
          <w:b/>
          <w:bCs/>
          <w:sz w:val="20"/>
          <w:szCs w:val="20"/>
        </w:rPr>
      </w:pPr>
      <w:r w:rsidRPr="008512BE">
        <w:rPr>
          <w:rFonts w:ascii="Arial" w:hAnsi="Arial" w:cs="Arial"/>
          <w:b/>
          <w:bCs/>
          <w:sz w:val="20"/>
          <w:szCs w:val="20"/>
        </w:rPr>
        <w:t>A. LIST OF PARTIES</w:t>
      </w:r>
    </w:p>
    <w:p w14:paraId="7E194B06" w14:textId="7C41F90F" w:rsidR="00785E60" w:rsidRPr="008512BE" w:rsidRDefault="00E15336" w:rsidP="2AA1C73E">
      <w:pPr>
        <w:jc w:val="both"/>
        <w:rPr>
          <w:rFonts w:ascii="Arial" w:hAnsi="Arial" w:cs="Arial"/>
          <w:i/>
          <w:iCs/>
          <w:sz w:val="20"/>
          <w:szCs w:val="20"/>
        </w:rPr>
      </w:pPr>
      <w:r w:rsidRPr="008512BE">
        <w:rPr>
          <w:rFonts w:ascii="Arial" w:hAnsi="Arial" w:cs="Arial"/>
          <w:b/>
          <w:bCs/>
          <w:i/>
          <w:iCs/>
          <w:sz w:val="20"/>
          <w:szCs w:val="20"/>
        </w:rPr>
        <w:t>Data exporter(s):</w:t>
      </w:r>
      <w:r w:rsidRPr="008512BE">
        <w:rPr>
          <w:rFonts w:ascii="Arial" w:hAnsi="Arial" w:cs="Arial"/>
          <w:i/>
          <w:iCs/>
          <w:sz w:val="20"/>
          <w:szCs w:val="20"/>
        </w:rPr>
        <w:t xml:space="preserve"> </w:t>
      </w:r>
    </w:p>
    <w:p w14:paraId="2B6031F9" w14:textId="7370027C" w:rsidR="00785E60" w:rsidRPr="00AD2283" w:rsidRDefault="00E15336" w:rsidP="2AA1C73E">
      <w:pPr>
        <w:numPr>
          <w:ilvl w:val="0"/>
          <w:numId w:val="16"/>
        </w:numPr>
        <w:jc w:val="both"/>
        <w:rPr>
          <w:rFonts w:ascii="Arial" w:hAnsi="Arial" w:cs="Arial"/>
          <w:i/>
          <w:iCs/>
          <w:sz w:val="20"/>
          <w:szCs w:val="20"/>
        </w:rPr>
      </w:pPr>
      <w:r w:rsidRPr="008512BE">
        <w:rPr>
          <w:rFonts w:ascii="Arial" w:hAnsi="Arial" w:cs="Arial"/>
          <w:i/>
          <w:iCs/>
          <w:sz w:val="20"/>
          <w:szCs w:val="20"/>
        </w:rPr>
        <w:t>Name</w:t>
      </w:r>
      <w:r w:rsidR="00AD718E" w:rsidRPr="008512BE">
        <w:rPr>
          <w:rFonts w:ascii="Arial" w:hAnsi="Arial" w:cs="Arial"/>
          <w:i/>
          <w:iCs/>
          <w:sz w:val="20"/>
          <w:szCs w:val="20"/>
        </w:rPr>
        <w:t xml:space="preserve"> </w:t>
      </w:r>
      <w:r w:rsidR="00AD718E" w:rsidRPr="00AD2283">
        <w:rPr>
          <w:rFonts w:ascii="Arial" w:hAnsi="Arial" w:cs="Arial"/>
          <w:i/>
          <w:iCs/>
          <w:sz w:val="20"/>
          <w:szCs w:val="20"/>
        </w:rPr>
        <w:t xml:space="preserve">: </w:t>
      </w:r>
      <w:r w:rsidR="00AD718E" w:rsidRPr="00AD2283">
        <w:rPr>
          <w:rFonts w:ascii="Arial" w:hAnsi="Arial" w:cs="Arial"/>
          <w:b/>
          <w:bCs/>
          <w:sz w:val="20"/>
          <w:szCs w:val="20"/>
          <w:shd w:val="clear" w:color="auto" w:fill="FFFFFF"/>
        </w:rPr>
        <w:t>Customer (</w:t>
      </w:r>
      <w:r w:rsidR="008512BE" w:rsidRPr="00AD2283">
        <w:rPr>
          <w:rFonts w:ascii="Arial" w:hAnsi="Arial" w:cs="Arial"/>
          <w:b/>
          <w:bCs/>
          <w:sz w:val="20"/>
          <w:szCs w:val="20"/>
          <w:shd w:val="clear" w:color="auto" w:fill="FFFFFF"/>
        </w:rPr>
        <w:t>As set forth in the relevant Order Form</w:t>
      </w:r>
      <w:r w:rsidR="00736C17" w:rsidRPr="00AD2283">
        <w:rPr>
          <w:rFonts w:ascii="Arial" w:hAnsi="Arial" w:cs="Arial"/>
          <w:b/>
          <w:bCs/>
          <w:sz w:val="20"/>
          <w:szCs w:val="20"/>
          <w:shd w:val="clear" w:color="auto" w:fill="FFFFFF"/>
        </w:rPr>
        <w:t>)</w:t>
      </w:r>
      <w:r w:rsidR="00AD718E" w:rsidRPr="00AD2283">
        <w:rPr>
          <w:rFonts w:ascii="Arial" w:hAnsi="Arial" w:cs="Arial"/>
          <w:b/>
          <w:bCs/>
          <w:sz w:val="20"/>
          <w:szCs w:val="20"/>
          <w:shd w:val="clear" w:color="auto" w:fill="FFFFFF"/>
        </w:rPr>
        <w:t>.</w:t>
      </w:r>
    </w:p>
    <w:p w14:paraId="2469DCA0" w14:textId="13A2ECBA" w:rsidR="00785E60" w:rsidRPr="008512BE" w:rsidRDefault="00E15336" w:rsidP="2AA1C73E">
      <w:pPr>
        <w:jc w:val="both"/>
        <w:rPr>
          <w:rFonts w:ascii="Arial" w:hAnsi="Arial" w:cs="Arial"/>
          <w:i/>
          <w:iCs/>
          <w:sz w:val="20"/>
          <w:szCs w:val="20"/>
        </w:rPr>
      </w:pPr>
      <w:r w:rsidRPr="00AD2283">
        <w:rPr>
          <w:rFonts w:ascii="Arial" w:hAnsi="Arial" w:cs="Arial"/>
          <w:i/>
          <w:iCs/>
          <w:sz w:val="20"/>
          <w:szCs w:val="20"/>
        </w:rPr>
        <w:t>Address</w:t>
      </w:r>
      <w:r w:rsidRPr="00AD2283">
        <w:rPr>
          <w:rFonts w:ascii="Arial" w:hAnsi="Arial" w:cs="Arial"/>
          <w:b/>
          <w:bCs/>
          <w:i/>
          <w:iCs/>
          <w:sz w:val="20"/>
          <w:szCs w:val="20"/>
        </w:rPr>
        <w:t xml:space="preserve">: </w:t>
      </w:r>
      <w:r w:rsidR="00BD4FB9" w:rsidRPr="00AD2283">
        <w:rPr>
          <w:rFonts w:ascii="Arial" w:hAnsi="Arial" w:cs="Arial"/>
          <w:b/>
          <w:bCs/>
          <w:sz w:val="20"/>
          <w:szCs w:val="20"/>
          <w:shd w:val="clear" w:color="auto" w:fill="FFFFFF"/>
        </w:rPr>
        <w:t>As set forth in the relevant Order Form</w:t>
      </w:r>
      <w:r w:rsidR="00BD4FB9" w:rsidRPr="00AD2283">
        <w:rPr>
          <w:rFonts w:ascii="Arial" w:hAnsi="Arial" w:cs="Arial"/>
          <w:sz w:val="20"/>
          <w:szCs w:val="20"/>
          <w:shd w:val="clear" w:color="auto" w:fill="FFFFFF"/>
        </w:rPr>
        <w:t>.</w:t>
      </w:r>
    </w:p>
    <w:p w14:paraId="288A19D4" w14:textId="77777777" w:rsidR="00BD4FB9" w:rsidRPr="008512BE" w:rsidRDefault="00E15336" w:rsidP="2AA1C73E">
      <w:pPr>
        <w:jc w:val="both"/>
        <w:rPr>
          <w:rFonts w:ascii="Arial" w:hAnsi="Arial" w:cs="Arial"/>
          <w:sz w:val="20"/>
          <w:szCs w:val="20"/>
          <w:shd w:val="clear" w:color="auto" w:fill="FFFFFF"/>
        </w:rPr>
      </w:pPr>
      <w:r w:rsidRPr="008512BE">
        <w:rPr>
          <w:rFonts w:ascii="Arial" w:hAnsi="Arial" w:cs="Arial"/>
          <w:i/>
          <w:iCs/>
          <w:sz w:val="20"/>
          <w:szCs w:val="20"/>
        </w:rPr>
        <w:t xml:space="preserve">Contact person’s name, </w:t>
      </w:r>
      <w:r w:rsidR="00A669CB" w:rsidRPr="008512BE">
        <w:rPr>
          <w:rFonts w:ascii="Arial" w:hAnsi="Arial" w:cs="Arial"/>
          <w:i/>
          <w:iCs/>
          <w:sz w:val="20"/>
          <w:szCs w:val="20"/>
        </w:rPr>
        <w:t>position,</w:t>
      </w:r>
      <w:r w:rsidRPr="008512BE">
        <w:rPr>
          <w:rFonts w:ascii="Arial" w:hAnsi="Arial" w:cs="Arial"/>
          <w:i/>
          <w:iCs/>
          <w:sz w:val="20"/>
          <w:szCs w:val="20"/>
        </w:rPr>
        <w:t xml:space="preserve"> and contact details</w:t>
      </w:r>
      <w:r w:rsidRPr="00AD2283">
        <w:rPr>
          <w:rFonts w:ascii="Arial" w:hAnsi="Arial" w:cs="Arial"/>
          <w:i/>
          <w:iCs/>
          <w:sz w:val="20"/>
          <w:szCs w:val="20"/>
        </w:rPr>
        <w:t xml:space="preserve">: </w:t>
      </w:r>
      <w:r w:rsidR="00BD4FB9" w:rsidRPr="00AD2283">
        <w:rPr>
          <w:rFonts w:ascii="Arial" w:hAnsi="Arial" w:cs="Arial"/>
          <w:b/>
          <w:bCs/>
          <w:sz w:val="20"/>
          <w:szCs w:val="20"/>
          <w:shd w:val="clear" w:color="auto" w:fill="FFFFFF"/>
        </w:rPr>
        <w:t>As set forth in the relevant Order Form.</w:t>
      </w:r>
    </w:p>
    <w:p w14:paraId="665F445B" w14:textId="4B3F2D3B" w:rsidR="00D91097" w:rsidRPr="008512BE" w:rsidRDefault="00E15336" w:rsidP="00D91097">
      <w:pPr>
        <w:rPr>
          <w:rFonts w:ascii="Arial" w:hAnsi="Arial" w:cs="Arial"/>
          <w:b/>
          <w:bCs/>
          <w:sz w:val="20"/>
          <w:szCs w:val="20"/>
          <w:shd w:val="clear" w:color="auto" w:fill="FFFFFF"/>
        </w:rPr>
      </w:pPr>
      <w:r w:rsidRPr="008512BE">
        <w:rPr>
          <w:rFonts w:ascii="Arial" w:hAnsi="Arial" w:cs="Arial"/>
          <w:i/>
          <w:iCs/>
          <w:sz w:val="20"/>
          <w:szCs w:val="20"/>
        </w:rPr>
        <w:t xml:space="preserve">Activities relevant to the data transferred under </w:t>
      </w:r>
      <w:r w:rsidRPr="00AD2283">
        <w:rPr>
          <w:rFonts w:ascii="Arial" w:hAnsi="Arial" w:cs="Arial"/>
          <w:i/>
          <w:iCs/>
          <w:sz w:val="20"/>
          <w:szCs w:val="20"/>
        </w:rPr>
        <w:t>these Clauses</w:t>
      </w:r>
      <w:r w:rsidRPr="00AD2283">
        <w:rPr>
          <w:rFonts w:ascii="Arial" w:hAnsi="Arial" w:cs="Arial"/>
          <w:b/>
          <w:bCs/>
          <w:i/>
          <w:iCs/>
          <w:sz w:val="20"/>
          <w:szCs w:val="20"/>
        </w:rPr>
        <w:t xml:space="preserve">: </w:t>
      </w:r>
      <w:r w:rsidR="00D91097" w:rsidRPr="00AD2283">
        <w:rPr>
          <w:rFonts w:ascii="Arial" w:hAnsi="Arial" w:cs="Arial"/>
          <w:b/>
          <w:bCs/>
          <w:sz w:val="20"/>
          <w:szCs w:val="20"/>
          <w:shd w:val="clear" w:color="auto" w:fill="FFFFFF"/>
        </w:rPr>
        <w:t xml:space="preserve">Recipient of the Services provided by </w:t>
      </w:r>
      <w:r w:rsidR="00AD2283" w:rsidRPr="00AD2283">
        <w:rPr>
          <w:rFonts w:ascii="Arial" w:hAnsi="Arial" w:cs="Arial"/>
          <w:b/>
          <w:bCs/>
          <w:sz w:val="20"/>
          <w:szCs w:val="20"/>
          <w:shd w:val="clear" w:color="auto" w:fill="FFFFFF"/>
        </w:rPr>
        <w:t>Data Semantics</w:t>
      </w:r>
      <w:r w:rsidR="00D91097" w:rsidRPr="00AD2283">
        <w:rPr>
          <w:rFonts w:ascii="Arial" w:hAnsi="Arial" w:cs="Arial"/>
          <w:b/>
          <w:bCs/>
          <w:sz w:val="20"/>
          <w:szCs w:val="20"/>
          <w:shd w:val="clear" w:color="auto" w:fill="FFFFFF"/>
        </w:rPr>
        <w:t xml:space="preserve"> in accordance with the Agreement.</w:t>
      </w:r>
    </w:p>
    <w:p w14:paraId="22F6E7E7" w14:textId="1CCC582C" w:rsidR="00785E60" w:rsidRPr="008512BE" w:rsidRDefault="00E15336" w:rsidP="00D91097">
      <w:pPr>
        <w:rPr>
          <w:rFonts w:ascii="Arial" w:hAnsi="Arial" w:cs="Arial"/>
          <w:b/>
          <w:bCs/>
          <w:i/>
          <w:iCs/>
          <w:sz w:val="20"/>
          <w:szCs w:val="20"/>
        </w:rPr>
      </w:pPr>
      <w:r w:rsidRPr="008512BE">
        <w:rPr>
          <w:rFonts w:ascii="Arial" w:hAnsi="Arial" w:cs="Arial"/>
          <w:i/>
          <w:iCs/>
          <w:sz w:val="20"/>
          <w:szCs w:val="20"/>
        </w:rPr>
        <w:t xml:space="preserve">Signature and date: </w:t>
      </w:r>
      <w:r w:rsidR="006B2C07" w:rsidRPr="008512BE">
        <w:rPr>
          <w:rFonts w:ascii="Arial" w:hAnsi="Arial" w:cs="Arial"/>
          <w:b/>
          <w:bCs/>
          <w:sz w:val="20"/>
          <w:szCs w:val="20"/>
          <w:shd w:val="clear" w:color="auto" w:fill="FFFFFF"/>
        </w:rPr>
        <w:t>Signature and date are set out in the Agreement.</w:t>
      </w:r>
    </w:p>
    <w:p w14:paraId="752B4861" w14:textId="77777777" w:rsidR="00785E60" w:rsidRPr="008512BE" w:rsidRDefault="00E15336" w:rsidP="2AA1C73E">
      <w:pPr>
        <w:jc w:val="both"/>
        <w:rPr>
          <w:rFonts w:ascii="Arial" w:hAnsi="Arial" w:cs="Arial"/>
          <w:i/>
          <w:iCs/>
          <w:sz w:val="20"/>
          <w:szCs w:val="20"/>
        </w:rPr>
      </w:pPr>
      <w:r w:rsidRPr="008512BE">
        <w:rPr>
          <w:rFonts w:ascii="Arial" w:hAnsi="Arial" w:cs="Arial"/>
          <w:i/>
          <w:iCs/>
          <w:sz w:val="20"/>
          <w:szCs w:val="20"/>
        </w:rPr>
        <w:t xml:space="preserve">Role Controller/ Processor): </w:t>
      </w:r>
      <w:r w:rsidRPr="008512BE">
        <w:rPr>
          <w:rFonts w:ascii="Arial" w:hAnsi="Arial" w:cs="Arial"/>
          <w:b/>
          <w:bCs/>
          <w:i/>
          <w:iCs/>
          <w:sz w:val="20"/>
          <w:szCs w:val="20"/>
        </w:rPr>
        <w:t>Controller</w:t>
      </w:r>
    </w:p>
    <w:p w14:paraId="1884ABAD" w14:textId="7F38A507" w:rsidR="00785E60" w:rsidRPr="008512BE" w:rsidRDefault="00E15336" w:rsidP="2AA1C73E">
      <w:pPr>
        <w:jc w:val="both"/>
        <w:rPr>
          <w:rFonts w:ascii="Arial" w:hAnsi="Arial" w:cs="Arial"/>
          <w:i/>
          <w:iCs/>
          <w:sz w:val="20"/>
          <w:szCs w:val="20"/>
        </w:rPr>
      </w:pPr>
      <w:r w:rsidRPr="008512BE">
        <w:rPr>
          <w:rFonts w:ascii="Arial" w:hAnsi="Arial" w:cs="Arial"/>
          <w:b/>
          <w:bCs/>
          <w:i/>
          <w:iCs/>
          <w:sz w:val="20"/>
          <w:szCs w:val="20"/>
        </w:rPr>
        <w:t>Data importer(s):</w:t>
      </w:r>
      <w:r w:rsidRPr="008512BE">
        <w:rPr>
          <w:rFonts w:ascii="Arial" w:hAnsi="Arial" w:cs="Arial"/>
          <w:i/>
          <w:iCs/>
          <w:sz w:val="20"/>
          <w:szCs w:val="20"/>
        </w:rPr>
        <w:t xml:space="preserve"> </w:t>
      </w:r>
    </w:p>
    <w:p w14:paraId="34BAB7D5" w14:textId="7E767F6C" w:rsidR="00785E60" w:rsidRPr="00AD2283" w:rsidRDefault="00E15336" w:rsidP="2AA1C73E">
      <w:pPr>
        <w:numPr>
          <w:ilvl w:val="0"/>
          <w:numId w:val="18"/>
        </w:numPr>
        <w:jc w:val="both"/>
        <w:rPr>
          <w:rFonts w:ascii="Arial" w:hAnsi="Arial" w:cs="Arial"/>
          <w:i/>
          <w:iCs/>
          <w:sz w:val="20"/>
          <w:szCs w:val="20"/>
        </w:rPr>
      </w:pPr>
      <w:r w:rsidRPr="00AD2283">
        <w:rPr>
          <w:rFonts w:ascii="Arial" w:hAnsi="Arial" w:cs="Arial"/>
          <w:i/>
          <w:iCs/>
          <w:sz w:val="20"/>
          <w:szCs w:val="20"/>
        </w:rPr>
        <w:t xml:space="preserve">Name: </w:t>
      </w:r>
      <w:r w:rsidR="00AD2283" w:rsidRPr="00AD2283">
        <w:rPr>
          <w:rFonts w:ascii="Arial" w:hAnsi="Arial" w:cs="Arial"/>
          <w:b/>
          <w:bCs/>
          <w:i/>
          <w:iCs/>
          <w:sz w:val="20"/>
          <w:szCs w:val="20"/>
        </w:rPr>
        <w:t>Data Semantics</w:t>
      </w:r>
    </w:p>
    <w:p w14:paraId="6620AEF9" w14:textId="5879F724" w:rsidR="00785E60" w:rsidRPr="008512BE" w:rsidRDefault="00E15336" w:rsidP="2AA1C73E">
      <w:pPr>
        <w:jc w:val="both"/>
        <w:rPr>
          <w:rFonts w:ascii="Arial" w:hAnsi="Arial" w:cs="Arial"/>
          <w:i/>
          <w:iCs/>
          <w:sz w:val="20"/>
          <w:szCs w:val="20"/>
        </w:rPr>
      </w:pPr>
      <w:r w:rsidRPr="00AD2283">
        <w:rPr>
          <w:rFonts w:ascii="Arial" w:hAnsi="Arial" w:cs="Arial"/>
          <w:i/>
          <w:iCs/>
          <w:sz w:val="20"/>
          <w:szCs w:val="20"/>
        </w:rPr>
        <w:t xml:space="preserve">Contact person’s name, </w:t>
      </w:r>
      <w:r w:rsidR="00A669CB" w:rsidRPr="00AD2283">
        <w:rPr>
          <w:rFonts w:ascii="Arial" w:hAnsi="Arial" w:cs="Arial"/>
          <w:i/>
          <w:iCs/>
          <w:sz w:val="20"/>
          <w:szCs w:val="20"/>
        </w:rPr>
        <w:t>position,</w:t>
      </w:r>
      <w:r w:rsidRPr="00AD2283">
        <w:rPr>
          <w:rFonts w:ascii="Arial" w:hAnsi="Arial" w:cs="Arial"/>
          <w:i/>
          <w:iCs/>
          <w:sz w:val="20"/>
          <w:szCs w:val="20"/>
        </w:rPr>
        <w:t xml:space="preserve"> and contact details</w:t>
      </w:r>
      <w:r w:rsidR="00AD2283">
        <w:rPr>
          <w:rFonts w:ascii="Arial" w:hAnsi="Arial" w:cs="Arial"/>
          <w:i/>
          <w:iCs/>
          <w:sz w:val="20"/>
          <w:szCs w:val="20"/>
        </w:rPr>
        <w:t xml:space="preserve">: </w:t>
      </w:r>
      <w:hyperlink r:id="rId11" w:history="1">
        <w:r w:rsidR="00AD2283" w:rsidRPr="004845A9">
          <w:rPr>
            <w:rStyle w:val="Hyperlink"/>
            <w:rFonts w:ascii="Arial" w:hAnsi="Arial" w:cs="Arial"/>
            <w:i/>
            <w:iCs/>
            <w:sz w:val="20"/>
            <w:szCs w:val="20"/>
          </w:rPr>
          <w:t>isofficer@datasemantics.co</w:t>
        </w:r>
      </w:hyperlink>
      <w:r w:rsidR="00AD2283">
        <w:rPr>
          <w:rFonts w:ascii="Arial" w:hAnsi="Arial" w:cs="Arial"/>
          <w:i/>
          <w:iCs/>
          <w:sz w:val="20"/>
          <w:szCs w:val="20"/>
        </w:rPr>
        <w:t xml:space="preserve"> </w:t>
      </w:r>
    </w:p>
    <w:p w14:paraId="17AFFBBB" w14:textId="25D0048C" w:rsidR="00D91097" w:rsidRPr="006858E8" w:rsidRDefault="00E15336" w:rsidP="00D91097">
      <w:pPr>
        <w:rPr>
          <w:rFonts w:ascii="Arial" w:hAnsi="Arial" w:cs="Arial"/>
          <w:b/>
          <w:bCs/>
          <w:i/>
          <w:iCs/>
          <w:sz w:val="20"/>
          <w:szCs w:val="20"/>
        </w:rPr>
      </w:pPr>
      <w:r w:rsidRPr="008512BE">
        <w:rPr>
          <w:rFonts w:ascii="Arial" w:hAnsi="Arial" w:cs="Arial"/>
          <w:i/>
          <w:iCs/>
          <w:sz w:val="20"/>
          <w:szCs w:val="20"/>
        </w:rPr>
        <w:t xml:space="preserve">Activities relevant to the data transferred under these </w:t>
      </w:r>
      <w:r w:rsidR="006B2C07" w:rsidRPr="008512BE">
        <w:rPr>
          <w:rFonts w:ascii="Arial" w:hAnsi="Arial" w:cs="Arial"/>
          <w:i/>
          <w:iCs/>
          <w:sz w:val="20"/>
          <w:szCs w:val="20"/>
        </w:rPr>
        <w:t>Clauses</w:t>
      </w:r>
      <w:r w:rsidR="00D91097" w:rsidRPr="008512BE">
        <w:rPr>
          <w:rFonts w:ascii="Arial" w:hAnsi="Arial" w:cs="Arial"/>
          <w:b/>
          <w:bCs/>
          <w:sz w:val="20"/>
          <w:szCs w:val="20"/>
          <w:shd w:val="clear" w:color="auto" w:fill="FFFFFF"/>
        </w:rPr>
        <w:t xml:space="preserve">: </w:t>
      </w:r>
      <w:r w:rsidR="00D91097" w:rsidRPr="006858E8">
        <w:rPr>
          <w:rFonts w:ascii="Arial" w:hAnsi="Arial" w:cs="Arial"/>
          <w:b/>
          <w:bCs/>
          <w:sz w:val="20"/>
          <w:szCs w:val="20"/>
          <w:shd w:val="clear" w:color="auto" w:fill="FFFFFF"/>
        </w:rPr>
        <w:t>Provision of the Services to the Customer in accordance with the Agreement.</w:t>
      </w:r>
    </w:p>
    <w:p w14:paraId="5F0FFB38" w14:textId="5558FD3D" w:rsidR="006B2C07" w:rsidRPr="008512BE" w:rsidRDefault="00E15336" w:rsidP="00D91097">
      <w:pPr>
        <w:rPr>
          <w:rFonts w:ascii="Arial" w:hAnsi="Arial" w:cs="Arial"/>
          <w:b/>
          <w:bCs/>
          <w:sz w:val="20"/>
          <w:szCs w:val="20"/>
          <w:shd w:val="clear" w:color="auto" w:fill="FFFFFF"/>
        </w:rPr>
      </w:pPr>
      <w:r w:rsidRPr="006858E8">
        <w:rPr>
          <w:rFonts w:ascii="Arial" w:hAnsi="Arial" w:cs="Arial"/>
          <w:i/>
          <w:iCs/>
          <w:sz w:val="20"/>
          <w:szCs w:val="20"/>
        </w:rPr>
        <w:t>Signature and date</w:t>
      </w:r>
      <w:r w:rsidRPr="006858E8">
        <w:rPr>
          <w:rFonts w:ascii="Arial" w:hAnsi="Arial" w:cs="Arial"/>
          <w:b/>
          <w:bCs/>
          <w:i/>
          <w:iCs/>
          <w:sz w:val="20"/>
          <w:szCs w:val="20"/>
        </w:rPr>
        <w:t xml:space="preserve">: </w:t>
      </w:r>
      <w:r w:rsidR="006B2C07" w:rsidRPr="006858E8">
        <w:rPr>
          <w:rFonts w:ascii="Arial" w:hAnsi="Arial" w:cs="Arial"/>
          <w:b/>
          <w:bCs/>
          <w:sz w:val="20"/>
          <w:szCs w:val="20"/>
          <w:shd w:val="clear" w:color="auto" w:fill="FFFFFF"/>
        </w:rPr>
        <w:t>Signature and date are set out in the Agreement</w:t>
      </w:r>
      <w:r w:rsidR="006B2C07" w:rsidRPr="008512BE">
        <w:rPr>
          <w:rFonts w:ascii="Arial" w:hAnsi="Arial" w:cs="Arial"/>
          <w:b/>
          <w:bCs/>
          <w:sz w:val="20"/>
          <w:szCs w:val="20"/>
          <w:shd w:val="clear" w:color="auto" w:fill="FFFFFF"/>
        </w:rPr>
        <w:t>.</w:t>
      </w:r>
    </w:p>
    <w:p w14:paraId="07F4329F" w14:textId="543DB9DB" w:rsidR="005D20F3" w:rsidRPr="008512BE" w:rsidRDefault="00E15336" w:rsidP="2AA1C73E">
      <w:pPr>
        <w:jc w:val="both"/>
        <w:rPr>
          <w:rFonts w:ascii="Arial" w:hAnsi="Arial" w:cs="Arial"/>
          <w:i/>
          <w:iCs/>
          <w:sz w:val="20"/>
          <w:szCs w:val="20"/>
        </w:rPr>
      </w:pPr>
      <w:r w:rsidRPr="008512BE">
        <w:rPr>
          <w:rFonts w:ascii="Arial" w:hAnsi="Arial" w:cs="Arial"/>
          <w:i/>
          <w:iCs/>
          <w:sz w:val="20"/>
          <w:szCs w:val="20"/>
        </w:rPr>
        <w:t xml:space="preserve">Role (controller/processor): </w:t>
      </w:r>
      <w:r w:rsidRPr="008512BE">
        <w:rPr>
          <w:rFonts w:ascii="Arial" w:hAnsi="Arial" w:cs="Arial"/>
          <w:b/>
          <w:bCs/>
          <w:i/>
          <w:iCs/>
          <w:sz w:val="20"/>
          <w:szCs w:val="20"/>
        </w:rPr>
        <w:t>Processor.</w:t>
      </w:r>
    </w:p>
    <w:p w14:paraId="774DC745" w14:textId="11BC82D7" w:rsidR="00785E60" w:rsidRPr="008512BE" w:rsidRDefault="00E15336" w:rsidP="0DAC9994">
      <w:pPr>
        <w:jc w:val="center"/>
        <w:rPr>
          <w:rFonts w:ascii="Arial" w:hAnsi="Arial" w:cs="Arial"/>
          <w:i/>
          <w:iCs/>
          <w:sz w:val="20"/>
          <w:szCs w:val="20"/>
        </w:rPr>
      </w:pPr>
      <w:r w:rsidRPr="008512BE">
        <w:rPr>
          <w:rFonts w:ascii="Arial" w:hAnsi="Arial" w:cs="Arial"/>
          <w:b/>
          <w:bCs/>
          <w:i/>
          <w:iCs/>
          <w:sz w:val="20"/>
          <w:szCs w:val="20"/>
        </w:rPr>
        <w:t>B. DESCRIPTION OF TRANSFER</w:t>
      </w:r>
    </w:p>
    <w:p w14:paraId="7DE29EBE" w14:textId="77777777" w:rsidR="00785E60" w:rsidRPr="008512BE" w:rsidRDefault="00E15336" w:rsidP="2AA1C73E">
      <w:pPr>
        <w:numPr>
          <w:ilvl w:val="0"/>
          <w:numId w:val="20"/>
        </w:numPr>
        <w:jc w:val="both"/>
        <w:rPr>
          <w:rFonts w:ascii="Arial" w:hAnsi="Arial" w:cs="Arial"/>
          <w:i/>
          <w:iCs/>
          <w:sz w:val="20"/>
          <w:szCs w:val="20"/>
        </w:rPr>
      </w:pPr>
      <w:r w:rsidRPr="008512BE">
        <w:rPr>
          <w:rFonts w:ascii="Arial" w:hAnsi="Arial" w:cs="Arial"/>
          <w:i/>
          <w:iCs/>
          <w:sz w:val="20"/>
          <w:szCs w:val="20"/>
        </w:rPr>
        <w:t>Categories of data subjects whose personal data is transferred</w:t>
      </w:r>
    </w:p>
    <w:p w14:paraId="3761B830" w14:textId="050AD780" w:rsidR="00F903DF" w:rsidRPr="008512BE" w:rsidRDefault="00E13D62" w:rsidP="2AA1C73E">
      <w:pPr>
        <w:numPr>
          <w:ilvl w:val="0"/>
          <w:numId w:val="20"/>
        </w:numPr>
        <w:jc w:val="both"/>
        <w:rPr>
          <w:rFonts w:ascii="Arial" w:hAnsi="Arial" w:cs="Arial"/>
          <w:b/>
          <w:bCs/>
          <w:i/>
          <w:iCs/>
          <w:sz w:val="20"/>
          <w:szCs w:val="20"/>
        </w:rPr>
      </w:pPr>
      <w:r w:rsidRPr="008512BE">
        <w:rPr>
          <w:rFonts w:ascii="Arial" w:hAnsi="Arial" w:cs="Arial"/>
          <w:b/>
          <w:bCs/>
          <w:sz w:val="20"/>
          <w:szCs w:val="20"/>
          <w:shd w:val="clear" w:color="auto" w:fill="FFFFFF"/>
        </w:rPr>
        <w:t>Customer’s authorized users of the Services</w:t>
      </w:r>
      <w:r w:rsidR="00F903DF" w:rsidRPr="008512BE">
        <w:rPr>
          <w:rFonts w:ascii="Arial" w:hAnsi="Arial" w:cs="Arial"/>
          <w:b/>
          <w:bCs/>
          <w:i/>
          <w:iCs/>
          <w:sz w:val="20"/>
          <w:szCs w:val="20"/>
        </w:rPr>
        <w:t>.</w:t>
      </w:r>
    </w:p>
    <w:p w14:paraId="2A207544" w14:textId="34AD3884" w:rsidR="00785E60" w:rsidRPr="008512BE" w:rsidRDefault="00E15336" w:rsidP="2AA1C73E">
      <w:pPr>
        <w:jc w:val="both"/>
        <w:rPr>
          <w:rFonts w:ascii="Arial" w:hAnsi="Arial" w:cs="Arial"/>
          <w:i/>
          <w:iCs/>
          <w:sz w:val="20"/>
          <w:szCs w:val="20"/>
        </w:rPr>
      </w:pPr>
      <w:r w:rsidRPr="008512BE">
        <w:rPr>
          <w:rFonts w:ascii="Arial" w:hAnsi="Arial" w:cs="Arial"/>
          <w:i/>
          <w:iCs/>
          <w:sz w:val="20"/>
          <w:szCs w:val="20"/>
        </w:rPr>
        <w:t>Categories of personal data transferred</w:t>
      </w:r>
    </w:p>
    <w:p w14:paraId="6C7CD804" w14:textId="47EFCA01" w:rsidR="00E13D62" w:rsidRPr="008512BE" w:rsidRDefault="00E13D62" w:rsidP="00D91097">
      <w:pPr>
        <w:numPr>
          <w:ilvl w:val="0"/>
          <w:numId w:val="20"/>
        </w:numPr>
        <w:jc w:val="both"/>
        <w:rPr>
          <w:rFonts w:ascii="Arial" w:hAnsi="Arial" w:cs="Arial"/>
          <w:b/>
          <w:bCs/>
          <w:sz w:val="20"/>
          <w:szCs w:val="20"/>
          <w:shd w:val="clear" w:color="auto" w:fill="FFFFFF"/>
        </w:rPr>
      </w:pPr>
      <w:r w:rsidRPr="008512BE">
        <w:rPr>
          <w:rFonts w:ascii="Arial" w:hAnsi="Arial" w:cs="Arial"/>
          <w:b/>
          <w:bCs/>
          <w:sz w:val="20"/>
          <w:szCs w:val="20"/>
          <w:shd w:val="clear" w:color="auto" w:fill="FFFFFF"/>
        </w:rPr>
        <w:t>Name, Address, Date of Birth, Age, Education, Email, Gender, Image, Job, Language, Phone, Related person, Related URL, User ID, Username</w:t>
      </w:r>
      <w:r w:rsidR="00D91097" w:rsidRPr="008512BE">
        <w:rPr>
          <w:rFonts w:ascii="Arial" w:hAnsi="Arial" w:cs="Arial"/>
          <w:b/>
          <w:bCs/>
          <w:sz w:val="20"/>
          <w:szCs w:val="20"/>
          <w:shd w:val="clear" w:color="auto" w:fill="FFFFFF"/>
        </w:rPr>
        <w:t>.</w:t>
      </w:r>
    </w:p>
    <w:p w14:paraId="2F864B73" w14:textId="25C70D73" w:rsidR="00785E60" w:rsidRPr="008512BE" w:rsidRDefault="00E15336" w:rsidP="2AA1C73E">
      <w:pPr>
        <w:jc w:val="both"/>
        <w:rPr>
          <w:rFonts w:ascii="Arial" w:hAnsi="Arial" w:cs="Arial"/>
          <w:sz w:val="20"/>
          <w:szCs w:val="20"/>
        </w:rPr>
      </w:pPr>
      <w:r w:rsidRPr="008512BE">
        <w:rPr>
          <w:rFonts w:ascii="Arial" w:hAnsi="Arial" w:cs="Arial"/>
          <w:i/>
          <w:iCs/>
          <w:sz w:val="20"/>
          <w:szCs w:val="20"/>
        </w:rPr>
        <w:t>Sensitive data transferred (if applicable) and applied restrictions or safeguards that fully take into consideration the nature of the data and the risks involved, such as for instance strict purpose limitation, access restrictions (including access only for staff having followed specialized training), keeping a record of access to the data, restrictions for onward transfers or additional security measures.</w:t>
      </w:r>
    </w:p>
    <w:p w14:paraId="7BB36FD2" w14:textId="11F90589" w:rsidR="007C0485" w:rsidRPr="008512BE" w:rsidRDefault="00E13D62" w:rsidP="008512BE">
      <w:pPr>
        <w:pStyle w:val="ListParagraph"/>
        <w:numPr>
          <w:ilvl w:val="0"/>
          <w:numId w:val="20"/>
        </w:numPr>
        <w:shd w:val="clear" w:color="auto" w:fill="FFFFFF"/>
        <w:spacing w:after="240" w:line="240" w:lineRule="auto"/>
        <w:rPr>
          <w:rFonts w:ascii="Arial" w:eastAsia="Tahoma" w:hAnsi="Arial" w:cs="Arial"/>
          <w:b/>
          <w:bCs/>
          <w:sz w:val="20"/>
          <w:szCs w:val="20"/>
        </w:rPr>
      </w:pPr>
      <w:r w:rsidRPr="008512BE">
        <w:rPr>
          <w:rFonts w:ascii="Arial" w:hAnsi="Arial" w:cs="Arial"/>
          <w:b/>
          <w:bCs/>
          <w:sz w:val="20"/>
          <w:szCs w:val="20"/>
          <w:shd w:val="clear" w:color="auto" w:fill="FFFFFF"/>
        </w:rPr>
        <w:t>No sensitive data collected</w:t>
      </w:r>
      <w:r w:rsidR="00D91097" w:rsidRPr="008512BE">
        <w:rPr>
          <w:rFonts w:ascii="Arial" w:eastAsia="Tahoma" w:hAnsi="Arial" w:cs="Arial"/>
          <w:b/>
          <w:bCs/>
          <w:sz w:val="20"/>
          <w:szCs w:val="20"/>
        </w:rPr>
        <w:t>.</w:t>
      </w:r>
    </w:p>
    <w:p w14:paraId="55C3D14C" w14:textId="0ECA2328" w:rsidR="00785E60" w:rsidRPr="008512BE" w:rsidRDefault="00E15336" w:rsidP="2AA1C73E">
      <w:pPr>
        <w:jc w:val="both"/>
        <w:rPr>
          <w:rFonts w:ascii="Arial" w:hAnsi="Arial" w:cs="Arial"/>
          <w:sz w:val="20"/>
          <w:szCs w:val="20"/>
        </w:rPr>
      </w:pPr>
      <w:r w:rsidRPr="008512BE">
        <w:rPr>
          <w:rFonts w:ascii="Arial" w:hAnsi="Arial" w:cs="Arial"/>
          <w:i/>
          <w:iCs/>
          <w:sz w:val="20"/>
          <w:szCs w:val="20"/>
        </w:rPr>
        <w:t>The frequency of the transfer (e.g., whether the data is transferred on a one-off or continuous basis).</w:t>
      </w:r>
    </w:p>
    <w:p w14:paraId="2D395EF7" w14:textId="202D031B" w:rsidR="00F903DF" w:rsidRPr="008512BE" w:rsidRDefault="00E13D62" w:rsidP="2AA1C73E">
      <w:pPr>
        <w:numPr>
          <w:ilvl w:val="0"/>
          <w:numId w:val="20"/>
        </w:numPr>
        <w:jc w:val="both"/>
        <w:rPr>
          <w:rFonts w:ascii="Arial" w:hAnsi="Arial" w:cs="Arial"/>
          <w:b/>
          <w:bCs/>
          <w:sz w:val="20"/>
          <w:szCs w:val="20"/>
          <w:shd w:val="clear" w:color="auto" w:fill="FFFFFF"/>
        </w:rPr>
      </w:pPr>
      <w:r w:rsidRPr="008512BE">
        <w:rPr>
          <w:rFonts w:ascii="Arial" w:hAnsi="Arial" w:cs="Arial"/>
          <w:b/>
          <w:bCs/>
          <w:sz w:val="20"/>
          <w:szCs w:val="20"/>
          <w:shd w:val="clear" w:color="auto" w:fill="FFFFFF"/>
        </w:rPr>
        <w:t>Continuous basis</w:t>
      </w:r>
    </w:p>
    <w:p w14:paraId="61E6DC61" w14:textId="12FE47B4" w:rsidR="00785E60" w:rsidRPr="008512BE" w:rsidRDefault="00E15336" w:rsidP="2AA1C73E">
      <w:pPr>
        <w:rPr>
          <w:rFonts w:ascii="Arial" w:hAnsi="Arial" w:cs="Arial"/>
          <w:b/>
          <w:bCs/>
          <w:sz w:val="20"/>
          <w:szCs w:val="20"/>
        </w:rPr>
      </w:pPr>
      <w:r w:rsidRPr="008512BE">
        <w:rPr>
          <w:rFonts w:ascii="Arial" w:hAnsi="Arial" w:cs="Arial"/>
          <w:i/>
          <w:iCs/>
          <w:sz w:val="20"/>
          <w:szCs w:val="20"/>
        </w:rPr>
        <w:t xml:space="preserve">Nature of the processing </w:t>
      </w:r>
      <w:r w:rsidR="00E13D62" w:rsidRPr="008512BE">
        <w:rPr>
          <w:rFonts w:ascii="Arial" w:hAnsi="Arial" w:cs="Arial"/>
          <w:i/>
          <w:iCs/>
          <w:sz w:val="20"/>
          <w:szCs w:val="20"/>
        </w:rPr>
        <w:br/>
      </w:r>
    </w:p>
    <w:p w14:paraId="70A16B19" w14:textId="77777777" w:rsidR="00785E60" w:rsidRPr="008512BE" w:rsidRDefault="00E15336" w:rsidP="2AA1C73E">
      <w:pPr>
        <w:jc w:val="both"/>
        <w:rPr>
          <w:rFonts w:ascii="Arial" w:hAnsi="Arial" w:cs="Arial"/>
          <w:sz w:val="20"/>
          <w:szCs w:val="20"/>
        </w:rPr>
      </w:pPr>
      <w:r w:rsidRPr="008512BE">
        <w:rPr>
          <w:rFonts w:ascii="Arial" w:hAnsi="Arial" w:cs="Arial"/>
          <w:i/>
          <w:iCs/>
          <w:sz w:val="20"/>
          <w:szCs w:val="20"/>
        </w:rPr>
        <w:t>Purpose(s) of the data transfer and further processing</w:t>
      </w:r>
    </w:p>
    <w:p w14:paraId="139E37DE" w14:textId="77777777" w:rsidR="00E13D62" w:rsidRPr="008512BE" w:rsidRDefault="00E13D62" w:rsidP="2AA1C73E">
      <w:pPr>
        <w:jc w:val="both"/>
        <w:rPr>
          <w:rFonts w:ascii="Arial" w:hAnsi="Arial" w:cs="Arial"/>
          <w:b/>
          <w:bCs/>
          <w:sz w:val="20"/>
          <w:szCs w:val="20"/>
          <w:shd w:val="clear" w:color="auto" w:fill="FFFFFF"/>
        </w:rPr>
      </w:pPr>
      <w:r w:rsidRPr="006858E8">
        <w:rPr>
          <w:rFonts w:ascii="Arial" w:hAnsi="Arial" w:cs="Arial"/>
          <w:b/>
          <w:bCs/>
          <w:sz w:val="20"/>
          <w:szCs w:val="20"/>
          <w:shd w:val="clear" w:color="auto" w:fill="FFFFFF"/>
        </w:rPr>
        <w:lastRenderedPageBreak/>
        <w:t>The purpose of the transfer is to facilitate the performance of the Services more fully described in the Agreement and accompanying order forms.</w:t>
      </w:r>
    </w:p>
    <w:p w14:paraId="5AA81AAF" w14:textId="410C657D" w:rsidR="00785E60" w:rsidRPr="008512BE" w:rsidRDefault="00E15336" w:rsidP="2AA1C73E">
      <w:pPr>
        <w:jc w:val="both"/>
        <w:rPr>
          <w:rFonts w:ascii="Arial" w:hAnsi="Arial" w:cs="Arial"/>
          <w:sz w:val="20"/>
          <w:szCs w:val="20"/>
        </w:rPr>
      </w:pPr>
      <w:r w:rsidRPr="008512BE">
        <w:rPr>
          <w:rFonts w:ascii="Arial" w:hAnsi="Arial" w:cs="Arial"/>
          <w:i/>
          <w:iCs/>
          <w:sz w:val="20"/>
          <w:szCs w:val="20"/>
        </w:rPr>
        <w:t>The period for which the personal data will be retained, or, if that is not possible, the criteria used to determine that period</w:t>
      </w:r>
    </w:p>
    <w:p w14:paraId="5ED62E3A" w14:textId="77777777" w:rsidR="00E13D62" w:rsidRPr="008512BE" w:rsidRDefault="00E13D62" w:rsidP="2AA1C73E">
      <w:pPr>
        <w:jc w:val="both"/>
        <w:rPr>
          <w:rFonts w:ascii="Arial" w:hAnsi="Arial" w:cs="Arial"/>
          <w:b/>
          <w:bCs/>
          <w:sz w:val="20"/>
          <w:szCs w:val="20"/>
          <w:shd w:val="clear" w:color="auto" w:fill="FFFFFF"/>
        </w:rPr>
      </w:pPr>
      <w:r w:rsidRPr="006858E8">
        <w:rPr>
          <w:rFonts w:ascii="Arial" w:hAnsi="Arial" w:cs="Arial"/>
          <w:b/>
          <w:bCs/>
          <w:sz w:val="20"/>
          <w:szCs w:val="20"/>
          <w:shd w:val="clear" w:color="auto" w:fill="FFFFFF"/>
        </w:rPr>
        <w:t>The period for which the Customer Personal Data will be retained is more fully described in the Agreement, Addendum, and accompanying order forms.</w:t>
      </w:r>
    </w:p>
    <w:p w14:paraId="76546DE6" w14:textId="6358C04D" w:rsidR="00785E60" w:rsidRPr="008512BE" w:rsidRDefault="00E15336" w:rsidP="2AA1C73E">
      <w:pPr>
        <w:jc w:val="both"/>
        <w:rPr>
          <w:rFonts w:ascii="Arial" w:hAnsi="Arial" w:cs="Arial"/>
          <w:sz w:val="20"/>
          <w:szCs w:val="20"/>
        </w:rPr>
      </w:pPr>
      <w:r w:rsidRPr="008512BE">
        <w:rPr>
          <w:rFonts w:ascii="Arial" w:hAnsi="Arial" w:cs="Arial"/>
          <w:i/>
          <w:iCs/>
          <w:sz w:val="20"/>
          <w:szCs w:val="20"/>
        </w:rPr>
        <w:t>For transfers to (sub-) processors, also specify subject matter, nature, and duration of the processing</w:t>
      </w:r>
    </w:p>
    <w:p w14:paraId="571B2FF2" w14:textId="77777777" w:rsidR="00E13D62" w:rsidRPr="006858E8" w:rsidRDefault="00E13D62" w:rsidP="2AA1C73E">
      <w:pPr>
        <w:numPr>
          <w:ilvl w:val="0"/>
          <w:numId w:val="22"/>
        </w:numPr>
        <w:jc w:val="both"/>
        <w:rPr>
          <w:rFonts w:ascii="Arial" w:hAnsi="Arial" w:cs="Arial"/>
          <w:b/>
          <w:bCs/>
          <w:sz w:val="20"/>
          <w:szCs w:val="20"/>
        </w:rPr>
      </w:pPr>
      <w:r w:rsidRPr="006858E8">
        <w:rPr>
          <w:rFonts w:ascii="Arial" w:hAnsi="Arial" w:cs="Arial"/>
          <w:b/>
          <w:bCs/>
          <w:sz w:val="20"/>
          <w:szCs w:val="20"/>
          <w:shd w:val="clear" w:color="auto" w:fill="FFFFFF"/>
        </w:rPr>
        <w:t>The subject matter, nature, and duration of the Processing more fully described in the Agreement, Addendum, and accompanying order forms.</w:t>
      </w:r>
    </w:p>
    <w:p w14:paraId="16D76B5F" w14:textId="77777777" w:rsidR="00D91097" w:rsidRPr="008512BE" w:rsidRDefault="00D91097" w:rsidP="2AA1C73E">
      <w:pPr>
        <w:numPr>
          <w:ilvl w:val="0"/>
          <w:numId w:val="22"/>
        </w:numPr>
        <w:jc w:val="both"/>
        <w:rPr>
          <w:rFonts w:ascii="Arial" w:hAnsi="Arial" w:cs="Arial"/>
          <w:sz w:val="20"/>
          <w:szCs w:val="20"/>
        </w:rPr>
      </w:pPr>
    </w:p>
    <w:p w14:paraId="14DACAFD" w14:textId="3D022878" w:rsidR="00785E60" w:rsidRPr="008512BE" w:rsidRDefault="00E15336" w:rsidP="2AA1C73E">
      <w:pPr>
        <w:numPr>
          <w:ilvl w:val="0"/>
          <w:numId w:val="22"/>
        </w:numPr>
        <w:jc w:val="both"/>
        <w:rPr>
          <w:rFonts w:ascii="Arial" w:hAnsi="Arial" w:cs="Arial"/>
          <w:sz w:val="20"/>
          <w:szCs w:val="20"/>
        </w:rPr>
      </w:pPr>
      <w:r w:rsidRPr="008512BE">
        <w:rPr>
          <w:rFonts w:ascii="Arial" w:hAnsi="Arial" w:cs="Arial"/>
          <w:sz w:val="20"/>
          <w:szCs w:val="20"/>
        </w:rPr>
        <w:t>C.COMPETENT SUPERVISORY AUTHORITY</w:t>
      </w:r>
    </w:p>
    <w:p w14:paraId="5A16F1A7" w14:textId="77777777" w:rsidR="008512BE" w:rsidRPr="008512BE" w:rsidRDefault="004E5AF8" w:rsidP="008512BE">
      <w:pPr>
        <w:pStyle w:val="NormalWeb"/>
        <w:numPr>
          <w:ilvl w:val="0"/>
          <w:numId w:val="22"/>
        </w:numPr>
        <w:rPr>
          <w:rFonts w:ascii="Arial" w:hAnsi="Arial" w:cs="Arial"/>
          <w:i/>
          <w:iCs/>
          <w:sz w:val="20"/>
          <w:szCs w:val="20"/>
        </w:rPr>
      </w:pPr>
      <w:r w:rsidRPr="008512BE">
        <w:rPr>
          <w:rFonts w:ascii="Arial" w:hAnsi="Arial" w:cs="Arial"/>
          <w:i/>
          <w:iCs/>
          <w:sz w:val="20"/>
          <w:szCs w:val="20"/>
        </w:rPr>
        <w:t>Data exporter is established in an EEA country.</w:t>
      </w:r>
    </w:p>
    <w:p w14:paraId="304653F7" w14:textId="6A4AFE9E" w:rsidR="004E5AF8" w:rsidRPr="008512BE" w:rsidRDefault="004E5AF8" w:rsidP="008512BE">
      <w:pPr>
        <w:pStyle w:val="NormalWeb"/>
        <w:numPr>
          <w:ilvl w:val="0"/>
          <w:numId w:val="22"/>
        </w:numPr>
        <w:rPr>
          <w:rFonts w:ascii="Arial" w:hAnsi="Arial" w:cs="Arial"/>
          <w:i/>
          <w:iCs/>
          <w:sz w:val="20"/>
          <w:szCs w:val="20"/>
        </w:rPr>
      </w:pPr>
      <w:r w:rsidRPr="008512BE">
        <w:rPr>
          <w:rFonts w:ascii="Arial" w:hAnsi="Arial" w:cs="Arial"/>
          <w:i/>
          <w:iCs/>
          <w:sz w:val="20"/>
          <w:szCs w:val="20"/>
        </w:rPr>
        <w:t>The competent supervisory authority is</w:t>
      </w:r>
      <w:r w:rsidR="00D13EB9" w:rsidRPr="008512BE">
        <w:rPr>
          <w:rFonts w:ascii="Arial" w:hAnsi="Arial" w:cs="Arial"/>
          <w:i/>
          <w:iCs/>
          <w:sz w:val="20"/>
          <w:szCs w:val="20"/>
          <w:lang w:val="en-US"/>
        </w:rPr>
        <w:t xml:space="preserve"> </w:t>
      </w:r>
      <w:r w:rsidR="00D13EB9" w:rsidRPr="008512BE">
        <w:rPr>
          <w:rFonts w:ascii="Arial" w:hAnsi="Arial" w:cs="Arial"/>
          <w:b/>
          <w:bCs/>
          <w:i/>
          <w:iCs/>
          <w:sz w:val="20"/>
          <w:szCs w:val="20"/>
        </w:rPr>
        <w:t>as determined by application of Clause 13 of the EU SCCs.</w:t>
      </w:r>
    </w:p>
    <w:p w14:paraId="54D18C39" w14:textId="77777777" w:rsidR="00F6070D" w:rsidRPr="008512BE" w:rsidRDefault="00F6070D" w:rsidP="2AA1C73E">
      <w:pPr>
        <w:rPr>
          <w:rFonts w:ascii="Arial" w:hAnsi="Arial" w:cs="Arial"/>
          <w:b/>
          <w:bCs/>
          <w:i/>
          <w:iCs/>
          <w:sz w:val="20"/>
          <w:szCs w:val="20"/>
        </w:rPr>
      </w:pPr>
      <w:r w:rsidRPr="008512BE">
        <w:rPr>
          <w:rFonts w:ascii="Arial" w:hAnsi="Arial" w:cs="Arial"/>
          <w:b/>
          <w:bCs/>
          <w:i/>
          <w:iCs/>
          <w:sz w:val="20"/>
          <w:szCs w:val="20"/>
        </w:rPr>
        <w:br w:type="page"/>
      </w:r>
    </w:p>
    <w:p w14:paraId="6D01EBCD" w14:textId="1B56323A" w:rsidR="00785E60" w:rsidRPr="008512BE" w:rsidRDefault="00E15336" w:rsidP="2AA1C73E">
      <w:pPr>
        <w:jc w:val="center"/>
        <w:rPr>
          <w:rFonts w:ascii="Arial" w:hAnsi="Arial" w:cs="Arial"/>
          <w:b/>
          <w:bCs/>
          <w:sz w:val="20"/>
          <w:szCs w:val="20"/>
        </w:rPr>
      </w:pPr>
      <w:r w:rsidRPr="008512BE">
        <w:rPr>
          <w:rFonts w:ascii="Arial" w:hAnsi="Arial" w:cs="Arial"/>
          <w:b/>
          <w:bCs/>
          <w:i/>
          <w:iCs/>
          <w:sz w:val="20"/>
          <w:szCs w:val="20"/>
        </w:rPr>
        <w:lastRenderedPageBreak/>
        <w:t>ANNEX II</w:t>
      </w:r>
    </w:p>
    <w:p w14:paraId="7DBFF68E" w14:textId="77777777" w:rsidR="00785E60" w:rsidRPr="008512BE" w:rsidRDefault="00E15336" w:rsidP="2AA1C73E">
      <w:pPr>
        <w:jc w:val="center"/>
        <w:rPr>
          <w:rFonts w:ascii="Arial" w:hAnsi="Arial" w:cs="Arial"/>
          <w:b/>
          <w:bCs/>
          <w:sz w:val="20"/>
          <w:szCs w:val="20"/>
        </w:rPr>
      </w:pPr>
      <w:r w:rsidRPr="008512BE">
        <w:rPr>
          <w:rFonts w:ascii="Arial" w:hAnsi="Arial" w:cs="Arial"/>
          <w:b/>
          <w:bCs/>
          <w:sz w:val="20"/>
          <w:szCs w:val="20"/>
        </w:rPr>
        <w:t>TECHNICAL AND ORGANISATIONAL MEASURES INCLUDING TECHNICAL AND ORGANISATIONAL MEASURES TO ENSURE THE SECURITY OF THE DATA</w:t>
      </w:r>
    </w:p>
    <w:p w14:paraId="44253181" w14:textId="7A9DB481" w:rsidR="00D91097" w:rsidRPr="00D91097" w:rsidRDefault="00D91097" w:rsidP="00D91097">
      <w:pPr>
        <w:spacing w:after="0" w:line="240" w:lineRule="auto"/>
        <w:jc w:val="both"/>
        <w:rPr>
          <w:rFonts w:ascii="Arial" w:eastAsia="Times New Roman" w:hAnsi="Arial" w:cs="Arial"/>
          <w:sz w:val="20"/>
          <w:szCs w:val="20"/>
          <w:lang w:val="en-IN" w:bidi="ar-SA"/>
        </w:rPr>
      </w:pPr>
      <w:r w:rsidRPr="00D91097">
        <w:rPr>
          <w:rFonts w:ascii="Arial" w:eastAsia="Times New Roman" w:hAnsi="Arial" w:cs="Arial"/>
          <w:sz w:val="20"/>
          <w:szCs w:val="20"/>
          <w:shd w:val="clear" w:color="auto" w:fill="FFFFFF"/>
          <w:lang w:val="en-IN" w:bidi="ar-SA"/>
        </w:rPr>
        <w:t xml:space="preserve">Description of the  technical and organisational security measures implemented by </w:t>
      </w:r>
      <w:r w:rsidR="00AD2283">
        <w:rPr>
          <w:rFonts w:ascii="Arial" w:eastAsia="Times New Roman" w:hAnsi="Arial" w:cs="Arial"/>
          <w:sz w:val="20"/>
          <w:szCs w:val="20"/>
          <w:shd w:val="clear" w:color="auto" w:fill="FFFFFF"/>
          <w:lang w:val="en-IN" w:bidi="ar-SA"/>
        </w:rPr>
        <w:t>Data Semantics</w:t>
      </w:r>
      <w:r w:rsidRPr="00D91097">
        <w:rPr>
          <w:rFonts w:ascii="Arial" w:eastAsia="Times New Roman" w:hAnsi="Arial" w:cs="Arial"/>
          <w:sz w:val="20"/>
          <w:szCs w:val="20"/>
          <w:shd w:val="clear" w:color="auto" w:fill="FFFFFF"/>
          <w:lang w:val="en-IN" w:bidi="ar-SA"/>
        </w:rPr>
        <w:t xml:space="preserve"> as the data processor/data importer to ensure an appropriate level of security, taking into account the nature, scope, context, and purpose of the processing, and the risks for the rights and freedoms of natural persons.</w:t>
      </w:r>
    </w:p>
    <w:p w14:paraId="61E9079D" w14:textId="77777777" w:rsidR="00D91097" w:rsidRPr="00D91097" w:rsidRDefault="00D91097" w:rsidP="00D91097">
      <w:pPr>
        <w:shd w:val="clear" w:color="auto" w:fill="FFFFFF"/>
        <w:spacing w:before="100" w:beforeAutospacing="1" w:after="100" w:afterAutospacing="1" w:line="240" w:lineRule="auto"/>
        <w:jc w:val="both"/>
        <w:rPr>
          <w:rFonts w:ascii="Arial" w:eastAsia="Times New Roman" w:hAnsi="Arial" w:cs="Arial"/>
          <w:sz w:val="20"/>
          <w:szCs w:val="20"/>
          <w:lang w:val="en-IN" w:bidi="ar-SA"/>
        </w:rPr>
      </w:pPr>
    </w:p>
    <w:p w14:paraId="43D60580" w14:textId="77777777" w:rsidR="00D91097" w:rsidRPr="006858E8" w:rsidRDefault="00D91097" w:rsidP="00D91097">
      <w:pPr>
        <w:pStyle w:val="ListParagraph"/>
        <w:numPr>
          <w:ilvl w:val="0"/>
          <w:numId w:val="59"/>
        </w:numPr>
        <w:shd w:val="clear" w:color="auto" w:fill="FFFFFF"/>
        <w:spacing w:before="100" w:beforeAutospacing="1" w:after="100" w:afterAutospacing="1" w:line="240" w:lineRule="auto"/>
        <w:jc w:val="both"/>
        <w:rPr>
          <w:rFonts w:ascii="Arial" w:eastAsia="Times New Roman" w:hAnsi="Arial" w:cs="Arial"/>
          <w:sz w:val="20"/>
          <w:szCs w:val="20"/>
          <w:lang w:val="en-IN" w:bidi="ar-SA"/>
        </w:rPr>
      </w:pPr>
      <w:r w:rsidRPr="006858E8">
        <w:rPr>
          <w:rFonts w:ascii="Arial" w:eastAsia="Times New Roman" w:hAnsi="Arial" w:cs="Arial"/>
          <w:b/>
          <w:bCs/>
          <w:sz w:val="20"/>
          <w:szCs w:val="20"/>
          <w:lang w:val="en-IN" w:bidi="ar-SA"/>
        </w:rPr>
        <w:t>Security</w:t>
      </w:r>
    </w:p>
    <w:p w14:paraId="049DD5D2" w14:textId="77777777" w:rsidR="00D91097" w:rsidRPr="00D91097" w:rsidRDefault="00D91097" w:rsidP="00D91097">
      <w:pPr>
        <w:numPr>
          <w:ilvl w:val="1"/>
          <w:numId w:val="58"/>
        </w:numPr>
        <w:shd w:val="clear" w:color="auto" w:fill="FFFFFF"/>
        <w:spacing w:before="100" w:beforeAutospacing="1" w:after="100" w:afterAutospacing="1" w:line="240" w:lineRule="auto"/>
        <w:jc w:val="both"/>
        <w:rPr>
          <w:rFonts w:ascii="Arial" w:eastAsia="Times New Roman" w:hAnsi="Arial" w:cs="Arial"/>
          <w:sz w:val="20"/>
          <w:szCs w:val="20"/>
          <w:lang w:val="en-IN" w:bidi="ar-SA"/>
        </w:rPr>
      </w:pPr>
      <w:r w:rsidRPr="00D91097">
        <w:rPr>
          <w:rFonts w:ascii="Arial" w:eastAsia="Times New Roman" w:hAnsi="Arial" w:cs="Arial"/>
          <w:b/>
          <w:bCs/>
          <w:sz w:val="20"/>
          <w:szCs w:val="20"/>
          <w:lang w:val="en-IN" w:bidi="ar-SA"/>
        </w:rPr>
        <w:t>Security Management System</w:t>
      </w:r>
      <w:r w:rsidRPr="00D91097">
        <w:rPr>
          <w:rFonts w:ascii="Arial" w:eastAsia="Times New Roman" w:hAnsi="Arial" w:cs="Arial"/>
          <w:sz w:val="20"/>
          <w:szCs w:val="20"/>
          <w:lang w:val="en-IN" w:bidi="ar-SA"/>
        </w:rPr>
        <w:t>.</w:t>
      </w:r>
    </w:p>
    <w:p w14:paraId="3620965B" w14:textId="327F3F94" w:rsidR="00D91097" w:rsidRPr="00D91097" w:rsidRDefault="00D91097" w:rsidP="00D91097">
      <w:pPr>
        <w:numPr>
          <w:ilvl w:val="2"/>
          <w:numId w:val="58"/>
        </w:numPr>
        <w:shd w:val="clear" w:color="auto" w:fill="FFFFFF"/>
        <w:spacing w:before="100" w:beforeAutospacing="1" w:after="100" w:afterAutospacing="1" w:line="240" w:lineRule="auto"/>
        <w:jc w:val="both"/>
        <w:rPr>
          <w:rFonts w:ascii="Arial" w:eastAsia="Times New Roman" w:hAnsi="Arial" w:cs="Arial"/>
          <w:sz w:val="20"/>
          <w:szCs w:val="20"/>
          <w:lang w:val="en-IN" w:bidi="ar-SA"/>
        </w:rPr>
      </w:pPr>
      <w:r w:rsidRPr="00D91097">
        <w:rPr>
          <w:rFonts w:ascii="Arial" w:eastAsia="Times New Roman" w:hAnsi="Arial" w:cs="Arial"/>
          <w:b/>
          <w:bCs/>
          <w:sz w:val="20"/>
          <w:szCs w:val="20"/>
          <w:lang w:val="en-IN" w:bidi="ar-SA"/>
        </w:rPr>
        <w:t>Organization</w:t>
      </w:r>
      <w:r w:rsidRPr="00D91097">
        <w:rPr>
          <w:rFonts w:ascii="Arial" w:eastAsia="Times New Roman" w:hAnsi="Arial" w:cs="Arial"/>
          <w:sz w:val="20"/>
          <w:szCs w:val="20"/>
          <w:lang w:val="en-IN" w:bidi="ar-SA"/>
        </w:rPr>
        <w:t>.</w:t>
      </w:r>
      <w:r w:rsidR="00AD2283" w:rsidRPr="00AD2283">
        <w:rPr>
          <w:rFonts w:ascii="Arial" w:eastAsia="Times New Roman" w:hAnsi="Arial" w:cs="Arial"/>
          <w:sz w:val="20"/>
          <w:szCs w:val="20"/>
          <w:shd w:val="clear" w:color="auto" w:fill="FFFFFF"/>
          <w:lang w:val="en-IN" w:bidi="ar-SA"/>
        </w:rPr>
        <w:t xml:space="preserve"> </w:t>
      </w:r>
      <w:r w:rsidR="00AD2283">
        <w:rPr>
          <w:rFonts w:ascii="Arial" w:eastAsia="Times New Roman" w:hAnsi="Arial" w:cs="Arial"/>
          <w:sz w:val="20"/>
          <w:szCs w:val="20"/>
          <w:shd w:val="clear" w:color="auto" w:fill="FFFFFF"/>
          <w:lang w:val="en-IN" w:bidi="ar-SA"/>
        </w:rPr>
        <w:t>Data Semantics</w:t>
      </w:r>
      <w:r w:rsidR="00AD2283" w:rsidRPr="00D91097">
        <w:rPr>
          <w:rFonts w:ascii="Arial" w:eastAsia="Times New Roman" w:hAnsi="Arial" w:cs="Arial"/>
          <w:sz w:val="20"/>
          <w:szCs w:val="20"/>
          <w:shd w:val="clear" w:color="auto" w:fill="FFFFFF"/>
          <w:lang w:val="en-IN" w:bidi="ar-SA"/>
        </w:rPr>
        <w:t xml:space="preserve"> </w:t>
      </w:r>
      <w:r w:rsidRPr="00D91097">
        <w:rPr>
          <w:rFonts w:ascii="Arial" w:eastAsia="Times New Roman" w:hAnsi="Arial" w:cs="Arial"/>
          <w:sz w:val="20"/>
          <w:szCs w:val="20"/>
          <w:lang w:val="en-IN" w:bidi="ar-SA"/>
        </w:rPr>
        <w:t>designates qualified security personnel whose responsibilities include development, implementation, and ongoing maintenance of the Information Security Program.</w:t>
      </w:r>
    </w:p>
    <w:p w14:paraId="1B34FC53" w14:textId="77777777" w:rsidR="00D91097" w:rsidRPr="00D91097" w:rsidRDefault="00D91097" w:rsidP="00D91097">
      <w:pPr>
        <w:numPr>
          <w:ilvl w:val="2"/>
          <w:numId w:val="58"/>
        </w:numPr>
        <w:shd w:val="clear" w:color="auto" w:fill="FFFFFF"/>
        <w:spacing w:before="100" w:beforeAutospacing="1" w:after="100" w:afterAutospacing="1" w:line="240" w:lineRule="auto"/>
        <w:jc w:val="both"/>
        <w:rPr>
          <w:rFonts w:ascii="Arial" w:eastAsia="Times New Roman" w:hAnsi="Arial" w:cs="Arial"/>
          <w:sz w:val="20"/>
          <w:szCs w:val="20"/>
          <w:lang w:val="en-IN" w:bidi="ar-SA"/>
        </w:rPr>
      </w:pPr>
      <w:r w:rsidRPr="00D91097">
        <w:rPr>
          <w:rFonts w:ascii="Arial" w:eastAsia="Times New Roman" w:hAnsi="Arial" w:cs="Arial"/>
          <w:b/>
          <w:bCs/>
          <w:sz w:val="20"/>
          <w:szCs w:val="20"/>
          <w:lang w:val="en-IN" w:bidi="ar-SA"/>
        </w:rPr>
        <w:t>Policies</w:t>
      </w:r>
      <w:r w:rsidRPr="00D91097">
        <w:rPr>
          <w:rFonts w:ascii="Arial" w:eastAsia="Times New Roman" w:hAnsi="Arial" w:cs="Arial"/>
          <w:sz w:val="20"/>
          <w:szCs w:val="20"/>
          <w:lang w:val="en-IN" w:bidi="ar-SA"/>
        </w:rPr>
        <w:t>. Management reviews and supports all security related policies to ensure the security, availability, integrity and confidentiality of Customer Personal Data.  These policies are updated at least once annually.</w:t>
      </w:r>
    </w:p>
    <w:p w14:paraId="5AC0B8C5" w14:textId="4372810C" w:rsidR="00D91097" w:rsidRPr="00D91097" w:rsidRDefault="00D91097" w:rsidP="00D91097">
      <w:pPr>
        <w:numPr>
          <w:ilvl w:val="2"/>
          <w:numId w:val="58"/>
        </w:numPr>
        <w:shd w:val="clear" w:color="auto" w:fill="FFFFFF"/>
        <w:spacing w:before="100" w:beforeAutospacing="1" w:after="100" w:afterAutospacing="1" w:line="240" w:lineRule="auto"/>
        <w:jc w:val="both"/>
        <w:rPr>
          <w:rFonts w:ascii="Arial" w:eastAsia="Times New Roman" w:hAnsi="Arial" w:cs="Arial"/>
          <w:sz w:val="20"/>
          <w:szCs w:val="20"/>
          <w:lang w:val="en-IN" w:bidi="ar-SA"/>
        </w:rPr>
      </w:pPr>
      <w:r w:rsidRPr="00D91097">
        <w:rPr>
          <w:rFonts w:ascii="Arial" w:eastAsia="Times New Roman" w:hAnsi="Arial" w:cs="Arial"/>
          <w:b/>
          <w:bCs/>
          <w:sz w:val="20"/>
          <w:szCs w:val="20"/>
          <w:lang w:val="en-IN" w:bidi="ar-SA"/>
        </w:rPr>
        <w:t>Assessments</w:t>
      </w:r>
      <w:r w:rsidRPr="00D91097">
        <w:rPr>
          <w:rFonts w:ascii="Arial" w:eastAsia="Times New Roman" w:hAnsi="Arial" w:cs="Arial"/>
          <w:sz w:val="20"/>
          <w:szCs w:val="20"/>
          <w:lang w:val="en-IN" w:bidi="ar-SA"/>
        </w:rPr>
        <w:t xml:space="preserve">. </w:t>
      </w:r>
      <w:r w:rsidR="00AD2283">
        <w:rPr>
          <w:rFonts w:ascii="Arial" w:eastAsia="Times New Roman" w:hAnsi="Arial" w:cs="Arial"/>
          <w:sz w:val="20"/>
          <w:szCs w:val="20"/>
          <w:shd w:val="clear" w:color="auto" w:fill="FFFFFF"/>
          <w:lang w:val="en-IN" w:bidi="ar-SA"/>
        </w:rPr>
        <w:t>Data Semantics</w:t>
      </w:r>
      <w:r w:rsidR="00AD2283" w:rsidRPr="00D91097">
        <w:rPr>
          <w:rFonts w:ascii="Arial" w:eastAsia="Times New Roman" w:hAnsi="Arial" w:cs="Arial"/>
          <w:sz w:val="20"/>
          <w:szCs w:val="20"/>
          <w:shd w:val="clear" w:color="auto" w:fill="FFFFFF"/>
          <w:lang w:val="en-IN" w:bidi="ar-SA"/>
        </w:rPr>
        <w:t xml:space="preserve"> </w:t>
      </w:r>
      <w:r w:rsidRPr="00D91097">
        <w:rPr>
          <w:rFonts w:ascii="Arial" w:eastAsia="Times New Roman" w:hAnsi="Arial" w:cs="Arial"/>
          <w:sz w:val="20"/>
          <w:szCs w:val="20"/>
          <w:lang w:val="en-IN" w:bidi="ar-SA"/>
        </w:rPr>
        <w:t>engages a reputable independent third-party to perform risk assessments of all systems containing Customer Personal Data at least once annually.</w:t>
      </w:r>
    </w:p>
    <w:p w14:paraId="2E7D3562" w14:textId="5A993CE7" w:rsidR="00D91097" w:rsidRPr="00D91097" w:rsidRDefault="00D91097" w:rsidP="00D91097">
      <w:pPr>
        <w:numPr>
          <w:ilvl w:val="2"/>
          <w:numId w:val="58"/>
        </w:numPr>
        <w:shd w:val="clear" w:color="auto" w:fill="FFFFFF"/>
        <w:spacing w:before="100" w:beforeAutospacing="1" w:after="100" w:afterAutospacing="1" w:line="240" w:lineRule="auto"/>
        <w:jc w:val="both"/>
        <w:rPr>
          <w:rFonts w:ascii="Arial" w:eastAsia="Times New Roman" w:hAnsi="Arial" w:cs="Arial"/>
          <w:sz w:val="20"/>
          <w:szCs w:val="20"/>
          <w:lang w:val="en-IN" w:bidi="ar-SA"/>
        </w:rPr>
      </w:pPr>
      <w:r w:rsidRPr="00D91097">
        <w:rPr>
          <w:rFonts w:ascii="Arial" w:eastAsia="Times New Roman" w:hAnsi="Arial" w:cs="Arial"/>
          <w:b/>
          <w:bCs/>
          <w:sz w:val="20"/>
          <w:szCs w:val="20"/>
          <w:lang w:val="en-IN" w:bidi="ar-SA"/>
        </w:rPr>
        <w:t>Risk Treatment</w:t>
      </w:r>
      <w:r w:rsidRPr="00D91097">
        <w:rPr>
          <w:rFonts w:ascii="Arial" w:eastAsia="Times New Roman" w:hAnsi="Arial" w:cs="Arial"/>
          <w:sz w:val="20"/>
          <w:szCs w:val="20"/>
          <w:lang w:val="en-IN" w:bidi="ar-SA"/>
        </w:rPr>
        <w:t xml:space="preserve">. </w:t>
      </w:r>
      <w:r w:rsidR="00AD2283">
        <w:rPr>
          <w:rFonts w:ascii="Arial" w:eastAsia="Times New Roman" w:hAnsi="Arial" w:cs="Arial"/>
          <w:sz w:val="20"/>
          <w:szCs w:val="20"/>
          <w:shd w:val="clear" w:color="auto" w:fill="FFFFFF"/>
          <w:lang w:val="en-IN" w:bidi="ar-SA"/>
        </w:rPr>
        <w:t>Data Semantics</w:t>
      </w:r>
      <w:r w:rsidR="00AD2283" w:rsidRPr="00D91097">
        <w:rPr>
          <w:rFonts w:ascii="Arial" w:eastAsia="Times New Roman" w:hAnsi="Arial" w:cs="Arial"/>
          <w:sz w:val="20"/>
          <w:szCs w:val="20"/>
          <w:shd w:val="clear" w:color="auto" w:fill="FFFFFF"/>
          <w:lang w:val="en-IN" w:bidi="ar-SA"/>
        </w:rPr>
        <w:t xml:space="preserve"> </w:t>
      </w:r>
      <w:r w:rsidRPr="00D91097">
        <w:rPr>
          <w:rFonts w:ascii="Arial" w:eastAsia="Times New Roman" w:hAnsi="Arial" w:cs="Arial"/>
          <w:sz w:val="20"/>
          <w:szCs w:val="20"/>
          <w:lang w:val="en-IN" w:bidi="ar-SA"/>
        </w:rPr>
        <w:t>maintains a formal and effective risk treatment program that includes penetration testing, vulnerability management and patch management to identify and protect against potential threats to the security, integrity or confidentiality of Customer Personal Data.</w:t>
      </w:r>
    </w:p>
    <w:p w14:paraId="1475C5F3" w14:textId="3CEFF0D4" w:rsidR="00D91097" w:rsidRPr="00D91097" w:rsidRDefault="00D91097" w:rsidP="00D91097">
      <w:pPr>
        <w:numPr>
          <w:ilvl w:val="2"/>
          <w:numId w:val="58"/>
        </w:numPr>
        <w:shd w:val="clear" w:color="auto" w:fill="FFFFFF"/>
        <w:spacing w:before="100" w:beforeAutospacing="1" w:after="100" w:afterAutospacing="1" w:line="240" w:lineRule="auto"/>
        <w:jc w:val="both"/>
        <w:rPr>
          <w:rFonts w:ascii="Arial" w:eastAsia="Times New Roman" w:hAnsi="Arial" w:cs="Arial"/>
          <w:sz w:val="20"/>
          <w:szCs w:val="20"/>
          <w:lang w:val="en-IN" w:bidi="ar-SA"/>
        </w:rPr>
      </w:pPr>
      <w:r w:rsidRPr="00D91097">
        <w:rPr>
          <w:rFonts w:ascii="Arial" w:eastAsia="Times New Roman" w:hAnsi="Arial" w:cs="Arial"/>
          <w:b/>
          <w:bCs/>
          <w:sz w:val="20"/>
          <w:szCs w:val="20"/>
          <w:lang w:val="en-IN" w:bidi="ar-SA"/>
        </w:rPr>
        <w:t>Vendor Management</w:t>
      </w:r>
      <w:r w:rsidRPr="00D91097">
        <w:rPr>
          <w:rFonts w:ascii="Arial" w:eastAsia="Times New Roman" w:hAnsi="Arial" w:cs="Arial"/>
          <w:sz w:val="20"/>
          <w:szCs w:val="20"/>
          <w:lang w:val="en-IN" w:bidi="ar-SA"/>
        </w:rPr>
        <w:t>.</w:t>
      </w:r>
      <w:r w:rsidR="00AD2283" w:rsidRPr="00AD2283">
        <w:rPr>
          <w:rFonts w:ascii="Arial" w:eastAsia="Times New Roman" w:hAnsi="Arial" w:cs="Arial"/>
          <w:sz w:val="20"/>
          <w:szCs w:val="20"/>
          <w:shd w:val="clear" w:color="auto" w:fill="FFFFFF"/>
          <w:lang w:val="en-IN" w:bidi="ar-SA"/>
        </w:rPr>
        <w:t xml:space="preserve"> </w:t>
      </w:r>
      <w:r w:rsidR="00AD2283">
        <w:rPr>
          <w:rFonts w:ascii="Arial" w:eastAsia="Times New Roman" w:hAnsi="Arial" w:cs="Arial"/>
          <w:sz w:val="20"/>
          <w:szCs w:val="20"/>
          <w:shd w:val="clear" w:color="auto" w:fill="FFFFFF"/>
          <w:lang w:val="en-IN" w:bidi="ar-SA"/>
        </w:rPr>
        <w:t>Data Semantics</w:t>
      </w:r>
      <w:r w:rsidR="00AD2283" w:rsidRPr="00D91097">
        <w:rPr>
          <w:rFonts w:ascii="Arial" w:eastAsia="Times New Roman" w:hAnsi="Arial" w:cs="Arial"/>
          <w:sz w:val="20"/>
          <w:szCs w:val="20"/>
          <w:shd w:val="clear" w:color="auto" w:fill="FFFFFF"/>
          <w:lang w:val="en-IN" w:bidi="ar-SA"/>
        </w:rPr>
        <w:t xml:space="preserve"> </w:t>
      </w:r>
      <w:r w:rsidRPr="00D91097">
        <w:rPr>
          <w:rFonts w:ascii="Arial" w:eastAsia="Times New Roman" w:hAnsi="Arial" w:cs="Arial"/>
          <w:sz w:val="20"/>
          <w:szCs w:val="20"/>
          <w:lang w:val="en-IN" w:bidi="ar-SA"/>
        </w:rPr>
        <w:t>maintains an effective vendor management program</w:t>
      </w:r>
    </w:p>
    <w:p w14:paraId="0537AA7C" w14:textId="2633DBB1" w:rsidR="00D91097" w:rsidRPr="00D91097" w:rsidRDefault="00D91097" w:rsidP="00D91097">
      <w:pPr>
        <w:numPr>
          <w:ilvl w:val="2"/>
          <w:numId w:val="58"/>
        </w:numPr>
        <w:shd w:val="clear" w:color="auto" w:fill="FFFFFF"/>
        <w:spacing w:before="100" w:beforeAutospacing="1" w:after="100" w:afterAutospacing="1" w:line="240" w:lineRule="auto"/>
        <w:jc w:val="both"/>
        <w:rPr>
          <w:rFonts w:ascii="Arial" w:eastAsia="Times New Roman" w:hAnsi="Arial" w:cs="Arial"/>
          <w:sz w:val="20"/>
          <w:szCs w:val="20"/>
          <w:lang w:val="en-IN" w:bidi="ar-SA"/>
        </w:rPr>
      </w:pPr>
      <w:r w:rsidRPr="00D91097">
        <w:rPr>
          <w:rFonts w:ascii="Arial" w:eastAsia="Times New Roman" w:hAnsi="Arial" w:cs="Arial"/>
          <w:b/>
          <w:bCs/>
          <w:sz w:val="20"/>
          <w:szCs w:val="20"/>
          <w:lang w:val="en-IN" w:bidi="ar-SA"/>
        </w:rPr>
        <w:t>Incident Management</w:t>
      </w:r>
      <w:r w:rsidRPr="00D91097">
        <w:rPr>
          <w:rFonts w:ascii="Arial" w:eastAsia="Times New Roman" w:hAnsi="Arial" w:cs="Arial"/>
          <w:sz w:val="20"/>
          <w:szCs w:val="20"/>
          <w:lang w:val="en-IN" w:bidi="ar-SA"/>
        </w:rPr>
        <w:t xml:space="preserve">. </w:t>
      </w:r>
      <w:r w:rsidR="00AD2283">
        <w:rPr>
          <w:rFonts w:ascii="Arial" w:eastAsia="Times New Roman" w:hAnsi="Arial" w:cs="Arial"/>
          <w:sz w:val="20"/>
          <w:szCs w:val="20"/>
          <w:shd w:val="clear" w:color="auto" w:fill="FFFFFF"/>
          <w:lang w:val="en-IN" w:bidi="ar-SA"/>
        </w:rPr>
        <w:t>Data Semantics</w:t>
      </w:r>
      <w:r w:rsidR="00AD2283" w:rsidRPr="00D91097">
        <w:rPr>
          <w:rFonts w:ascii="Arial" w:eastAsia="Times New Roman" w:hAnsi="Arial" w:cs="Arial"/>
          <w:sz w:val="20"/>
          <w:szCs w:val="20"/>
          <w:shd w:val="clear" w:color="auto" w:fill="FFFFFF"/>
          <w:lang w:val="en-IN" w:bidi="ar-SA"/>
        </w:rPr>
        <w:t xml:space="preserve"> </w:t>
      </w:r>
      <w:r w:rsidRPr="006858E8">
        <w:rPr>
          <w:rFonts w:ascii="Arial" w:eastAsia="Times New Roman" w:hAnsi="Arial" w:cs="Arial"/>
          <w:sz w:val="20"/>
          <w:szCs w:val="20"/>
          <w:highlight w:val="yellow"/>
          <w:lang w:val="en-IN" w:bidi="ar-SA"/>
        </w:rPr>
        <w:t>&gt;</w:t>
      </w:r>
      <w:r w:rsidRPr="00D91097">
        <w:rPr>
          <w:rFonts w:ascii="Arial" w:eastAsia="Times New Roman" w:hAnsi="Arial" w:cs="Arial"/>
          <w:sz w:val="20"/>
          <w:szCs w:val="20"/>
          <w:lang w:val="en-IN" w:bidi="ar-SA"/>
        </w:rPr>
        <w:t xml:space="preserve"> reviews security incidents regularly, including effective determination of root cause and corrective action.</w:t>
      </w:r>
    </w:p>
    <w:p w14:paraId="43941B28" w14:textId="77716A06" w:rsidR="00D91097" w:rsidRPr="00AD2283" w:rsidRDefault="00D91097" w:rsidP="00D91097">
      <w:pPr>
        <w:numPr>
          <w:ilvl w:val="2"/>
          <w:numId w:val="58"/>
        </w:numPr>
        <w:shd w:val="clear" w:color="auto" w:fill="FFFFFF"/>
        <w:spacing w:before="100" w:beforeAutospacing="1" w:after="100" w:afterAutospacing="1" w:line="240" w:lineRule="auto"/>
        <w:jc w:val="both"/>
        <w:rPr>
          <w:rFonts w:ascii="Arial" w:eastAsia="Times New Roman" w:hAnsi="Arial" w:cs="Arial"/>
          <w:sz w:val="20"/>
          <w:szCs w:val="20"/>
          <w:lang w:val="en-IN" w:bidi="ar-SA"/>
        </w:rPr>
      </w:pPr>
      <w:r w:rsidRPr="00D91097">
        <w:rPr>
          <w:rFonts w:ascii="Arial" w:eastAsia="Times New Roman" w:hAnsi="Arial" w:cs="Arial"/>
          <w:b/>
          <w:bCs/>
          <w:sz w:val="20"/>
          <w:szCs w:val="20"/>
          <w:lang w:val="en-IN" w:bidi="ar-SA"/>
        </w:rPr>
        <w:t>Standards</w:t>
      </w:r>
      <w:r w:rsidRPr="00D91097">
        <w:rPr>
          <w:rFonts w:ascii="Arial" w:eastAsia="Times New Roman" w:hAnsi="Arial" w:cs="Arial"/>
          <w:sz w:val="20"/>
          <w:szCs w:val="20"/>
          <w:lang w:val="en-IN" w:bidi="ar-SA"/>
        </w:rPr>
        <w:t xml:space="preserve">. </w:t>
      </w:r>
      <w:r w:rsidR="00AD2283">
        <w:rPr>
          <w:rFonts w:ascii="Arial" w:eastAsia="Times New Roman" w:hAnsi="Arial" w:cs="Arial"/>
          <w:sz w:val="20"/>
          <w:szCs w:val="20"/>
          <w:shd w:val="clear" w:color="auto" w:fill="FFFFFF"/>
          <w:lang w:val="en-IN" w:bidi="ar-SA"/>
        </w:rPr>
        <w:t>Data Semantics</w:t>
      </w:r>
      <w:r w:rsidR="00AD2283" w:rsidRPr="00D91097">
        <w:rPr>
          <w:rFonts w:ascii="Arial" w:eastAsia="Times New Roman" w:hAnsi="Arial" w:cs="Arial"/>
          <w:sz w:val="20"/>
          <w:szCs w:val="20"/>
          <w:shd w:val="clear" w:color="auto" w:fill="FFFFFF"/>
          <w:lang w:val="en-IN" w:bidi="ar-SA"/>
        </w:rPr>
        <w:t xml:space="preserve"> </w:t>
      </w:r>
      <w:r w:rsidRPr="00D91097">
        <w:rPr>
          <w:rFonts w:ascii="Arial" w:eastAsia="Times New Roman" w:hAnsi="Arial" w:cs="Arial"/>
          <w:sz w:val="20"/>
          <w:szCs w:val="20"/>
          <w:lang w:val="en-IN" w:bidi="ar-SA"/>
        </w:rPr>
        <w:t xml:space="preserve">operates an information security management system that complies with the requirements of </w:t>
      </w:r>
      <w:r w:rsidRPr="00AD2283">
        <w:rPr>
          <w:rFonts w:ascii="Arial" w:eastAsia="Times New Roman" w:hAnsi="Arial" w:cs="Arial"/>
          <w:sz w:val="20"/>
          <w:szCs w:val="20"/>
          <w:lang w:val="en-IN" w:bidi="ar-SA"/>
        </w:rPr>
        <w:t>ISO/IEC 27001:20</w:t>
      </w:r>
      <w:r w:rsidR="008512BE" w:rsidRPr="00AD2283">
        <w:rPr>
          <w:rFonts w:ascii="Arial" w:eastAsia="Times New Roman" w:hAnsi="Arial" w:cs="Arial"/>
          <w:sz w:val="20"/>
          <w:szCs w:val="20"/>
          <w:lang w:val="en-IN" w:bidi="ar-SA"/>
        </w:rPr>
        <w:t>22</w:t>
      </w:r>
      <w:r w:rsidRPr="00AD2283">
        <w:rPr>
          <w:rFonts w:ascii="Arial" w:eastAsia="Times New Roman" w:hAnsi="Arial" w:cs="Arial"/>
          <w:sz w:val="20"/>
          <w:szCs w:val="20"/>
          <w:lang w:val="en-IN" w:bidi="ar-SA"/>
        </w:rPr>
        <w:t xml:space="preserve"> standard.</w:t>
      </w:r>
    </w:p>
    <w:p w14:paraId="23E2ABA5" w14:textId="77777777" w:rsidR="00D91097" w:rsidRPr="00AD2283" w:rsidRDefault="00D91097" w:rsidP="00D91097">
      <w:pPr>
        <w:numPr>
          <w:ilvl w:val="1"/>
          <w:numId w:val="58"/>
        </w:numPr>
        <w:shd w:val="clear" w:color="auto" w:fill="FFFFFF"/>
        <w:spacing w:before="100" w:beforeAutospacing="1" w:after="100" w:afterAutospacing="1" w:line="240" w:lineRule="auto"/>
        <w:jc w:val="both"/>
        <w:rPr>
          <w:rFonts w:ascii="Arial" w:eastAsia="Times New Roman" w:hAnsi="Arial" w:cs="Arial"/>
          <w:b/>
          <w:bCs/>
          <w:sz w:val="20"/>
          <w:szCs w:val="20"/>
          <w:lang w:val="en-IN" w:bidi="ar-SA"/>
        </w:rPr>
      </w:pPr>
      <w:r w:rsidRPr="00AD2283">
        <w:rPr>
          <w:rFonts w:ascii="Arial" w:eastAsia="Times New Roman" w:hAnsi="Arial" w:cs="Arial"/>
          <w:b/>
          <w:bCs/>
          <w:sz w:val="20"/>
          <w:szCs w:val="20"/>
          <w:lang w:val="en-IN" w:bidi="ar-SA"/>
        </w:rPr>
        <w:t>Personnel Security.</w:t>
      </w:r>
    </w:p>
    <w:p w14:paraId="49DF91D0" w14:textId="542564CC" w:rsidR="00D91097" w:rsidRPr="00D91097" w:rsidRDefault="00AD2283" w:rsidP="00D91097">
      <w:pPr>
        <w:numPr>
          <w:ilvl w:val="2"/>
          <w:numId w:val="58"/>
        </w:numPr>
        <w:shd w:val="clear" w:color="auto" w:fill="FFFFFF"/>
        <w:spacing w:before="100" w:beforeAutospacing="1" w:after="100" w:afterAutospacing="1" w:line="240" w:lineRule="auto"/>
        <w:jc w:val="both"/>
        <w:rPr>
          <w:rFonts w:ascii="Arial" w:eastAsia="Times New Roman" w:hAnsi="Arial" w:cs="Arial"/>
          <w:sz w:val="20"/>
          <w:szCs w:val="20"/>
          <w:lang w:val="en-IN" w:bidi="ar-SA"/>
        </w:rPr>
      </w:pPr>
      <w:r>
        <w:rPr>
          <w:rFonts w:ascii="Arial" w:eastAsia="Times New Roman" w:hAnsi="Arial" w:cs="Arial"/>
          <w:sz w:val="20"/>
          <w:szCs w:val="20"/>
          <w:shd w:val="clear" w:color="auto" w:fill="FFFFFF"/>
          <w:lang w:val="en-IN" w:bidi="ar-SA"/>
        </w:rPr>
        <w:t>Data Semantics</w:t>
      </w:r>
      <w:r w:rsidR="00D91097" w:rsidRPr="00D91097">
        <w:rPr>
          <w:rFonts w:ascii="Arial" w:eastAsia="Times New Roman" w:hAnsi="Arial" w:cs="Arial"/>
          <w:sz w:val="20"/>
          <w:szCs w:val="20"/>
          <w:lang w:val="en-IN" w:bidi="ar-SA"/>
        </w:rPr>
        <w:t xml:space="preserve"> personnel are required to conduct themselves in a manner consistent with the company’s guidelines regarding confidentiality, business ethics, appropriate usage, and professional standards</w:t>
      </w:r>
      <w:r w:rsidRPr="00AD2283">
        <w:rPr>
          <w:rFonts w:ascii="Arial" w:eastAsia="Times New Roman" w:hAnsi="Arial" w:cs="Arial"/>
          <w:sz w:val="20"/>
          <w:szCs w:val="20"/>
          <w:shd w:val="clear" w:color="auto" w:fill="FFFFFF"/>
          <w:lang w:val="en-IN" w:bidi="ar-SA"/>
        </w:rPr>
        <w:t xml:space="preserve"> </w:t>
      </w:r>
      <w:r>
        <w:rPr>
          <w:rFonts w:ascii="Arial" w:eastAsia="Times New Roman" w:hAnsi="Arial" w:cs="Arial"/>
          <w:sz w:val="20"/>
          <w:szCs w:val="20"/>
          <w:shd w:val="clear" w:color="auto" w:fill="FFFFFF"/>
          <w:lang w:val="en-IN" w:bidi="ar-SA"/>
        </w:rPr>
        <w:t>Data Semantics</w:t>
      </w:r>
      <w:r w:rsidRPr="00D91097">
        <w:rPr>
          <w:rFonts w:ascii="Arial" w:eastAsia="Times New Roman" w:hAnsi="Arial" w:cs="Arial"/>
          <w:sz w:val="20"/>
          <w:szCs w:val="20"/>
          <w:shd w:val="clear" w:color="auto" w:fill="FFFFFF"/>
          <w:lang w:val="en-IN" w:bidi="ar-SA"/>
        </w:rPr>
        <w:t xml:space="preserve"> </w:t>
      </w:r>
      <w:r w:rsidR="00D91097" w:rsidRPr="00D91097">
        <w:rPr>
          <w:rFonts w:ascii="Arial" w:eastAsia="Times New Roman" w:hAnsi="Arial" w:cs="Arial"/>
          <w:sz w:val="20"/>
          <w:szCs w:val="20"/>
          <w:lang w:val="en-IN" w:bidi="ar-SA"/>
        </w:rPr>
        <w:t>conducts reasonably appropriate background checks on any employees who will have access to client data under this Agreement, including in relation to employment history and criminal records, to the extent legally permissible and in accordance with applicable local labor law, customary practice and statutory regulations.</w:t>
      </w:r>
    </w:p>
    <w:p w14:paraId="20E9AD3C" w14:textId="6783E104" w:rsidR="00D91097" w:rsidRPr="00D91097" w:rsidRDefault="00D91097" w:rsidP="00D91097">
      <w:pPr>
        <w:numPr>
          <w:ilvl w:val="2"/>
          <w:numId w:val="58"/>
        </w:numPr>
        <w:shd w:val="clear" w:color="auto" w:fill="FFFFFF"/>
        <w:spacing w:before="100" w:beforeAutospacing="1" w:after="100" w:afterAutospacing="1" w:line="240" w:lineRule="auto"/>
        <w:jc w:val="both"/>
        <w:rPr>
          <w:rFonts w:ascii="Arial" w:eastAsia="Times New Roman" w:hAnsi="Arial" w:cs="Arial"/>
          <w:sz w:val="20"/>
          <w:szCs w:val="20"/>
          <w:lang w:val="en-IN" w:bidi="ar-SA"/>
        </w:rPr>
      </w:pPr>
      <w:r w:rsidRPr="00D91097">
        <w:rPr>
          <w:rFonts w:ascii="Arial" w:eastAsia="Times New Roman" w:hAnsi="Arial" w:cs="Arial"/>
          <w:sz w:val="20"/>
          <w:szCs w:val="20"/>
          <w:lang w:val="en-IN" w:bidi="ar-SA"/>
        </w:rPr>
        <w:t xml:space="preserve">Personnel are required to execute a confidentiality agreement in writing at the time of hire and to protect Customer Personal Data at all times. Personnel must acknowledge receipt of, and compliance with, </w:t>
      </w:r>
      <w:r w:rsidR="00AD2283">
        <w:rPr>
          <w:rFonts w:ascii="Arial" w:eastAsia="Times New Roman" w:hAnsi="Arial" w:cs="Arial"/>
          <w:sz w:val="20"/>
          <w:szCs w:val="20"/>
          <w:shd w:val="clear" w:color="auto" w:fill="FFFFFF"/>
          <w:lang w:val="en-IN" w:bidi="ar-SA"/>
        </w:rPr>
        <w:t>Data Semantics</w:t>
      </w:r>
      <w:r w:rsidR="00AD2283" w:rsidRPr="00D91097">
        <w:rPr>
          <w:rFonts w:ascii="Arial" w:eastAsia="Times New Roman" w:hAnsi="Arial" w:cs="Arial"/>
          <w:sz w:val="20"/>
          <w:szCs w:val="20"/>
          <w:shd w:val="clear" w:color="auto" w:fill="FFFFFF"/>
          <w:lang w:val="en-IN" w:bidi="ar-SA"/>
        </w:rPr>
        <w:t xml:space="preserve"> </w:t>
      </w:r>
      <w:r w:rsidRPr="00D91097">
        <w:rPr>
          <w:rFonts w:ascii="Arial" w:eastAsia="Times New Roman" w:hAnsi="Arial" w:cs="Arial"/>
          <w:sz w:val="20"/>
          <w:szCs w:val="20"/>
          <w:lang w:val="en-IN" w:bidi="ar-SA"/>
        </w:rPr>
        <w:t>s confidentiality, privacy and security policies. Personnel are provided with privacy and security training on how to implement and comply with the Information Security Program. Personnel handling Customer Personal Data are required to complete additional requirements appropriate to their role (e.g., certifications</w:t>
      </w:r>
      <w:r w:rsidR="00AD2283" w:rsidRPr="00AD2283">
        <w:rPr>
          <w:rFonts w:ascii="Arial" w:eastAsia="Times New Roman" w:hAnsi="Arial" w:cs="Arial"/>
          <w:sz w:val="20"/>
          <w:szCs w:val="20"/>
          <w:shd w:val="clear" w:color="auto" w:fill="FFFFFF"/>
          <w:lang w:val="en-IN" w:bidi="ar-SA"/>
        </w:rPr>
        <w:t xml:space="preserve"> </w:t>
      </w:r>
      <w:r w:rsidR="00AD2283">
        <w:rPr>
          <w:rFonts w:ascii="Arial" w:eastAsia="Times New Roman" w:hAnsi="Arial" w:cs="Arial"/>
          <w:sz w:val="20"/>
          <w:szCs w:val="20"/>
          <w:shd w:val="clear" w:color="auto" w:fill="FFFFFF"/>
          <w:lang w:val="en-IN" w:bidi="ar-SA"/>
        </w:rPr>
        <w:t>Data Semantics</w:t>
      </w:r>
      <w:r w:rsidR="00AD2283" w:rsidRPr="00D91097">
        <w:rPr>
          <w:rFonts w:ascii="Arial" w:eastAsia="Times New Roman" w:hAnsi="Arial" w:cs="Arial"/>
          <w:sz w:val="20"/>
          <w:szCs w:val="20"/>
          <w:shd w:val="clear" w:color="auto" w:fill="FFFFFF"/>
          <w:lang w:val="en-IN" w:bidi="ar-SA"/>
        </w:rPr>
        <w:t xml:space="preserve"> </w:t>
      </w:r>
      <w:r w:rsidRPr="00D91097">
        <w:rPr>
          <w:rFonts w:ascii="Arial" w:eastAsia="Times New Roman" w:hAnsi="Arial" w:cs="Arial"/>
          <w:sz w:val="20"/>
          <w:szCs w:val="20"/>
          <w:lang w:val="en-IN" w:bidi="ar-SA"/>
        </w:rPr>
        <w:t>s personnel will not process Customer Personal Data without authorization.</w:t>
      </w:r>
    </w:p>
    <w:p w14:paraId="3FA79403" w14:textId="77777777" w:rsidR="00D91097" w:rsidRPr="00D91097" w:rsidRDefault="00D91097" w:rsidP="00D91097">
      <w:pPr>
        <w:numPr>
          <w:ilvl w:val="1"/>
          <w:numId w:val="58"/>
        </w:numPr>
        <w:shd w:val="clear" w:color="auto" w:fill="FFFFFF"/>
        <w:spacing w:before="100" w:beforeAutospacing="1" w:after="100" w:afterAutospacing="1" w:line="240" w:lineRule="auto"/>
        <w:jc w:val="both"/>
        <w:rPr>
          <w:rFonts w:ascii="Arial" w:eastAsia="Times New Roman" w:hAnsi="Arial" w:cs="Arial"/>
          <w:sz w:val="20"/>
          <w:szCs w:val="20"/>
          <w:lang w:val="en-IN" w:bidi="ar-SA"/>
        </w:rPr>
      </w:pPr>
      <w:r w:rsidRPr="00D91097">
        <w:rPr>
          <w:rFonts w:ascii="Arial" w:eastAsia="Times New Roman" w:hAnsi="Arial" w:cs="Arial"/>
          <w:b/>
          <w:bCs/>
          <w:sz w:val="20"/>
          <w:szCs w:val="20"/>
          <w:lang w:val="en-IN" w:bidi="ar-SA"/>
        </w:rPr>
        <w:t>Access Controls</w:t>
      </w:r>
    </w:p>
    <w:p w14:paraId="1AE6204B" w14:textId="75B7853C" w:rsidR="00D91097" w:rsidRPr="00D91097" w:rsidRDefault="00D91097" w:rsidP="00D91097">
      <w:pPr>
        <w:numPr>
          <w:ilvl w:val="2"/>
          <w:numId w:val="58"/>
        </w:numPr>
        <w:shd w:val="clear" w:color="auto" w:fill="FFFFFF"/>
        <w:spacing w:before="100" w:beforeAutospacing="1" w:after="100" w:afterAutospacing="1" w:line="240" w:lineRule="auto"/>
        <w:jc w:val="both"/>
        <w:rPr>
          <w:rFonts w:ascii="Arial" w:eastAsia="Times New Roman" w:hAnsi="Arial" w:cs="Arial"/>
          <w:sz w:val="20"/>
          <w:szCs w:val="20"/>
          <w:lang w:val="en-IN" w:bidi="ar-SA"/>
        </w:rPr>
      </w:pPr>
      <w:r w:rsidRPr="00D91097">
        <w:rPr>
          <w:rFonts w:ascii="Arial" w:eastAsia="Times New Roman" w:hAnsi="Arial" w:cs="Arial"/>
          <w:b/>
          <w:bCs/>
          <w:sz w:val="20"/>
          <w:szCs w:val="20"/>
          <w:lang w:val="en-IN" w:bidi="ar-SA"/>
        </w:rPr>
        <w:t>Access Management</w:t>
      </w:r>
      <w:r w:rsidRPr="00D91097">
        <w:rPr>
          <w:rFonts w:ascii="Arial" w:eastAsia="Times New Roman" w:hAnsi="Arial" w:cs="Arial"/>
          <w:sz w:val="20"/>
          <w:szCs w:val="20"/>
          <w:lang w:val="en-IN" w:bidi="ar-SA"/>
        </w:rPr>
        <w:t xml:space="preserve">. </w:t>
      </w:r>
      <w:r w:rsidR="00AD2283">
        <w:rPr>
          <w:rFonts w:ascii="Arial" w:eastAsia="Times New Roman" w:hAnsi="Arial" w:cs="Arial"/>
          <w:sz w:val="20"/>
          <w:szCs w:val="20"/>
          <w:shd w:val="clear" w:color="auto" w:fill="FFFFFF"/>
          <w:lang w:val="en-IN" w:bidi="ar-SA"/>
        </w:rPr>
        <w:t>Data Semantics</w:t>
      </w:r>
      <w:r w:rsidRPr="00D91097">
        <w:rPr>
          <w:rFonts w:ascii="Arial" w:eastAsia="Times New Roman" w:hAnsi="Arial" w:cs="Arial"/>
          <w:sz w:val="20"/>
          <w:szCs w:val="20"/>
          <w:lang w:val="en-IN" w:bidi="ar-SA"/>
        </w:rPr>
        <w:t xml:space="preserve"> maintains a formal access management process for the request, review, approval and provisioning of all personnel with access to Customer Personal Data to limit access to Customer Personal Data and systems storing, accessing or transmitting Customer Personal Data to properly authorized persons having a need for such access. Access reviews are conducted </w:t>
      </w:r>
      <w:r w:rsidRPr="00D91097">
        <w:rPr>
          <w:rFonts w:ascii="Arial" w:eastAsia="Times New Roman" w:hAnsi="Arial" w:cs="Arial"/>
          <w:sz w:val="20"/>
          <w:szCs w:val="20"/>
          <w:lang w:val="en-IN" w:bidi="ar-SA"/>
        </w:rPr>
        <w:lastRenderedPageBreak/>
        <w:t>periodically to ensure that only those personnel with access to Customer Personal Data still require it.</w:t>
      </w:r>
    </w:p>
    <w:p w14:paraId="097191A0" w14:textId="5D872401" w:rsidR="00D91097" w:rsidRPr="00D91097" w:rsidRDefault="00D91097" w:rsidP="00D91097">
      <w:pPr>
        <w:numPr>
          <w:ilvl w:val="2"/>
          <w:numId w:val="58"/>
        </w:numPr>
        <w:shd w:val="clear" w:color="auto" w:fill="FFFFFF"/>
        <w:spacing w:before="100" w:beforeAutospacing="1" w:after="100" w:afterAutospacing="1" w:line="240" w:lineRule="auto"/>
        <w:jc w:val="both"/>
        <w:rPr>
          <w:rFonts w:ascii="Arial" w:eastAsia="Times New Roman" w:hAnsi="Arial" w:cs="Arial"/>
          <w:sz w:val="20"/>
          <w:szCs w:val="20"/>
          <w:lang w:val="en-IN" w:bidi="ar-SA"/>
        </w:rPr>
      </w:pPr>
      <w:r w:rsidRPr="00D91097">
        <w:rPr>
          <w:rFonts w:ascii="Arial" w:eastAsia="Times New Roman" w:hAnsi="Arial" w:cs="Arial"/>
          <w:b/>
          <w:bCs/>
          <w:sz w:val="20"/>
          <w:szCs w:val="20"/>
          <w:lang w:val="en-IN" w:bidi="ar-SA"/>
        </w:rPr>
        <w:t>Infrastructure Security Personnel</w:t>
      </w:r>
      <w:r w:rsidRPr="00D91097">
        <w:rPr>
          <w:rFonts w:ascii="Arial" w:eastAsia="Times New Roman" w:hAnsi="Arial" w:cs="Arial"/>
          <w:sz w:val="20"/>
          <w:szCs w:val="20"/>
          <w:lang w:val="en-IN" w:bidi="ar-SA"/>
        </w:rPr>
        <w:t xml:space="preserve">. </w:t>
      </w:r>
      <w:r w:rsidR="00AD2283">
        <w:rPr>
          <w:rFonts w:ascii="Arial" w:eastAsia="Times New Roman" w:hAnsi="Arial" w:cs="Arial"/>
          <w:sz w:val="20"/>
          <w:szCs w:val="20"/>
          <w:highlight w:val="yellow"/>
          <w:lang w:val="en-IN" w:bidi="ar-SA"/>
        </w:rPr>
        <w:t xml:space="preserve">Data Semantics </w:t>
      </w:r>
      <w:r w:rsidRPr="00D91097">
        <w:rPr>
          <w:rFonts w:ascii="Arial" w:eastAsia="Times New Roman" w:hAnsi="Arial" w:cs="Arial"/>
          <w:sz w:val="20"/>
          <w:szCs w:val="20"/>
          <w:lang w:val="en-IN" w:bidi="ar-SA"/>
        </w:rPr>
        <w:t xml:space="preserve"> has, and maintains, a security policy for its personnel, and requires security training as part of the training package for its personnel. </w:t>
      </w:r>
      <w:r w:rsidR="00AD2283">
        <w:rPr>
          <w:rFonts w:ascii="Arial" w:eastAsia="Times New Roman" w:hAnsi="Arial" w:cs="Arial"/>
          <w:sz w:val="20"/>
          <w:szCs w:val="20"/>
          <w:highlight w:val="yellow"/>
          <w:lang w:val="en-IN" w:bidi="ar-SA"/>
        </w:rPr>
        <w:t xml:space="preserve">Data Semantics </w:t>
      </w:r>
      <w:r w:rsidRPr="00D91097">
        <w:rPr>
          <w:rFonts w:ascii="Arial" w:eastAsia="Times New Roman" w:hAnsi="Arial" w:cs="Arial"/>
          <w:sz w:val="20"/>
          <w:szCs w:val="20"/>
          <w:lang w:val="en-IN" w:bidi="ar-SA"/>
        </w:rPr>
        <w:t xml:space="preserve">’s infrastructure security personnel are responsible for the ongoing monitoring of </w:t>
      </w:r>
      <w:r w:rsidR="00AD2283">
        <w:rPr>
          <w:rFonts w:ascii="Arial" w:eastAsia="Times New Roman" w:hAnsi="Arial" w:cs="Arial"/>
          <w:sz w:val="20"/>
          <w:szCs w:val="20"/>
          <w:highlight w:val="yellow"/>
          <w:lang w:val="en-IN" w:bidi="ar-SA"/>
        </w:rPr>
        <w:t xml:space="preserve">Data Semantics </w:t>
      </w:r>
      <w:r w:rsidRPr="00D91097">
        <w:rPr>
          <w:rFonts w:ascii="Arial" w:eastAsia="Times New Roman" w:hAnsi="Arial" w:cs="Arial"/>
          <w:sz w:val="20"/>
          <w:szCs w:val="20"/>
          <w:lang w:val="en-IN" w:bidi="ar-SA"/>
        </w:rPr>
        <w:t>’s security infrastructure, the review of the Services, and for responding to security incidents.</w:t>
      </w:r>
    </w:p>
    <w:p w14:paraId="64EC5953" w14:textId="28ADD521" w:rsidR="00D91097" w:rsidRPr="00D91097" w:rsidRDefault="00D91097" w:rsidP="00D91097">
      <w:pPr>
        <w:numPr>
          <w:ilvl w:val="2"/>
          <w:numId w:val="58"/>
        </w:numPr>
        <w:shd w:val="clear" w:color="auto" w:fill="FFFFFF"/>
        <w:spacing w:before="100" w:beforeAutospacing="1" w:after="100" w:afterAutospacing="1" w:line="240" w:lineRule="auto"/>
        <w:jc w:val="both"/>
        <w:rPr>
          <w:rFonts w:ascii="Arial" w:eastAsia="Times New Roman" w:hAnsi="Arial" w:cs="Arial"/>
          <w:sz w:val="20"/>
          <w:szCs w:val="20"/>
          <w:lang w:val="en-IN" w:bidi="ar-SA"/>
        </w:rPr>
      </w:pPr>
      <w:r w:rsidRPr="00D91097">
        <w:rPr>
          <w:rFonts w:ascii="Arial" w:eastAsia="Times New Roman" w:hAnsi="Arial" w:cs="Arial"/>
          <w:b/>
          <w:bCs/>
          <w:sz w:val="20"/>
          <w:szCs w:val="20"/>
          <w:lang w:val="en-IN" w:bidi="ar-SA"/>
        </w:rPr>
        <w:t>Access Control and Privilege Management</w:t>
      </w:r>
      <w:r w:rsidRPr="00D91097">
        <w:rPr>
          <w:rFonts w:ascii="Arial" w:eastAsia="Times New Roman" w:hAnsi="Arial" w:cs="Arial"/>
          <w:sz w:val="20"/>
          <w:szCs w:val="20"/>
          <w:lang w:val="en-IN" w:bidi="ar-SA"/>
        </w:rPr>
        <w:t xml:space="preserve">. </w:t>
      </w:r>
      <w:r w:rsidR="00AD2283">
        <w:rPr>
          <w:rFonts w:ascii="Arial" w:eastAsia="Times New Roman" w:hAnsi="Arial" w:cs="Arial"/>
          <w:sz w:val="20"/>
          <w:szCs w:val="20"/>
          <w:highlight w:val="yellow"/>
          <w:lang w:val="en-IN" w:bidi="ar-SA"/>
        </w:rPr>
        <w:t xml:space="preserve">Data Semantics </w:t>
      </w:r>
      <w:r w:rsidRPr="00D91097">
        <w:rPr>
          <w:rFonts w:ascii="Arial" w:eastAsia="Times New Roman" w:hAnsi="Arial" w:cs="Arial"/>
          <w:sz w:val="20"/>
          <w:szCs w:val="20"/>
          <w:lang w:val="en-IN" w:bidi="ar-SA"/>
        </w:rPr>
        <w:t>’s and Customer’s administrators and end users must authenticate themselves via a Multi-Factor authentication system or via a single sign on system in order to use the Services</w:t>
      </w:r>
    </w:p>
    <w:p w14:paraId="5A2BB9D0" w14:textId="7170BEC9" w:rsidR="00D91097" w:rsidRPr="00D91097" w:rsidRDefault="00D91097" w:rsidP="00D91097">
      <w:pPr>
        <w:numPr>
          <w:ilvl w:val="2"/>
          <w:numId w:val="58"/>
        </w:numPr>
        <w:shd w:val="clear" w:color="auto" w:fill="FFFFFF"/>
        <w:spacing w:before="100" w:beforeAutospacing="1" w:after="100" w:afterAutospacing="1" w:line="240" w:lineRule="auto"/>
        <w:jc w:val="both"/>
        <w:rPr>
          <w:rFonts w:ascii="Arial" w:eastAsia="Times New Roman" w:hAnsi="Arial" w:cs="Arial"/>
          <w:sz w:val="20"/>
          <w:szCs w:val="20"/>
          <w:lang w:val="en-IN" w:bidi="ar-SA"/>
        </w:rPr>
      </w:pPr>
      <w:r w:rsidRPr="00D91097">
        <w:rPr>
          <w:rFonts w:ascii="Arial" w:eastAsia="Times New Roman" w:hAnsi="Arial" w:cs="Arial"/>
          <w:b/>
          <w:bCs/>
          <w:sz w:val="20"/>
          <w:szCs w:val="20"/>
          <w:lang w:val="en-IN" w:bidi="ar-SA"/>
        </w:rPr>
        <w:t>Internal Data Access Processes and Policies – Access Policy</w:t>
      </w:r>
      <w:r w:rsidRPr="00D91097">
        <w:rPr>
          <w:rFonts w:ascii="Arial" w:eastAsia="Times New Roman" w:hAnsi="Arial" w:cs="Arial"/>
          <w:sz w:val="20"/>
          <w:szCs w:val="20"/>
          <w:lang w:val="en-IN" w:bidi="ar-SA"/>
        </w:rPr>
        <w:t xml:space="preserve">. </w:t>
      </w:r>
      <w:r w:rsidR="00AD2283">
        <w:rPr>
          <w:rFonts w:ascii="Arial" w:eastAsia="Times New Roman" w:hAnsi="Arial" w:cs="Arial"/>
          <w:sz w:val="20"/>
          <w:szCs w:val="20"/>
          <w:highlight w:val="yellow"/>
          <w:lang w:val="en-IN" w:bidi="ar-SA"/>
        </w:rPr>
        <w:t xml:space="preserve">Data Semantics </w:t>
      </w:r>
      <w:r w:rsidRPr="00D91097">
        <w:rPr>
          <w:rFonts w:ascii="Arial" w:eastAsia="Times New Roman" w:hAnsi="Arial" w:cs="Arial"/>
          <w:sz w:val="20"/>
          <w:szCs w:val="20"/>
          <w:lang w:val="en-IN" w:bidi="ar-SA"/>
        </w:rPr>
        <w:t xml:space="preserve">’s internal data access processes and policies are designed to protect against unauthorized access, use, disclosure, alteration or destruction of Customer Personal Data. </w:t>
      </w:r>
      <w:r w:rsidR="00AD2283">
        <w:rPr>
          <w:rFonts w:ascii="Arial" w:eastAsia="Times New Roman" w:hAnsi="Arial" w:cs="Arial"/>
          <w:sz w:val="20"/>
          <w:szCs w:val="20"/>
          <w:highlight w:val="yellow"/>
          <w:lang w:val="en-IN" w:bidi="ar-SA"/>
        </w:rPr>
        <w:t xml:space="preserve">Data Semantics </w:t>
      </w:r>
      <w:r w:rsidRPr="00D91097">
        <w:rPr>
          <w:rFonts w:ascii="Arial" w:eastAsia="Times New Roman" w:hAnsi="Arial" w:cs="Arial"/>
          <w:sz w:val="20"/>
          <w:szCs w:val="20"/>
          <w:lang w:val="en-IN" w:bidi="ar-SA"/>
        </w:rPr>
        <w:t xml:space="preserve"> designs its systems to only allow authorized persons to access data they are authorized to access based on principles of “least privileged” and “need to know”, and to prevent others who should not have access from obtaining access.  </w:t>
      </w:r>
      <w:r w:rsidR="00AD2283">
        <w:rPr>
          <w:rFonts w:ascii="Arial" w:eastAsia="Times New Roman" w:hAnsi="Arial" w:cs="Arial"/>
          <w:sz w:val="20"/>
          <w:szCs w:val="20"/>
          <w:highlight w:val="yellow"/>
          <w:lang w:val="en-IN" w:bidi="ar-SA"/>
        </w:rPr>
        <w:t xml:space="preserve">Data Semantics </w:t>
      </w:r>
      <w:r w:rsidRPr="00D91097">
        <w:rPr>
          <w:rFonts w:ascii="Arial" w:eastAsia="Times New Roman" w:hAnsi="Arial" w:cs="Arial"/>
          <w:sz w:val="20"/>
          <w:szCs w:val="20"/>
          <w:lang w:val="en-IN" w:bidi="ar-SA"/>
        </w:rPr>
        <w:t xml:space="preserve"> requires the use of unique user IDs, strong passwords, two factor authentication and carefully monitored access lists to minimize the potential for unauthorized account use. The granting or modification of access rights is based on: the authorized personnel’s job responsibilities; job duty requirements necessary to perform authorized tasks; a need to know basis; and must be in accordance with </w:t>
      </w:r>
      <w:r w:rsidR="00AD2283">
        <w:rPr>
          <w:rFonts w:ascii="Arial" w:eastAsia="Times New Roman" w:hAnsi="Arial" w:cs="Arial"/>
          <w:sz w:val="20"/>
          <w:szCs w:val="20"/>
          <w:highlight w:val="yellow"/>
          <w:lang w:val="en-IN" w:bidi="ar-SA"/>
        </w:rPr>
        <w:t xml:space="preserve">Data Semantics </w:t>
      </w:r>
      <w:r w:rsidRPr="00D91097">
        <w:rPr>
          <w:rFonts w:ascii="Arial" w:eastAsia="Times New Roman" w:hAnsi="Arial" w:cs="Arial"/>
          <w:sz w:val="20"/>
          <w:szCs w:val="20"/>
          <w:lang w:val="en-IN" w:bidi="ar-SA"/>
        </w:rPr>
        <w:t>’s internal data access policies and training. Approvals are managed by workflow tools that maintain audit records of all changes. Access to systems is logged to create an audit trail for accountability. Where passwords are employed for authentication (e.g., login to workstations), password policies follow industry standard practices. These standards include password complexity, password expiry, password lockout, restrictions on password reuse and re-prompt for password after a period of inactivity</w:t>
      </w:r>
    </w:p>
    <w:p w14:paraId="5A8459A5" w14:textId="77777777" w:rsidR="00D91097" w:rsidRPr="00D91097" w:rsidRDefault="00D91097" w:rsidP="00D91097">
      <w:pPr>
        <w:numPr>
          <w:ilvl w:val="1"/>
          <w:numId w:val="58"/>
        </w:numPr>
        <w:shd w:val="clear" w:color="auto" w:fill="FFFFFF"/>
        <w:spacing w:before="100" w:beforeAutospacing="1" w:after="100" w:afterAutospacing="1" w:line="240" w:lineRule="auto"/>
        <w:jc w:val="both"/>
        <w:rPr>
          <w:rFonts w:ascii="Arial" w:eastAsia="Times New Roman" w:hAnsi="Arial" w:cs="Arial"/>
          <w:sz w:val="20"/>
          <w:szCs w:val="20"/>
          <w:lang w:val="en-IN" w:bidi="ar-SA"/>
        </w:rPr>
      </w:pPr>
      <w:r w:rsidRPr="00D91097">
        <w:rPr>
          <w:rFonts w:ascii="Arial" w:eastAsia="Times New Roman" w:hAnsi="Arial" w:cs="Arial"/>
          <w:b/>
          <w:bCs/>
          <w:sz w:val="20"/>
          <w:szCs w:val="20"/>
          <w:lang w:val="en-IN" w:bidi="ar-SA"/>
        </w:rPr>
        <w:t>Data Center and Network Security</w:t>
      </w:r>
    </w:p>
    <w:p w14:paraId="226FFD2A" w14:textId="77777777" w:rsidR="00D91097" w:rsidRPr="00D91097" w:rsidRDefault="00D91097" w:rsidP="00D91097">
      <w:pPr>
        <w:numPr>
          <w:ilvl w:val="2"/>
          <w:numId w:val="58"/>
        </w:numPr>
        <w:shd w:val="clear" w:color="auto" w:fill="FFFFFF"/>
        <w:spacing w:before="100" w:beforeAutospacing="1" w:after="100" w:afterAutospacing="1" w:line="240" w:lineRule="auto"/>
        <w:jc w:val="both"/>
        <w:rPr>
          <w:rFonts w:ascii="Arial" w:eastAsia="Times New Roman" w:hAnsi="Arial" w:cs="Arial"/>
          <w:sz w:val="20"/>
          <w:szCs w:val="20"/>
          <w:lang w:val="en-IN" w:bidi="ar-SA"/>
        </w:rPr>
      </w:pPr>
      <w:r w:rsidRPr="00D91097">
        <w:rPr>
          <w:rFonts w:ascii="Arial" w:eastAsia="Times New Roman" w:hAnsi="Arial" w:cs="Arial"/>
          <w:b/>
          <w:bCs/>
          <w:sz w:val="20"/>
          <w:szCs w:val="20"/>
          <w:lang w:val="en-IN" w:bidi="ar-SA"/>
        </w:rPr>
        <w:t>Data Centers.</w:t>
      </w:r>
    </w:p>
    <w:p w14:paraId="3D4FEF27" w14:textId="70F238BA" w:rsidR="00D91097" w:rsidRPr="00D91097" w:rsidRDefault="00D91097" w:rsidP="00D91097">
      <w:pPr>
        <w:numPr>
          <w:ilvl w:val="3"/>
          <w:numId w:val="58"/>
        </w:numPr>
        <w:shd w:val="clear" w:color="auto" w:fill="FFFFFF"/>
        <w:spacing w:before="100" w:beforeAutospacing="1" w:after="100" w:afterAutospacing="1" w:line="240" w:lineRule="auto"/>
        <w:jc w:val="both"/>
        <w:rPr>
          <w:rFonts w:ascii="Arial" w:eastAsia="Times New Roman" w:hAnsi="Arial" w:cs="Arial"/>
          <w:sz w:val="20"/>
          <w:szCs w:val="20"/>
          <w:lang w:val="en-IN" w:bidi="ar-SA"/>
        </w:rPr>
      </w:pPr>
      <w:r w:rsidRPr="00D91097">
        <w:rPr>
          <w:rFonts w:ascii="Arial" w:eastAsia="Times New Roman" w:hAnsi="Arial" w:cs="Arial"/>
          <w:b/>
          <w:bCs/>
          <w:sz w:val="20"/>
          <w:szCs w:val="20"/>
          <w:lang w:val="en-IN" w:bidi="ar-SA"/>
        </w:rPr>
        <w:t>Infrastructure.</w:t>
      </w:r>
      <w:r w:rsidRPr="00D91097">
        <w:rPr>
          <w:rFonts w:ascii="Arial" w:eastAsia="Times New Roman" w:hAnsi="Arial" w:cs="Arial"/>
          <w:sz w:val="20"/>
          <w:szCs w:val="20"/>
          <w:lang w:val="en-IN" w:bidi="ar-SA"/>
        </w:rPr>
        <w:t> </w:t>
      </w:r>
      <w:r w:rsidR="00AD2283">
        <w:rPr>
          <w:rFonts w:ascii="Arial" w:eastAsia="Times New Roman" w:hAnsi="Arial" w:cs="Arial"/>
          <w:sz w:val="20"/>
          <w:szCs w:val="20"/>
          <w:highlight w:val="yellow"/>
          <w:lang w:val="en-IN" w:bidi="ar-SA"/>
        </w:rPr>
        <w:t xml:space="preserve">Data Semantics </w:t>
      </w:r>
      <w:r w:rsidRPr="00D91097">
        <w:rPr>
          <w:rFonts w:ascii="Arial" w:eastAsia="Times New Roman" w:hAnsi="Arial" w:cs="Arial"/>
          <w:sz w:val="20"/>
          <w:szCs w:val="20"/>
          <w:lang w:val="en-IN" w:bidi="ar-SA"/>
        </w:rPr>
        <w:t xml:space="preserve"> has </w:t>
      </w:r>
      <w:r w:rsidR="00AD2283">
        <w:rPr>
          <w:rFonts w:ascii="Arial" w:eastAsia="Times New Roman" w:hAnsi="Arial" w:cs="Arial"/>
          <w:sz w:val="20"/>
          <w:szCs w:val="20"/>
          <w:highlight w:val="yellow"/>
          <w:lang w:val="en-IN" w:bidi="ar-SA"/>
        </w:rPr>
        <w:t>AZURE</w:t>
      </w:r>
      <w:r w:rsidRPr="00D91097">
        <w:rPr>
          <w:rFonts w:ascii="Arial" w:eastAsia="Times New Roman" w:hAnsi="Arial" w:cs="Arial"/>
          <w:sz w:val="20"/>
          <w:szCs w:val="20"/>
          <w:lang w:val="en-IN" w:bidi="ar-SA"/>
        </w:rPr>
        <w:t xml:space="preserve"> as its data center.</w:t>
      </w:r>
    </w:p>
    <w:p w14:paraId="3E967C2A" w14:textId="5313BF24" w:rsidR="00D91097" w:rsidRPr="00D91097" w:rsidRDefault="00D91097" w:rsidP="00D91097">
      <w:pPr>
        <w:numPr>
          <w:ilvl w:val="3"/>
          <w:numId w:val="58"/>
        </w:numPr>
        <w:shd w:val="clear" w:color="auto" w:fill="FFFFFF"/>
        <w:spacing w:before="100" w:beforeAutospacing="1" w:after="100" w:afterAutospacing="1" w:line="240" w:lineRule="auto"/>
        <w:jc w:val="both"/>
        <w:rPr>
          <w:rFonts w:ascii="Arial" w:eastAsia="Times New Roman" w:hAnsi="Arial" w:cs="Arial"/>
          <w:sz w:val="20"/>
          <w:szCs w:val="20"/>
          <w:lang w:val="en-IN" w:bidi="ar-SA"/>
        </w:rPr>
      </w:pPr>
      <w:r w:rsidRPr="00D91097">
        <w:rPr>
          <w:rFonts w:ascii="Arial" w:eastAsia="Times New Roman" w:hAnsi="Arial" w:cs="Arial"/>
          <w:b/>
          <w:bCs/>
          <w:sz w:val="20"/>
          <w:szCs w:val="20"/>
          <w:lang w:val="en-IN" w:bidi="ar-SA"/>
        </w:rPr>
        <w:t>Resiliency.</w:t>
      </w:r>
      <w:r w:rsidRPr="00D91097">
        <w:rPr>
          <w:rFonts w:ascii="Arial" w:eastAsia="Times New Roman" w:hAnsi="Arial" w:cs="Arial"/>
          <w:sz w:val="20"/>
          <w:szCs w:val="20"/>
          <w:lang w:val="en-IN" w:bidi="ar-SA"/>
        </w:rPr>
        <w:t xml:space="preserve"> Multi Availability Zones are enabled on </w:t>
      </w:r>
      <w:r w:rsidR="00AD2283">
        <w:rPr>
          <w:rFonts w:ascii="Arial" w:eastAsia="Times New Roman" w:hAnsi="Arial" w:cs="Arial"/>
          <w:sz w:val="20"/>
          <w:szCs w:val="20"/>
          <w:highlight w:val="yellow"/>
          <w:lang w:val="en-IN" w:bidi="ar-SA"/>
        </w:rPr>
        <w:t>AZURE</w:t>
      </w:r>
      <w:r w:rsidRPr="00D91097">
        <w:rPr>
          <w:rFonts w:ascii="Arial" w:eastAsia="Times New Roman" w:hAnsi="Arial" w:cs="Arial"/>
          <w:sz w:val="20"/>
          <w:szCs w:val="20"/>
          <w:lang w:val="en-IN" w:bidi="ar-SA"/>
        </w:rPr>
        <w:t xml:space="preserve"> and </w:t>
      </w:r>
      <w:r w:rsidR="00AD2283">
        <w:rPr>
          <w:rFonts w:ascii="Arial" w:eastAsia="Times New Roman" w:hAnsi="Arial" w:cs="Arial"/>
          <w:sz w:val="20"/>
          <w:szCs w:val="20"/>
          <w:highlight w:val="yellow"/>
          <w:lang w:val="en-IN" w:bidi="ar-SA"/>
        </w:rPr>
        <w:t xml:space="preserve">Data Semantics </w:t>
      </w:r>
      <w:r w:rsidRPr="00D91097">
        <w:rPr>
          <w:rFonts w:ascii="Arial" w:eastAsia="Times New Roman" w:hAnsi="Arial" w:cs="Arial"/>
          <w:sz w:val="20"/>
          <w:szCs w:val="20"/>
          <w:lang w:val="en-IN" w:bidi="ar-SA"/>
        </w:rPr>
        <w:t xml:space="preserve"> conducts Backup Restoration Testing on regular basis to ensure resiliency.</w:t>
      </w:r>
    </w:p>
    <w:p w14:paraId="2E263EA9" w14:textId="21A4D413" w:rsidR="00D91097" w:rsidRPr="00D91097" w:rsidRDefault="00D91097" w:rsidP="00D91097">
      <w:pPr>
        <w:numPr>
          <w:ilvl w:val="3"/>
          <w:numId w:val="58"/>
        </w:numPr>
        <w:shd w:val="clear" w:color="auto" w:fill="FFFFFF"/>
        <w:spacing w:before="100" w:beforeAutospacing="1" w:after="100" w:afterAutospacing="1" w:line="240" w:lineRule="auto"/>
        <w:jc w:val="both"/>
        <w:rPr>
          <w:rFonts w:ascii="Arial" w:eastAsia="Times New Roman" w:hAnsi="Arial" w:cs="Arial"/>
          <w:sz w:val="20"/>
          <w:szCs w:val="20"/>
          <w:lang w:val="en-IN" w:bidi="ar-SA"/>
        </w:rPr>
      </w:pPr>
      <w:r w:rsidRPr="00D91097">
        <w:rPr>
          <w:rFonts w:ascii="Arial" w:eastAsia="Times New Roman" w:hAnsi="Arial" w:cs="Arial"/>
          <w:b/>
          <w:bCs/>
          <w:sz w:val="20"/>
          <w:szCs w:val="20"/>
          <w:lang w:val="en-IN" w:bidi="ar-SA"/>
        </w:rPr>
        <w:t>Server Operating Systems. </w:t>
      </w:r>
      <w:r w:rsidR="00AD2283">
        <w:rPr>
          <w:rFonts w:ascii="Arial" w:eastAsia="Times New Roman" w:hAnsi="Arial" w:cs="Arial"/>
          <w:sz w:val="20"/>
          <w:szCs w:val="20"/>
          <w:highlight w:val="yellow"/>
          <w:lang w:val="en-IN" w:bidi="ar-SA"/>
        </w:rPr>
        <w:t xml:space="preserve">Data Semantics </w:t>
      </w:r>
      <w:r w:rsidRPr="00D91097">
        <w:rPr>
          <w:rFonts w:ascii="Arial" w:eastAsia="Times New Roman" w:hAnsi="Arial" w:cs="Arial"/>
          <w:sz w:val="20"/>
          <w:szCs w:val="20"/>
          <w:lang w:val="en-IN" w:bidi="ar-SA"/>
        </w:rPr>
        <w:t xml:space="preserve">’s servers are customized for the application environment and the servers have been hardened for the security of the Services. </w:t>
      </w:r>
      <w:r w:rsidR="00AD2283">
        <w:rPr>
          <w:rFonts w:ascii="Arial" w:eastAsia="Times New Roman" w:hAnsi="Arial" w:cs="Arial"/>
          <w:sz w:val="20"/>
          <w:szCs w:val="20"/>
          <w:highlight w:val="yellow"/>
          <w:lang w:val="en-IN" w:bidi="ar-SA"/>
        </w:rPr>
        <w:t xml:space="preserve">Data Semantics </w:t>
      </w:r>
      <w:r w:rsidRPr="00D91097">
        <w:rPr>
          <w:rFonts w:ascii="Arial" w:eastAsia="Times New Roman" w:hAnsi="Arial" w:cs="Arial"/>
          <w:sz w:val="20"/>
          <w:szCs w:val="20"/>
          <w:lang w:val="en-IN" w:bidi="ar-SA"/>
        </w:rPr>
        <w:t xml:space="preserve"> employs a code review process to increase the security of the code used to provide the Services and enhance the security products in production environments.</w:t>
      </w:r>
    </w:p>
    <w:p w14:paraId="0C3EA659" w14:textId="545A814B" w:rsidR="00D91097" w:rsidRPr="00D91097" w:rsidRDefault="00D91097" w:rsidP="00D91097">
      <w:pPr>
        <w:numPr>
          <w:ilvl w:val="3"/>
          <w:numId w:val="58"/>
        </w:numPr>
        <w:shd w:val="clear" w:color="auto" w:fill="FFFFFF"/>
        <w:spacing w:before="100" w:beforeAutospacing="1" w:after="100" w:afterAutospacing="1" w:line="240" w:lineRule="auto"/>
        <w:jc w:val="both"/>
        <w:rPr>
          <w:rFonts w:ascii="Arial" w:eastAsia="Times New Roman" w:hAnsi="Arial" w:cs="Arial"/>
          <w:sz w:val="20"/>
          <w:szCs w:val="20"/>
          <w:lang w:val="en-IN" w:bidi="ar-SA"/>
        </w:rPr>
      </w:pPr>
      <w:r w:rsidRPr="00D91097">
        <w:rPr>
          <w:rFonts w:ascii="Arial" w:eastAsia="Times New Roman" w:hAnsi="Arial" w:cs="Arial"/>
          <w:b/>
          <w:bCs/>
          <w:sz w:val="20"/>
          <w:szCs w:val="20"/>
          <w:lang w:val="en-IN" w:bidi="ar-SA"/>
        </w:rPr>
        <w:t>Disaster Recovery</w:t>
      </w:r>
      <w:r w:rsidRPr="00D91097">
        <w:rPr>
          <w:rFonts w:ascii="Arial" w:eastAsia="Times New Roman" w:hAnsi="Arial" w:cs="Arial"/>
          <w:sz w:val="20"/>
          <w:szCs w:val="20"/>
          <w:lang w:val="en-IN" w:bidi="ar-SA"/>
        </w:rPr>
        <w:t xml:space="preserve">. </w:t>
      </w:r>
      <w:r w:rsidR="00AD2283">
        <w:rPr>
          <w:rFonts w:ascii="Arial" w:eastAsia="Times New Roman" w:hAnsi="Arial" w:cs="Arial"/>
          <w:sz w:val="20"/>
          <w:szCs w:val="20"/>
          <w:highlight w:val="yellow"/>
          <w:lang w:val="en-IN" w:bidi="ar-SA"/>
        </w:rPr>
        <w:t xml:space="preserve">Data Semantics </w:t>
      </w:r>
      <w:r w:rsidRPr="00D91097">
        <w:rPr>
          <w:rFonts w:ascii="Arial" w:eastAsia="Times New Roman" w:hAnsi="Arial" w:cs="Arial"/>
          <w:sz w:val="20"/>
          <w:szCs w:val="20"/>
          <w:lang w:val="en-IN" w:bidi="ar-SA"/>
        </w:rPr>
        <w:t xml:space="preserve"> replicates data over multiple systems to help to protect against accidental destruction or loss. </w:t>
      </w:r>
      <w:r w:rsidR="00AD2283">
        <w:rPr>
          <w:rFonts w:ascii="Arial" w:eastAsia="Times New Roman" w:hAnsi="Arial" w:cs="Arial"/>
          <w:sz w:val="20"/>
          <w:szCs w:val="20"/>
          <w:highlight w:val="yellow"/>
          <w:lang w:val="en-IN" w:bidi="ar-SA"/>
        </w:rPr>
        <w:t xml:space="preserve">Data Semantics </w:t>
      </w:r>
      <w:r w:rsidRPr="00D91097">
        <w:rPr>
          <w:rFonts w:ascii="Arial" w:eastAsia="Times New Roman" w:hAnsi="Arial" w:cs="Arial"/>
          <w:sz w:val="20"/>
          <w:szCs w:val="20"/>
          <w:lang w:val="en-IN" w:bidi="ar-SA"/>
        </w:rPr>
        <w:t xml:space="preserve"> has designed and regularly plans and tests its disaster recovery programs.</w:t>
      </w:r>
    </w:p>
    <w:p w14:paraId="5A806CB6" w14:textId="5CCBDBC0" w:rsidR="00D91097" w:rsidRPr="00D91097" w:rsidRDefault="00D91097" w:rsidP="00D91097">
      <w:pPr>
        <w:numPr>
          <w:ilvl w:val="3"/>
          <w:numId w:val="58"/>
        </w:numPr>
        <w:shd w:val="clear" w:color="auto" w:fill="FFFFFF"/>
        <w:spacing w:before="100" w:beforeAutospacing="1" w:after="100" w:afterAutospacing="1" w:line="240" w:lineRule="auto"/>
        <w:jc w:val="both"/>
        <w:rPr>
          <w:rFonts w:ascii="Arial" w:eastAsia="Times New Roman" w:hAnsi="Arial" w:cs="Arial"/>
          <w:sz w:val="20"/>
          <w:szCs w:val="20"/>
          <w:lang w:val="en-IN" w:bidi="ar-SA"/>
        </w:rPr>
      </w:pPr>
      <w:r w:rsidRPr="00D91097">
        <w:rPr>
          <w:rFonts w:ascii="Arial" w:eastAsia="Times New Roman" w:hAnsi="Arial" w:cs="Arial"/>
          <w:b/>
          <w:bCs/>
          <w:sz w:val="20"/>
          <w:szCs w:val="20"/>
          <w:lang w:val="en-IN" w:bidi="ar-SA"/>
        </w:rPr>
        <w:t>Security Logs. </w:t>
      </w:r>
      <w:r w:rsidR="00AD2283">
        <w:rPr>
          <w:rFonts w:ascii="Arial" w:eastAsia="Times New Roman" w:hAnsi="Arial" w:cs="Arial"/>
          <w:sz w:val="20"/>
          <w:szCs w:val="20"/>
          <w:highlight w:val="yellow"/>
          <w:lang w:val="en-IN" w:bidi="ar-SA"/>
        </w:rPr>
        <w:t xml:space="preserve">Data Semantics </w:t>
      </w:r>
      <w:r w:rsidRPr="00D91097">
        <w:rPr>
          <w:rFonts w:ascii="Arial" w:eastAsia="Times New Roman" w:hAnsi="Arial" w:cs="Arial"/>
          <w:sz w:val="20"/>
          <w:szCs w:val="20"/>
          <w:lang w:val="en-IN" w:bidi="ar-SA"/>
        </w:rPr>
        <w:t xml:space="preserve">’s systems have logging enabled to their respective system log facility in order to support the security audits, and monitor and detect actual and attempted attacks on, or intrusions into, </w:t>
      </w:r>
      <w:r w:rsidR="00AD2283">
        <w:rPr>
          <w:rFonts w:ascii="Arial" w:eastAsia="Times New Roman" w:hAnsi="Arial" w:cs="Arial"/>
          <w:sz w:val="20"/>
          <w:szCs w:val="20"/>
          <w:highlight w:val="yellow"/>
          <w:lang w:val="en-IN" w:bidi="ar-SA"/>
        </w:rPr>
        <w:t xml:space="preserve">Data Semantics </w:t>
      </w:r>
      <w:r w:rsidRPr="00D91097">
        <w:rPr>
          <w:rFonts w:ascii="Arial" w:eastAsia="Times New Roman" w:hAnsi="Arial" w:cs="Arial"/>
          <w:sz w:val="20"/>
          <w:szCs w:val="20"/>
          <w:lang w:val="en-IN" w:bidi="ar-SA"/>
        </w:rPr>
        <w:t>’s systems.</w:t>
      </w:r>
    </w:p>
    <w:p w14:paraId="0BD76DCB" w14:textId="6D45F2BA" w:rsidR="00D91097" w:rsidRPr="00D91097" w:rsidRDefault="00D91097" w:rsidP="00D91097">
      <w:pPr>
        <w:numPr>
          <w:ilvl w:val="3"/>
          <w:numId w:val="58"/>
        </w:numPr>
        <w:shd w:val="clear" w:color="auto" w:fill="FFFFFF"/>
        <w:spacing w:before="100" w:beforeAutospacing="1" w:after="100" w:afterAutospacing="1" w:line="240" w:lineRule="auto"/>
        <w:jc w:val="both"/>
        <w:rPr>
          <w:rFonts w:ascii="Arial" w:eastAsia="Times New Roman" w:hAnsi="Arial" w:cs="Arial"/>
          <w:sz w:val="20"/>
          <w:szCs w:val="20"/>
          <w:lang w:val="en-IN" w:bidi="ar-SA"/>
        </w:rPr>
      </w:pPr>
      <w:r w:rsidRPr="00D91097">
        <w:rPr>
          <w:rFonts w:ascii="Arial" w:eastAsia="Times New Roman" w:hAnsi="Arial" w:cs="Arial"/>
          <w:b/>
          <w:bCs/>
          <w:sz w:val="20"/>
          <w:szCs w:val="20"/>
          <w:lang w:val="en-IN" w:bidi="ar-SA"/>
        </w:rPr>
        <w:t>Vulnerability Management. </w:t>
      </w:r>
      <w:r w:rsidR="00AD2283">
        <w:rPr>
          <w:rFonts w:ascii="Arial" w:eastAsia="Times New Roman" w:hAnsi="Arial" w:cs="Arial"/>
          <w:sz w:val="20"/>
          <w:szCs w:val="20"/>
          <w:highlight w:val="yellow"/>
          <w:lang w:val="en-IN" w:bidi="ar-SA"/>
        </w:rPr>
        <w:t xml:space="preserve">Data Semantics </w:t>
      </w:r>
      <w:r w:rsidRPr="00D91097">
        <w:rPr>
          <w:rFonts w:ascii="Arial" w:eastAsia="Times New Roman" w:hAnsi="Arial" w:cs="Arial"/>
          <w:sz w:val="20"/>
          <w:szCs w:val="20"/>
          <w:lang w:val="en-IN" w:bidi="ar-SA"/>
        </w:rPr>
        <w:t xml:space="preserve"> performs regular vulnerability scans on all infrastructure components of its production and development environment.  Vulnerabilities are remediated on a risk basis, with Critical, High and Medium security patches for all components installed as soon as commercially possible.</w:t>
      </w:r>
    </w:p>
    <w:p w14:paraId="629BB8E5" w14:textId="77777777" w:rsidR="00D91097" w:rsidRPr="00D91097" w:rsidRDefault="00D91097" w:rsidP="00D91097">
      <w:pPr>
        <w:numPr>
          <w:ilvl w:val="1"/>
          <w:numId w:val="58"/>
        </w:numPr>
        <w:shd w:val="clear" w:color="auto" w:fill="FFFFFF"/>
        <w:spacing w:before="100" w:beforeAutospacing="1" w:after="100" w:afterAutospacing="1" w:line="240" w:lineRule="auto"/>
        <w:jc w:val="both"/>
        <w:rPr>
          <w:rFonts w:ascii="Arial" w:eastAsia="Times New Roman" w:hAnsi="Arial" w:cs="Arial"/>
          <w:sz w:val="20"/>
          <w:szCs w:val="20"/>
          <w:lang w:val="en-IN" w:bidi="ar-SA"/>
        </w:rPr>
      </w:pPr>
      <w:r w:rsidRPr="00D91097">
        <w:rPr>
          <w:rFonts w:ascii="Arial" w:eastAsia="Times New Roman" w:hAnsi="Arial" w:cs="Arial"/>
          <w:b/>
          <w:bCs/>
          <w:sz w:val="20"/>
          <w:szCs w:val="20"/>
          <w:lang w:val="en-IN" w:bidi="ar-SA"/>
        </w:rPr>
        <w:t>Networks and Transmission.</w:t>
      </w:r>
    </w:p>
    <w:p w14:paraId="0B111338" w14:textId="77777777" w:rsidR="00D91097" w:rsidRPr="00D91097" w:rsidRDefault="00D91097" w:rsidP="00D91097">
      <w:pPr>
        <w:numPr>
          <w:ilvl w:val="2"/>
          <w:numId w:val="58"/>
        </w:numPr>
        <w:shd w:val="clear" w:color="auto" w:fill="FFFFFF"/>
        <w:spacing w:before="100" w:beforeAutospacing="1" w:after="100" w:afterAutospacing="1" w:line="240" w:lineRule="auto"/>
        <w:jc w:val="both"/>
        <w:rPr>
          <w:rFonts w:ascii="Arial" w:eastAsia="Times New Roman" w:hAnsi="Arial" w:cs="Arial"/>
          <w:sz w:val="20"/>
          <w:szCs w:val="20"/>
          <w:lang w:val="en-IN" w:bidi="ar-SA"/>
        </w:rPr>
      </w:pPr>
      <w:r w:rsidRPr="00D91097">
        <w:rPr>
          <w:rFonts w:ascii="Arial" w:eastAsia="Times New Roman" w:hAnsi="Arial" w:cs="Arial"/>
          <w:b/>
          <w:bCs/>
          <w:sz w:val="20"/>
          <w:szCs w:val="20"/>
          <w:lang w:val="en-IN" w:bidi="ar-SA"/>
        </w:rPr>
        <w:t>Data Transmission</w:t>
      </w:r>
      <w:r w:rsidRPr="00D91097">
        <w:rPr>
          <w:rFonts w:ascii="Arial" w:eastAsia="Times New Roman" w:hAnsi="Arial" w:cs="Arial"/>
          <w:sz w:val="20"/>
          <w:szCs w:val="20"/>
          <w:lang w:val="en-IN" w:bidi="ar-SA"/>
        </w:rPr>
        <w:t>. Transmissions on production environment are transmitted via Internet standard protocols.</w:t>
      </w:r>
    </w:p>
    <w:p w14:paraId="291AFFA5" w14:textId="78A4C237" w:rsidR="00D91097" w:rsidRPr="00D91097" w:rsidRDefault="00D91097" w:rsidP="00D91097">
      <w:pPr>
        <w:numPr>
          <w:ilvl w:val="2"/>
          <w:numId w:val="58"/>
        </w:numPr>
        <w:shd w:val="clear" w:color="auto" w:fill="FFFFFF"/>
        <w:spacing w:before="100" w:beforeAutospacing="1" w:after="100" w:afterAutospacing="1" w:line="240" w:lineRule="auto"/>
        <w:jc w:val="both"/>
        <w:rPr>
          <w:rFonts w:ascii="Arial" w:eastAsia="Times New Roman" w:hAnsi="Arial" w:cs="Arial"/>
          <w:sz w:val="20"/>
          <w:szCs w:val="20"/>
          <w:highlight w:val="yellow"/>
          <w:lang w:val="en-IN" w:bidi="ar-SA"/>
        </w:rPr>
      </w:pPr>
      <w:r w:rsidRPr="00D91097">
        <w:rPr>
          <w:rFonts w:ascii="Arial" w:eastAsia="Times New Roman" w:hAnsi="Arial" w:cs="Arial"/>
          <w:b/>
          <w:bCs/>
          <w:sz w:val="20"/>
          <w:szCs w:val="20"/>
          <w:lang w:val="en-IN" w:bidi="ar-SA"/>
        </w:rPr>
        <w:lastRenderedPageBreak/>
        <w:t>External Attack Surface</w:t>
      </w:r>
      <w:r w:rsidRPr="00D91097">
        <w:rPr>
          <w:rFonts w:ascii="Arial" w:eastAsia="Times New Roman" w:hAnsi="Arial" w:cs="Arial"/>
          <w:sz w:val="20"/>
          <w:szCs w:val="20"/>
          <w:lang w:val="en-IN" w:bidi="ar-SA"/>
        </w:rPr>
        <w:t xml:space="preserve">. </w:t>
      </w:r>
      <w:r w:rsidR="00AD2283">
        <w:rPr>
          <w:rFonts w:ascii="Arial" w:eastAsia="Times New Roman" w:hAnsi="Arial" w:cs="Arial"/>
          <w:sz w:val="20"/>
          <w:szCs w:val="20"/>
          <w:lang w:val="en-IN" w:bidi="ar-SA"/>
        </w:rPr>
        <w:t>Azure</w:t>
      </w:r>
      <w:r w:rsidRPr="00D91097">
        <w:rPr>
          <w:rFonts w:ascii="Arial" w:eastAsia="Times New Roman" w:hAnsi="Arial" w:cs="Arial"/>
          <w:sz w:val="20"/>
          <w:szCs w:val="20"/>
          <w:lang w:val="en-IN" w:bidi="ar-SA"/>
        </w:rPr>
        <w:t xml:space="preserve"> Security Group which is equivalent to virtual firewall is in place for Production environment on </w:t>
      </w:r>
      <w:r w:rsidR="00AD2283">
        <w:rPr>
          <w:rFonts w:ascii="Arial" w:eastAsia="Times New Roman" w:hAnsi="Arial" w:cs="Arial"/>
          <w:sz w:val="20"/>
          <w:szCs w:val="20"/>
          <w:highlight w:val="yellow"/>
          <w:lang w:val="en-IN" w:bidi="ar-SA"/>
        </w:rPr>
        <w:t>AZURE</w:t>
      </w:r>
      <w:r w:rsidRPr="00D91097">
        <w:rPr>
          <w:rFonts w:ascii="Arial" w:eastAsia="Times New Roman" w:hAnsi="Arial" w:cs="Arial"/>
          <w:sz w:val="20"/>
          <w:szCs w:val="20"/>
          <w:highlight w:val="yellow"/>
          <w:lang w:val="en-IN" w:bidi="ar-SA"/>
        </w:rPr>
        <w:t>.</w:t>
      </w:r>
    </w:p>
    <w:p w14:paraId="0BCE2E8B" w14:textId="67307052" w:rsidR="00D91097" w:rsidRPr="00D91097" w:rsidRDefault="00D91097" w:rsidP="00D91097">
      <w:pPr>
        <w:numPr>
          <w:ilvl w:val="2"/>
          <w:numId w:val="58"/>
        </w:numPr>
        <w:shd w:val="clear" w:color="auto" w:fill="FFFFFF"/>
        <w:spacing w:before="100" w:beforeAutospacing="1" w:after="100" w:afterAutospacing="1" w:line="240" w:lineRule="auto"/>
        <w:jc w:val="both"/>
        <w:rPr>
          <w:rFonts w:ascii="Arial" w:eastAsia="Times New Roman" w:hAnsi="Arial" w:cs="Arial"/>
          <w:sz w:val="20"/>
          <w:szCs w:val="20"/>
          <w:lang w:val="en-IN" w:bidi="ar-SA"/>
        </w:rPr>
      </w:pPr>
      <w:r w:rsidRPr="00D91097">
        <w:rPr>
          <w:rFonts w:ascii="Arial" w:eastAsia="Times New Roman" w:hAnsi="Arial" w:cs="Arial"/>
          <w:b/>
          <w:bCs/>
          <w:sz w:val="20"/>
          <w:szCs w:val="20"/>
          <w:lang w:val="en-IN" w:bidi="ar-SA"/>
        </w:rPr>
        <w:t>Incident Response</w:t>
      </w:r>
      <w:r w:rsidRPr="00D91097">
        <w:rPr>
          <w:rFonts w:ascii="Arial" w:eastAsia="Times New Roman" w:hAnsi="Arial" w:cs="Arial"/>
          <w:sz w:val="20"/>
          <w:szCs w:val="20"/>
          <w:lang w:val="en-IN" w:bidi="ar-SA"/>
        </w:rPr>
        <w:t xml:space="preserve">. </w:t>
      </w:r>
      <w:r w:rsidR="00AD2283">
        <w:rPr>
          <w:rFonts w:ascii="Arial" w:eastAsia="Times New Roman" w:hAnsi="Arial" w:cs="Arial"/>
          <w:sz w:val="20"/>
          <w:szCs w:val="20"/>
          <w:highlight w:val="yellow"/>
          <w:lang w:val="en-IN" w:bidi="ar-SA"/>
        </w:rPr>
        <w:t xml:space="preserve">Data Semantics </w:t>
      </w:r>
      <w:r w:rsidRPr="00D91097">
        <w:rPr>
          <w:rFonts w:ascii="Arial" w:eastAsia="Times New Roman" w:hAnsi="Arial" w:cs="Arial"/>
          <w:sz w:val="20"/>
          <w:szCs w:val="20"/>
          <w:lang w:val="en-IN" w:bidi="ar-SA"/>
        </w:rPr>
        <w:t xml:space="preserve"> maintains incident management policies and procedures, including detailed security incident escalation procedures. </w:t>
      </w:r>
      <w:r w:rsidR="00AD2283">
        <w:rPr>
          <w:rFonts w:ascii="Arial" w:eastAsia="Times New Roman" w:hAnsi="Arial" w:cs="Arial"/>
          <w:sz w:val="20"/>
          <w:szCs w:val="20"/>
          <w:highlight w:val="yellow"/>
          <w:lang w:val="en-IN" w:bidi="ar-SA"/>
        </w:rPr>
        <w:t xml:space="preserve">Data Semantics </w:t>
      </w:r>
      <w:r w:rsidRPr="00D91097">
        <w:rPr>
          <w:rFonts w:ascii="Arial" w:eastAsia="Times New Roman" w:hAnsi="Arial" w:cs="Arial"/>
          <w:sz w:val="20"/>
          <w:szCs w:val="20"/>
          <w:lang w:val="en-IN" w:bidi="ar-SA"/>
        </w:rPr>
        <w:t xml:space="preserve"> monitors a variety of communication channels for security incidents, and </w:t>
      </w:r>
      <w:r w:rsidR="00AD2283">
        <w:rPr>
          <w:rFonts w:ascii="Arial" w:eastAsia="Times New Roman" w:hAnsi="Arial" w:cs="Arial"/>
          <w:sz w:val="20"/>
          <w:szCs w:val="20"/>
          <w:highlight w:val="yellow"/>
          <w:lang w:val="en-IN" w:bidi="ar-SA"/>
        </w:rPr>
        <w:t xml:space="preserve">Data Semantics </w:t>
      </w:r>
      <w:r w:rsidRPr="00D91097">
        <w:rPr>
          <w:rFonts w:ascii="Arial" w:eastAsia="Times New Roman" w:hAnsi="Arial" w:cs="Arial"/>
          <w:sz w:val="20"/>
          <w:szCs w:val="20"/>
          <w:highlight w:val="yellow"/>
          <w:lang w:val="en-IN" w:bidi="ar-SA"/>
        </w:rPr>
        <w:t>’s</w:t>
      </w:r>
      <w:r w:rsidRPr="00D91097">
        <w:rPr>
          <w:rFonts w:ascii="Arial" w:eastAsia="Times New Roman" w:hAnsi="Arial" w:cs="Arial"/>
          <w:sz w:val="20"/>
          <w:szCs w:val="20"/>
          <w:lang w:val="en-IN" w:bidi="ar-SA"/>
        </w:rPr>
        <w:t xml:space="preserve"> security personnel will react promptly to suspected or known incidents, mitigate harmful effects of such security incidents, and document such security incidents and their outcomes.</w:t>
      </w:r>
    </w:p>
    <w:p w14:paraId="7FDC368D" w14:textId="093E75FD" w:rsidR="00D91097" w:rsidRPr="00D91097" w:rsidRDefault="00D91097" w:rsidP="00D91097">
      <w:pPr>
        <w:numPr>
          <w:ilvl w:val="2"/>
          <w:numId w:val="58"/>
        </w:numPr>
        <w:shd w:val="clear" w:color="auto" w:fill="FFFFFF"/>
        <w:spacing w:before="100" w:beforeAutospacing="1" w:after="100" w:afterAutospacing="1" w:line="240" w:lineRule="auto"/>
        <w:jc w:val="both"/>
        <w:rPr>
          <w:rFonts w:ascii="Arial" w:eastAsia="Times New Roman" w:hAnsi="Arial" w:cs="Arial"/>
          <w:sz w:val="20"/>
          <w:szCs w:val="20"/>
          <w:lang w:val="en-IN" w:bidi="ar-SA"/>
        </w:rPr>
      </w:pPr>
      <w:r w:rsidRPr="00D91097">
        <w:rPr>
          <w:rFonts w:ascii="Arial" w:eastAsia="Times New Roman" w:hAnsi="Arial" w:cs="Arial"/>
          <w:b/>
          <w:bCs/>
          <w:sz w:val="20"/>
          <w:szCs w:val="20"/>
          <w:lang w:val="en-IN" w:bidi="ar-SA"/>
        </w:rPr>
        <w:t>Encryption Technologies</w:t>
      </w:r>
      <w:r w:rsidRPr="00D91097">
        <w:rPr>
          <w:rFonts w:ascii="Arial" w:eastAsia="Times New Roman" w:hAnsi="Arial" w:cs="Arial"/>
          <w:sz w:val="20"/>
          <w:szCs w:val="20"/>
          <w:lang w:val="en-IN" w:bidi="ar-SA"/>
        </w:rPr>
        <w:t xml:space="preserve">. </w:t>
      </w:r>
      <w:r w:rsidR="00AD2283">
        <w:rPr>
          <w:rFonts w:ascii="Arial" w:eastAsia="Times New Roman" w:hAnsi="Arial" w:cs="Arial"/>
          <w:sz w:val="20"/>
          <w:szCs w:val="20"/>
          <w:highlight w:val="yellow"/>
          <w:lang w:val="en-IN" w:bidi="ar-SA"/>
        </w:rPr>
        <w:t xml:space="preserve">Data Semantics </w:t>
      </w:r>
      <w:r w:rsidRPr="00D91097">
        <w:rPr>
          <w:rFonts w:ascii="Arial" w:eastAsia="Times New Roman" w:hAnsi="Arial" w:cs="Arial"/>
          <w:sz w:val="20"/>
          <w:szCs w:val="20"/>
          <w:lang w:val="en-IN" w:bidi="ar-SA"/>
        </w:rPr>
        <w:t xml:space="preserve"> makes HTTPS encryption (also referred to as SSL or TLS) available for data in transit.</w:t>
      </w:r>
    </w:p>
    <w:p w14:paraId="3E25B7EF" w14:textId="587FA86D" w:rsidR="00D91097" w:rsidRPr="00D91097" w:rsidRDefault="00D91097" w:rsidP="00D91097">
      <w:pPr>
        <w:numPr>
          <w:ilvl w:val="1"/>
          <w:numId w:val="58"/>
        </w:numPr>
        <w:shd w:val="clear" w:color="auto" w:fill="FFFFFF"/>
        <w:spacing w:before="100" w:beforeAutospacing="1" w:after="100" w:afterAutospacing="1" w:line="240" w:lineRule="auto"/>
        <w:jc w:val="both"/>
        <w:rPr>
          <w:rFonts w:ascii="Arial" w:eastAsia="Times New Roman" w:hAnsi="Arial" w:cs="Arial"/>
          <w:sz w:val="20"/>
          <w:szCs w:val="20"/>
          <w:lang w:val="en-IN" w:bidi="ar-SA"/>
        </w:rPr>
      </w:pPr>
      <w:r w:rsidRPr="00D91097">
        <w:rPr>
          <w:rFonts w:ascii="Arial" w:eastAsia="Times New Roman" w:hAnsi="Arial" w:cs="Arial"/>
          <w:b/>
          <w:bCs/>
          <w:sz w:val="20"/>
          <w:szCs w:val="20"/>
          <w:lang w:val="en-IN" w:bidi="ar-SA"/>
        </w:rPr>
        <w:t>Data Storage, Isolation, Authentication, and Destruction. </w:t>
      </w:r>
      <w:r w:rsidR="00AD2283">
        <w:rPr>
          <w:rFonts w:ascii="Arial" w:eastAsia="Times New Roman" w:hAnsi="Arial" w:cs="Arial"/>
          <w:sz w:val="20"/>
          <w:szCs w:val="20"/>
          <w:highlight w:val="yellow"/>
          <w:lang w:val="en-IN" w:bidi="ar-SA"/>
        </w:rPr>
        <w:t xml:space="preserve">Data Semantics </w:t>
      </w:r>
      <w:r w:rsidRPr="00D91097">
        <w:rPr>
          <w:rFonts w:ascii="Arial" w:eastAsia="Times New Roman" w:hAnsi="Arial" w:cs="Arial"/>
          <w:sz w:val="20"/>
          <w:szCs w:val="20"/>
          <w:lang w:val="en-IN" w:bidi="ar-SA"/>
        </w:rPr>
        <w:t xml:space="preserve"> stores data in a multi-tenant environment on </w:t>
      </w:r>
      <w:r w:rsidR="00AD2283">
        <w:rPr>
          <w:rFonts w:ascii="Arial" w:eastAsia="Times New Roman" w:hAnsi="Arial" w:cs="Arial"/>
          <w:sz w:val="20"/>
          <w:szCs w:val="20"/>
          <w:highlight w:val="yellow"/>
          <w:lang w:val="en-IN" w:bidi="ar-SA"/>
        </w:rPr>
        <w:t>AZURE</w:t>
      </w:r>
      <w:r w:rsidRPr="00D91097">
        <w:rPr>
          <w:rFonts w:ascii="Arial" w:eastAsia="Times New Roman" w:hAnsi="Arial" w:cs="Arial"/>
          <w:sz w:val="20"/>
          <w:szCs w:val="20"/>
          <w:lang w:val="en-IN" w:bidi="ar-SA"/>
        </w:rPr>
        <w:t xml:space="preserve"> servers. Data, the Services database and file system architecture are replicated between multiple availability zones on </w:t>
      </w:r>
      <w:r w:rsidR="00AD2283">
        <w:rPr>
          <w:rFonts w:ascii="Arial" w:eastAsia="Times New Roman" w:hAnsi="Arial" w:cs="Arial"/>
          <w:sz w:val="20"/>
          <w:szCs w:val="20"/>
          <w:highlight w:val="yellow"/>
          <w:lang w:val="en-IN" w:bidi="ar-SA"/>
        </w:rPr>
        <w:t>AZURE</w:t>
      </w:r>
      <w:r w:rsidRPr="00D91097">
        <w:rPr>
          <w:rFonts w:ascii="Arial" w:eastAsia="Times New Roman" w:hAnsi="Arial" w:cs="Arial"/>
          <w:sz w:val="20"/>
          <w:szCs w:val="20"/>
          <w:lang w:val="en-IN" w:bidi="ar-SA"/>
        </w:rPr>
        <w:t xml:space="preserve">. </w:t>
      </w:r>
      <w:r w:rsidR="00AD2283">
        <w:rPr>
          <w:rFonts w:ascii="Arial" w:eastAsia="Times New Roman" w:hAnsi="Arial" w:cs="Arial"/>
          <w:sz w:val="20"/>
          <w:szCs w:val="20"/>
          <w:highlight w:val="yellow"/>
          <w:lang w:val="en-IN" w:bidi="ar-SA"/>
        </w:rPr>
        <w:t xml:space="preserve">Data Semantics </w:t>
      </w:r>
      <w:r w:rsidRPr="00D91097">
        <w:rPr>
          <w:rFonts w:ascii="Arial" w:eastAsia="Times New Roman" w:hAnsi="Arial" w:cs="Arial"/>
          <w:sz w:val="20"/>
          <w:szCs w:val="20"/>
          <w:lang w:val="en-IN" w:bidi="ar-SA"/>
        </w:rPr>
        <w:t xml:space="preserve"> logically isolates the data of different customers. A central authentication system is used across all Services to increase uniform security of data. </w:t>
      </w:r>
      <w:r w:rsidR="00AD2283">
        <w:rPr>
          <w:rFonts w:ascii="Arial" w:eastAsia="Times New Roman" w:hAnsi="Arial" w:cs="Arial"/>
          <w:sz w:val="20"/>
          <w:szCs w:val="20"/>
          <w:highlight w:val="yellow"/>
          <w:lang w:val="en-IN" w:bidi="ar-SA"/>
        </w:rPr>
        <w:t xml:space="preserve">Data Semantics </w:t>
      </w:r>
      <w:r w:rsidRPr="00D91097">
        <w:rPr>
          <w:rFonts w:ascii="Arial" w:eastAsia="Times New Roman" w:hAnsi="Arial" w:cs="Arial"/>
          <w:sz w:val="20"/>
          <w:szCs w:val="20"/>
          <w:lang w:val="en-IN" w:bidi="ar-SA"/>
        </w:rPr>
        <w:t xml:space="preserve"> ensures secure disposal of Client Data through the use of a series of data destruction processes.</w:t>
      </w:r>
    </w:p>
    <w:p w14:paraId="7A0B8536" w14:textId="77777777" w:rsidR="00ED1B2D" w:rsidRPr="006858E8" w:rsidRDefault="00ED1B2D" w:rsidP="2AA1C73E">
      <w:pPr>
        <w:rPr>
          <w:rFonts w:ascii="Arial" w:hAnsi="Arial" w:cs="Arial"/>
          <w:b/>
          <w:bCs/>
          <w:i/>
          <w:iCs/>
          <w:sz w:val="20"/>
          <w:szCs w:val="20"/>
        </w:rPr>
      </w:pPr>
      <w:r w:rsidRPr="006858E8">
        <w:rPr>
          <w:rFonts w:ascii="Arial" w:hAnsi="Arial" w:cs="Arial"/>
          <w:b/>
          <w:bCs/>
          <w:i/>
          <w:iCs/>
          <w:sz w:val="20"/>
          <w:szCs w:val="20"/>
        </w:rPr>
        <w:br w:type="page"/>
      </w:r>
    </w:p>
    <w:p w14:paraId="0FF55A71" w14:textId="5BD0F31D" w:rsidR="00785E60" w:rsidRPr="008512BE" w:rsidRDefault="00E15336" w:rsidP="2AA1C73E">
      <w:pPr>
        <w:jc w:val="center"/>
        <w:rPr>
          <w:rFonts w:ascii="Arial" w:hAnsi="Arial" w:cs="Arial"/>
          <w:b/>
          <w:bCs/>
          <w:sz w:val="20"/>
          <w:szCs w:val="20"/>
        </w:rPr>
      </w:pPr>
      <w:r w:rsidRPr="008512BE">
        <w:rPr>
          <w:rFonts w:ascii="Arial" w:hAnsi="Arial" w:cs="Arial"/>
          <w:b/>
          <w:bCs/>
          <w:i/>
          <w:iCs/>
          <w:sz w:val="20"/>
          <w:szCs w:val="20"/>
        </w:rPr>
        <w:lastRenderedPageBreak/>
        <w:t>ANNEX III</w:t>
      </w:r>
    </w:p>
    <w:p w14:paraId="529B519A" w14:textId="77777777" w:rsidR="00785E60" w:rsidRPr="008512BE" w:rsidRDefault="00E15336" w:rsidP="2AA1C73E">
      <w:pPr>
        <w:jc w:val="center"/>
        <w:rPr>
          <w:rFonts w:ascii="Arial" w:hAnsi="Arial" w:cs="Arial"/>
          <w:b/>
          <w:bCs/>
          <w:sz w:val="20"/>
          <w:szCs w:val="20"/>
        </w:rPr>
      </w:pPr>
      <w:r w:rsidRPr="008512BE">
        <w:rPr>
          <w:rFonts w:ascii="Arial" w:hAnsi="Arial" w:cs="Arial"/>
          <w:b/>
          <w:bCs/>
          <w:sz w:val="20"/>
          <w:szCs w:val="20"/>
        </w:rPr>
        <w:t>LIST OF SUB-PROCESSORS</w:t>
      </w:r>
    </w:p>
    <w:p w14:paraId="2B9675C3" w14:textId="77777777" w:rsidR="00785E60" w:rsidRPr="008512BE" w:rsidRDefault="00E15336" w:rsidP="2AA1C73E">
      <w:pPr>
        <w:rPr>
          <w:rFonts w:ascii="Arial" w:hAnsi="Arial" w:cs="Arial"/>
          <w:sz w:val="20"/>
          <w:szCs w:val="20"/>
        </w:rPr>
      </w:pPr>
      <w:r w:rsidRPr="008512BE">
        <w:rPr>
          <w:rFonts w:ascii="Arial" w:hAnsi="Arial" w:cs="Arial"/>
          <w:sz w:val="20"/>
          <w:szCs w:val="20"/>
        </w:rPr>
        <w:t>The controller has authorized the use of the following sub-processors:</w:t>
      </w:r>
    </w:p>
    <w:tbl>
      <w:tblPr>
        <w:tblW w:w="0" w:type="auto"/>
        <w:tblCellMar>
          <w:top w:w="15" w:type="dxa"/>
          <w:left w:w="15" w:type="dxa"/>
          <w:bottom w:w="15" w:type="dxa"/>
          <w:right w:w="15" w:type="dxa"/>
        </w:tblCellMar>
        <w:tblLook w:val="04A0" w:firstRow="1" w:lastRow="0" w:firstColumn="1" w:lastColumn="0" w:noHBand="0" w:noVBand="1"/>
      </w:tblPr>
      <w:tblGrid>
        <w:gridCol w:w="2623"/>
        <w:gridCol w:w="3502"/>
        <w:gridCol w:w="3001"/>
      </w:tblGrid>
      <w:tr w:rsidR="008512BE" w:rsidRPr="006858E8" w14:paraId="31626D23" w14:textId="77777777" w:rsidTr="00D13EB9">
        <w:tc>
          <w:tcPr>
            <w:tcW w:w="0" w:type="auto"/>
            <w:tcBorders>
              <w:top w:val="single" w:sz="4" w:space="0" w:color="000000"/>
              <w:left w:val="single" w:sz="4" w:space="0" w:color="000000"/>
              <w:bottom w:val="single" w:sz="4" w:space="0" w:color="000000"/>
              <w:right w:val="single" w:sz="4" w:space="0" w:color="000000"/>
            </w:tcBorders>
            <w:shd w:val="clear" w:color="auto" w:fill="EAEAEA"/>
            <w:tcMar>
              <w:top w:w="150" w:type="dxa"/>
              <w:left w:w="150" w:type="dxa"/>
              <w:bottom w:w="150" w:type="dxa"/>
              <w:right w:w="150" w:type="dxa"/>
            </w:tcMar>
            <w:vAlign w:val="bottom"/>
            <w:hideMark/>
          </w:tcPr>
          <w:p w14:paraId="113CAF98" w14:textId="761C9242" w:rsidR="00D13EB9" w:rsidRPr="00D13EB9" w:rsidRDefault="00D13EB9" w:rsidP="00D13EB9">
            <w:pPr>
              <w:spacing w:after="0" w:line="240" w:lineRule="auto"/>
              <w:rPr>
                <w:rFonts w:ascii="Arial" w:eastAsia="Times New Roman" w:hAnsi="Arial" w:cs="Arial"/>
                <w:sz w:val="20"/>
                <w:szCs w:val="20"/>
                <w:lang w:val="en-IN" w:bidi="ar-SA"/>
              </w:rPr>
            </w:pPr>
            <w:r w:rsidRPr="00D13EB9">
              <w:rPr>
                <w:rFonts w:ascii="Arial" w:eastAsia="Times New Roman" w:hAnsi="Arial" w:cs="Arial"/>
                <w:b/>
                <w:bCs/>
                <w:sz w:val="20"/>
                <w:szCs w:val="20"/>
                <w:lang w:val="en-IN" w:bidi="ar-SA"/>
              </w:rPr>
              <w:t xml:space="preserve">Name of </w:t>
            </w:r>
            <w:r w:rsidR="008512BE" w:rsidRPr="006858E8">
              <w:rPr>
                <w:rFonts w:ascii="Arial" w:eastAsia="Times New Roman" w:hAnsi="Arial" w:cs="Arial"/>
                <w:b/>
                <w:bCs/>
                <w:sz w:val="20"/>
                <w:szCs w:val="20"/>
                <w:lang w:val="en-IN" w:bidi="ar-SA"/>
              </w:rPr>
              <w:t>Sub-</w:t>
            </w:r>
            <w:r w:rsidRPr="00D13EB9">
              <w:rPr>
                <w:rFonts w:ascii="Arial" w:eastAsia="Times New Roman" w:hAnsi="Arial" w:cs="Arial"/>
                <w:b/>
                <w:bCs/>
                <w:sz w:val="20"/>
                <w:szCs w:val="20"/>
                <w:lang w:val="en-IN" w:bidi="ar-SA"/>
              </w:rPr>
              <w:t xml:space="preserve"> Processor</w:t>
            </w:r>
          </w:p>
        </w:tc>
        <w:tc>
          <w:tcPr>
            <w:tcW w:w="0" w:type="auto"/>
            <w:tcBorders>
              <w:top w:val="single" w:sz="4" w:space="0" w:color="000000"/>
              <w:left w:val="single" w:sz="4" w:space="0" w:color="000000"/>
              <w:bottom w:val="single" w:sz="4" w:space="0" w:color="000000"/>
              <w:right w:val="single" w:sz="4" w:space="0" w:color="000000"/>
            </w:tcBorders>
            <w:shd w:val="clear" w:color="auto" w:fill="EAEAEA"/>
            <w:tcMar>
              <w:top w:w="150" w:type="dxa"/>
              <w:left w:w="150" w:type="dxa"/>
              <w:bottom w:w="150" w:type="dxa"/>
              <w:right w:w="150" w:type="dxa"/>
            </w:tcMar>
            <w:vAlign w:val="bottom"/>
            <w:hideMark/>
          </w:tcPr>
          <w:p w14:paraId="602914E3" w14:textId="77777777" w:rsidR="00D13EB9" w:rsidRPr="00D13EB9" w:rsidRDefault="00D13EB9" w:rsidP="00D13EB9">
            <w:pPr>
              <w:spacing w:after="0" w:line="240" w:lineRule="auto"/>
              <w:rPr>
                <w:rFonts w:ascii="Arial" w:eastAsia="Times New Roman" w:hAnsi="Arial" w:cs="Arial"/>
                <w:sz w:val="20"/>
                <w:szCs w:val="20"/>
                <w:lang w:val="en-IN" w:bidi="ar-SA"/>
              </w:rPr>
            </w:pPr>
            <w:r w:rsidRPr="00D13EB9">
              <w:rPr>
                <w:rFonts w:ascii="Arial" w:eastAsia="Times New Roman" w:hAnsi="Arial" w:cs="Arial"/>
                <w:b/>
                <w:bCs/>
                <w:sz w:val="20"/>
                <w:szCs w:val="20"/>
                <w:lang w:val="en-IN" w:bidi="ar-SA"/>
              </w:rPr>
              <w:t>Description of Processing</w:t>
            </w:r>
          </w:p>
        </w:tc>
        <w:tc>
          <w:tcPr>
            <w:tcW w:w="0" w:type="auto"/>
            <w:tcBorders>
              <w:top w:val="single" w:sz="4" w:space="0" w:color="000000"/>
              <w:left w:val="single" w:sz="4" w:space="0" w:color="000000"/>
              <w:bottom w:val="single" w:sz="4" w:space="0" w:color="000000"/>
              <w:right w:val="single" w:sz="4" w:space="0" w:color="000000"/>
            </w:tcBorders>
            <w:shd w:val="clear" w:color="auto" w:fill="EAEAEA"/>
            <w:tcMar>
              <w:top w:w="150" w:type="dxa"/>
              <w:left w:w="150" w:type="dxa"/>
              <w:bottom w:w="150" w:type="dxa"/>
              <w:right w:w="150" w:type="dxa"/>
            </w:tcMar>
            <w:vAlign w:val="bottom"/>
            <w:hideMark/>
          </w:tcPr>
          <w:p w14:paraId="23132AEC" w14:textId="77777777" w:rsidR="00D13EB9" w:rsidRPr="00D13EB9" w:rsidRDefault="00D13EB9" w:rsidP="00D13EB9">
            <w:pPr>
              <w:spacing w:after="0" w:line="240" w:lineRule="auto"/>
              <w:rPr>
                <w:rFonts w:ascii="Arial" w:eastAsia="Times New Roman" w:hAnsi="Arial" w:cs="Arial"/>
                <w:sz w:val="20"/>
                <w:szCs w:val="20"/>
                <w:lang w:val="en-IN" w:bidi="ar-SA"/>
              </w:rPr>
            </w:pPr>
            <w:r w:rsidRPr="00D13EB9">
              <w:rPr>
                <w:rFonts w:ascii="Arial" w:eastAsia="Times New Roman" w:hAnsi="Arial" w:cs="Arial"/>
                <w:b/>
                <w:bCs/>
                <w:sz w:val="20"/>
                <w:szCs w:val="20"/>
                <w:lang w:val="en-IN" w:bidi="ar-SA"/>
              </w:rPr>
              <w:t>Location of Other Processor</w:t>
            </w:r>
          </w:p>
        </w:tc>
      </w:tr>
      <w:tr w:rsidR="008512BE" w:rsidRPr="006858E8" w14:paraId="08380D76" w14:textId="77777777" w:rsidTr="00D13EB9">
        <w:tc>
          <w:tcPr>
            <w:tcW w:w="0" w:type="auto"/>
            <w:tcBorders>
              <w:top w:val="single" w:sz="4" w:space="0" w:color="000000"/>
              <w:left w:val="single" w:sz="4" w:space="0" w:color="000000"/>
              <w:bottom w:val="single" w:sz="4" w:space="0" w:color="000000"/>
              <w:right w:val="single" w:sz="4" w:space="0" w:color="000000"/>
            </w:tcBorders>
            <w:tcMar>
              <w:top w:w="150" w:type="dxa"/>
              <w:left w:w="150" w:type="dxa"/>
              <w:bottom w:w="150" w:type="dxa"/>
              <w:right w:w="150" w:type="dxa"/>
            </w:tcMar>
            <w:vAlign w:val="bottom"/>
            <w:hideMark/>
          </w:tcPr>
          <w:p w14:paraId="2801A38B" w14:textId="5260CB30" w:rsidR="00D13EB9" w:rsidRPr="00D13EB9" w:rsidRDefault="00AD2283" w:rsidP="00D13EB9">
            <w:pPr>
              <w:spacing w:after="0" w:line="240" w:lineRule="auto"/>
              <w:jc w:val="center"/>
              <w:rPr>
                <w:rFonts w:ascii="Arial" w:eastAsia="Times New Roman" w:hAnsi="Arial" w:cs="Arial"/>
                <w:sz w:val="20"/>
                <w:szCs w:val="20"/>
                <w:highlight w:val="yellow"/>
                <w:lang w:val="en-IN" w:bidi="ar-SA"/>
              </w:rPr>
            </w:pPr>
            <w:r>
              <w:rPr>
                <w:rFonts w:ascii="Arial" w:eastAsia="Times New Roman" w:hAnsi="Arial" w:cs="Arial"/>
                <w:sz w:val="20"/>
                <w:szCs w:val="20"/>
                <w:highlight w:val="yellow"/>
                <w:lang w:val="en-IN" w:bidi="ar-SA"/>
              </w:rPr>
              <w:t>Microsoft Azure</w:t>
            </w:r>
          </w:p>
        </w:tc>
        <w:tc>
          <w:tcPr>
            <w:tcW w:w="0" w:type="auto"/>
            <w:tcBorders>
              <w:top w:val="single" w:sz="4" w:space="0" w:color="000000"/>
              <w:left w:val="single" w:sz="4" w:space="0" w:color="000000"/>
              <w:bottom w:val="single" w:sz="4" w:space="0" w:color="000000"/>
              <w:right w:val="single" w:sz="4" w:space="0" w:color="000000"/>
            </w:tcBorders>
            <w:tcMar>
              <w:top w:w="150" w:type="dxa"/>
              <w:left w:w="150" w:type="dxa"/>
              <w:bottom w:w="150" w:type="dxa"/>
              <w:right w:w="150" w:type="dxa"/>
            </w:tcMar>
            <w:vAlign w:val="bottom"/>
            <w:hideMark/>
          </w:tcPr>
          <w:p w14:paraId="61EBDE71" w14:textId="77777777" w:rsidR="00D13EB9" w:rsidRPr="00D13EB9" w:rsidRDefault="00D13EB9" w:rsidP="00D13EB9">
            <w:pPr>
              <w:spacing w:after="0" w:line="240" w:lineRule="auto"/>
              <w:jc w:val="center"/>
              <w:rPr>
                <w:rFonts w:ascii="Arial" w:eastAsia="Times New Roman" w:hAnsi="Arial" w:cs="Arial"/>
                <w:sz w:val="20"/>
                <w:szCs w:val="20"/>
                <w:highlight w:val="yellow"/>
                <w:lang w:val="en-IN" w:bidi="ar-SA"/>
              </w:rPr>
            </w:pPr>
            <w:r w:rsidRPr="00D13EB9">
              <w:rPr>
                <w:rFonts w:ascii="Arial" w:eastAsia="Times New Roman" w:hAnsi="Arial" w:cs="Arial"/>
                <w:sz w:val="20"/>
                <w:szCs w:val="20"/>
                <w:highlight w:val="yellow"/>
                <w:lang w:val="en-IN" w:bidi="ar-SA"/>
              </w:rPr>
              <w:t>Hosting the Production Environment</w:t>
            </w:r>
          </w:p>
        </w:tc>
        <w:tc>
          <w:tcPr>
            <w:tcW w:w="0" w:type="auto"/>
            <w:tcBorders>
              <w:top w:val="single" w:sz="4" w:space="0" w:color="000000"/>
              <w:left w:val="single" w:sz="4" w:space="0" w:color="000000"/>
              <w:bottom w:val="single" w:sz="4" w:space="0" w:color="000000"/>
              <w:right w:val="single" w:sz="4" w:space="0" w:color="000000"/>
            </w:tcBorders>
            <w:tcMar>
              <w:top w:w="150" w:type="dxa"/>
              <w:left w:w="150" w:type="dxa"/>
              <w:bottom w:w="150" w:type="dxa"/>
              <w:right w:w="150" w:type="dxa"/>
            </w:tcMar>
            <w:vAlign w:val="bottom"/>
            <w:hideMark/>
          </w:tcPr>
          <w:p w14:paraId="30C171D0" w14:textId="77777777" w:rsidR="00D13EB9" w:rsidRPr="00D13EB9" w:rsidRDefault="00D13EB9" w:rsidP="00D13EB9">
            <w:pPr>
              <w:spacing w:after="0" w:line="240" w:lineRule="auto"/>
              <w:rPr>
                <w:rFonts w:ascii="Arial" w:eastAsia="Times New Roman" w:hAnsi="Arial" w:cs="Arial"/>
                <w:sz w:val="20"/>
                <w:szCs w:val="20"/>
                <w:highlight w:val="yellow"/>
                <w:lang w:val="en-IN" w:bidi="ar-SA"/>
              </w:rPr>
            </w:pPr>
          </w:p>
        </w:tc>
      </w:tr>
      <w:tr w:rsidR="008512BE" w:rsidRPr="006858E8" w14:paraId="71F22EE6" w14:textId="77777777" w:rsidTr="00D13EB9">
        <w:tc>
          <w:tcPr>
            <w:tcW w:w="0" w:type="auto"/>
            <w:tcBorders>
              <w:top w:val="single" w:sz="4" w:space="0" w:color="000000"/>
              <w:left w:val="single" w:sz="4" w:space="0" w:color="000000"/>
              <w:bottom w:val="single" w:sz="4" w:space="0" w:color="000000"/>
              <w:right w:val="single" w:sz="4" w:space="0" w:color="000000"/>
            </w:tcBorders>
            <w:tcMar>
              <w:top w:w="150" w:type="dxa"/>
              <w:left w:w="150" w:type="dxa"/>
              <w:bottom w:w="150" w:type="dxa"/>
              <w:right w:w="150" w:type="dxa"/>
            </w:tcMar>
            <w:vAlign w:val="bottom"/>
          </w:tcPr>
          <w:p w14:paraId="76DBEDE4" w14:textId="559EE1E1" w:rsidR="008512BE" w:rsidRPr="006858E8" w:rsidRDefault="008512BE" w:rsidP="00D13EB9">
            <w:pPr>
              <w:spacing w:after="0" w:line="240" w:lineRule="auto"/>
              <w:jc w:val="center"/>
              <w:rPr>
                <w:rFonts w:ascii="Arial" w:eastAsia="Times New Roman" w:hAnsi="Arial" w:cs="Arial"/>
                <w:sz w:val="20"/>
                <w:szCs w:val="20"/>
                <w:highlight w:val="yellow"/>
                <w:lang w:val="en-IN" w:bidi="ar-SA"/>
              </w:rPr>
            </w:pPr>
          </w:p>
        </w:tc>
        <w:tc>
          <w:tcPr>
            <w:tcW w:w="0" w:type="auto"/>
            <w:tcBorders>
              <w:top w:val="single" w:sz="4" w:space="0" w:color="000000"/>
              <w:left w:val="single" w:sz="4" w:space="0" w:color="000000"/>
              <w:bottom w:val="single" w:sz="4" w:space="0" w:color="000000"/>
              <w:right w:val="single" w:sz="4" w:space="0" w:color="000000"/>
            </w:tcBorders>
            <w:tcMar>
              <w:top w:w="150" w:type="dxa"/>
              <w:left w:w="150" w:type="dxa"/>
              <w:bottom w:w="150" w:type="dxa"/>
              <w:right w:w="150" w:type="dxa"/>
            </w:tcMar>
            <w:vAlign w:val="bottom"/>
          </w:tcPr>
          <w:p w14:paraId="6E4228C1" w14:textId="77777777" w:rsidR="008512BE" w:rsidRPr="006858E8" w:rsidRDefault="008512BE" w:rsidP="00D13EB9">
            <w:pPr>
              <w:spacing w:after="0" w:line="240" w:lineRule="auto"/>
              <w:jc w:val="center"/>
              <w:rPr>
                <w:rFonts w:ascii="Arial" w:eastAsia="Times New Roman" w:hAnsi="Arial" w:cs="Arial"/>
                <w:sz w:val="20"/>
                <w:szCs w:val="20"/>
                <w:highlight w:val="yellow"/>
                <w:lang w:val="en-IN" w:bidi="ar-SA"/>
              </w:rPr>
            </w:pPr>
          </w:p>
        </w:tc>
        <w:tc>
          <w:tcPr>
            <w:tcW w:w="0" w:type="auto"/>
            <w:tcBorders>
              <w:top w:val="single" w:sz="4" w:space="0" w:color="000000"/>
              <w:left w:val="single" w:sz="4" w:space="0" w:color="000000"/>
              <w:bottom w:val="single" w:sz="4" w:space="0" w:color="000000"/>
              <w:right w:val="single" w:sz="4" w:space="0" w:color="000000"/>
            </w:tcBorders>
            <w:tcMar>
              <w:top w:w="150" w:type="dxa"/>
              <w:left w:w="150" w:type="dxa"/>
              <w:bottom w:w="150" w:type="dxa"/>
              <w:right w:w="150" w:type="dxa"/>
            </w:tcMar>
            <w:vAlign w:val="bottom"/>
          </w:tcPr>
          <w:p w14:paraId="7B2267B9" w14:textId="77777777" w:rsidR="008512BE" w:rsidRPr="006858E8" w:rsidRDefault="008512BE" w:rsidP="00D13EB9">
            <w:pPr>
              <w:spacing w:after="0" w:line="240" w:lineRule="auto"/>
              <w:rPr>
                <w:rFonts w:ascii="Arial" w:eastAsia="Times New Roman" w:hAnsi="Arial" w:cs="Arial"/>
                <w:sz w:val="20"/>
                <w:szCs w:val="20"/>
                <w:highlight w:val="yellow"/>
                <w:lang w:val="en-IN" w:bidi="ar-SA"/>
              </w:rPr>
            </w:pPr>
          </w:p>
        </w:tc>
      </w:tr>
    </w:tbl>
    <w:p w14:paraId="76D4D335" w14:textId="4A7C3DD6" w:rsidR="00785E60" w:rsidRPr="006858E8" w:rsidRDefault="00785E60" w:rsidP="2AA1C73E">
      <w:pPr>
        <w:rPr>
          <w:rFonts w:ascii="Arial" w:hAnsi="Arial" w:cs="Arial"/>
          <w:sz w:val="20"/>
          <w:szCs w:val="20"/>
        </w:rPr>
      </w:pPr>
    </w:p>
    <w:sectPr w:rsidR="00785E60" w:rsidRPr="006858E8">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187DE" w14:textId="77777777" w:rsidR="00563464" w:rsidRDefault="00563464">
      <w:pPr>
        <w:spacing w:after="0" w:line="240" w:lineRule="auto"/>
      </w:pPr>
      <w:r>
        <w:separator/>
      </w:r>
    </w:p>
  </w:endnote>
  <w:endnote w:type="continuationSeparator" w:id="0">
    <w:p w14:paraId="57ECB257" w14:textId="77777777" w:rsidR="00563464" w:rsidRDefault="00563464">
      <w:pPr>
        <w:spacing w:after="0" w:line="240" w:lineRule="auto"/>
      </w:pPr>
      <w:r>
        <w:continuationSeparator/>
      </w:r>
    </w:p>
  </w:endnote>
  <w:endnote w:type="continuationNotice" w:id="1">
    <w:p w14:paraId="62A412A2" w14:textId="77777777" w:rsidR="00563464" w:rsidRDefault="005634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6FC61" w14:textId="77777777" w:rsidR="00785E60" w:rsidRDefault="00785E60" w:rsidP="007E6D5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4715B" w14:textId="77777777" w:rsidR="00563464" w:rsidRDefault="00563464">
      <w:pPr>
        <w:spacing w:after="0" w:line="240" w:lineRule="auto"/>
      </w:pPr>
      <w:r>
        <w:separator/>
      </w:r>
    </w:p>
  </w:footnote>
  <w:footnote w:type="continuationSeparator" w:id="0">
    <w:p w14:paraId="355C3BC0" w14:textId="77777777" w:rsidR="00563464" w:rsidRDefault="00563464">
      <w:pPr>
        <w:spacing w:after="0" w:line="240" w:lineRule="auto"/>
      </w:pPr>
      <w:r>
        <w:continuationSeparator/>
      </w:r>
    </w:p>
  </w:footnote>
  <w:footnote w:type="continuationNotice" w:id="1">
    <w:p w14:paraId="27B055B8" w14:textId="77777777" w:rsidR="00563464" w:rsidRDefault="0056346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A4A27"/>
    <w:multiLevelType w:val="multilevel"/>
    <w:tmpl w:val="E93C3554"/>
    <w:lvl w:ilvl="0">
      <w:start w:val="1"/>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C140B6D"/>
    <w:multiLevelType w:val="multilevel"/>
    <w:tmpl w:val="21B476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BA2593"/>
    <w:multiLevelType w:val="multilevel"/>
    <w:tmpl w:val="7C72A9F4"/>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10512E"/>
    <w:multiLevelType w:val="multilevel"/>
    <w:tmpl w:val="544407D4"/>
    <w:lvl w:ilvl="0">
      <w:start w:val="1"/>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15516739"/>
    <w:multiLevelType w:val="multilevel"/>
    <w:tmpl w:val="7E9822DA"/>
    <w:lvl w:ilvl="0">
      <w:start w:val="1"/>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19A03BC6"/>
    <w:multiLevelType w:val="multilevel"/>
    <w:tmpl w:val="D02247F8"/>
    <w:lvl w:ilvl="0">
      <w:start w:val="1"/>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1EA08789"/>
    <w:multiLevelType w:val="hybridMultilevel"/>
    <w:tmpl w:val="FFFFFFFF"/>
    <w:lvl w:ilvl="0" w:tplc="7E646518">
      <w:start w:val="3"/>
      <w:numFmt w:val="lowerLetter"/>
      <w:lvlText w:val="%1."/>
      <w:lvlJc w:val="left"/>
      <w:pPr>
        <w:ind w:left="720" w:hanging="360"/>
      </w:pPr>
    </w:lvl>
    <w:lvl w:ilvl="1" w:tplc="A7028CC0">
      <w:start w:val="1"/>
      <w:numFmt w:val="lowerLetter"/>
      <w:lvlText w:val="%2."/>
      <w:lvlJc w:val="left"/>
      <w:pPr>
        <w:ind w:left="1440" w:hanging="360"/>
      </w:pPr>
    </w:lvl>
    <w:lvl w:ilvl="2" w:tplc="421A3C42">
      <w:start w:val="1"/>
      <w:numFmt w:val="lowerRoman"/>
      <w:lvlText w:val="%3."/>
      <w:lvlJc w:val="right"/>
      <w:pPr>
        <w:ind w:left="2160" w:hanging="180"/>
      </w:pPr>
    </w:lvl>
    <w:lvl w:ilvl="3" w:tplc="090A1902">
      <w:start w:val="1"/>
      <w:numFmt w:val="decimal"/>
      <w:lvlText w:val="%4."/>
      <w:lvlJc w:val="left"/>
      <w:pPr>
        <w:ind w:left="2880" w:hanging="360"/>
      </w:pPr>
    </w:lvl>
    <w:lvl w:ilvl="4" w:tplc="9FB67EC8">
      <w:start w:val="1"/>
      <w:numFmt w:val="lowerLetter"/>
      <w:lvlText w:val="%5."/>
      <w:lvlJc w:val="left"/>
      <w:pPr>
        <w:ind w:left="3600" w:hanging="360"/>
      </w:pPr>
    </w:lvl>
    <w:lvl w:ilvl="5" w:tplc="6070215A">
      <w:start w:val="1"/>
      <w:numFmt w:val="lowerRoman"/>
      <w:lvlText w:val="%6."/>
      <w:lvlJc w:val="right"/>
      <w:pPr>
        <w:ind w:left="4320" w:hanging="180"/>
      </w:pPr>
    </w:lvl>
    <w:lvl w:ilvl="6" w:tplc="C0D4FE34">
      <w:start w:val="1"/>
      <w:numFmt w:val="decimal"/>
      <w:lvlText w:val="%7."/>
      <w:lvlJc w:val="left"/>
      <w:pPr>
        <w:ind w:left="5040" w:hanging="360"/>
      </w:pPr>
    </w:lvl>
    <w:lvl w:ilvl="7" w:tplc="C82A9960">
      <w:start w:val="1"/>
      <w:numFmt w:val="lowerLetter"/>
      <w:lvlText w:val="%8."/>
      <w:lvlJc w:val="left"/>
      <w:pPr>
        <w:ind w:left="5760" w:hanging="360"/>
      </w:pPr>
    </w:lvl>
    <w:lvl w:ilvl="8" w:tplc="A0069A5C">
      <w:start w:val="1"/>
      <w:numFmt w:val="lowerRoman"/>
      <w:lvlText w:val="%9."/>
      <w:lvlJc w:val="right"/>
      <w:pPr>
        <w:ind w:left="6480" w:hanging="180"/>
      </w:pPr>
    </w:lvl>
  </w:abstractNum>
  <w:abstractNum w:abstractNumId="7" w15:restartNumberingAfterBreak="0">
    <w:nsid w:val="1FED041D"/>
    <w:multiLevelType w:val="multilevel"/>
    <w:tmpl w:val="DCDA38C2"/>
    <w:lvl w:ilvl="0">
      <w:start w:val="1"/>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224A2906"/>
    <w:multiLevelType w:val="multilevel"/>
    <w:tmpl w:val="0ABAE5B2"/>
    <w:lvl w:ilvl="0">
      <w:numFmt w:val="bullet"/>
      <w:lvlText w:val="-"/>
      <w:lvlJc w:val="left"/>
      <w:pPr>
        <w:ind w:left="720" w:hanging="360"/>
      </w:pPr>
      <w:rPr>
        <w:rFonts w:ascii="Arial" w:eastAsia="Arial" w:hAnsi="Arial" w:cs="Arial"/>
        <w: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54F0AFB"/>
    <w:multiLevelType w:val="multilevel"/>
    <w:tmpl w:val="1D301190"/>
    <w:lvl w:ilvl="0">
      <w:start w:val="4"/>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B55196"/>
    <w:multiLevelType w:val="hybridMultilevel"/>
    <w:tmpl w:val="FFFFFFFF"/>
    <w:lvl w:ilvl="0" w:tplc="EB6E5CC0">
      <w:start w:val="1"/>
      <w:numFmt w:val="lowerLetter"/>
      <w:lvlText w:val="%1."/>
      <w:lvlJc w:val="left"/>
      <w:pPr>
        <w:ind w:left="720" w:hanging="360"/>
      </w:pPr>
    </w:lvl>
    <w:lvl w:ilvl="1" w:tplc="BCF8E62A">
      <w:start w:val="1"/>
      <w:numFmt w:val="lowerLetter"/>
      <w:lvlText w:val="%2."/>
      <w:lvlJc w:val="left"/>
      <w:pPr>
        <w:ind w:left="1440" w:hanging="360"/>
      </w:pPr>
    </w:lvl>
    <w:lvl w:ilvl="2" w:tplc="8952739C">
      <w:start w:val="1"/>
      <w:numFmt w:val="lowerRoman"/>
      <w:lvlText w:val="%3."/>
      <w:lvlJc w:val="right"/>
      <w:pPr>
        <w:ind w:left="2160" w:hanging="180"/>
      </w:pPr>
    </w:lvl>
    <w:lvl w:ilvl="3" w:tplc="9B16203A">
      <w:start w:val="1"/>
      <w:numFmt w:val="decimal"/>
      <w:lvlText w:val="%4."/>
      <w:lvlJc w:val="left"/>
      <w:pPr>
        <w:ind w:left="2880" w:hanging="360"/>
      </w:pPr>
    </w:lvl>
    <w:lvl w:ilvl="4" w:tplc="DB48E4BA">
      <w:start w:val="1"/>
      <w:numFmt w:val="lowerLetter"/>
      <w:lvlText w:val="%5."/>
      <w:lvlJc w:val="left"/>
      <w:pPr>
        <w:ind w:left="3600" w:hanging="360"/>
      </w:pPr>
    </w:lvl>
    <w:lvl w:ilvl="5" w:tplc="49885B42">
      <w:start w:val="1"/>
      <w:numFmt w:val="lowerRoman"/>
      <w:lvlText w:val="%6."/>
      <w:lvlJc w:val="right"/>
      <w:pPr>
        <w:ind w:left="4320" w:hanging="180"/>
      </w:pPr>
    </w:lvl>
    <w:lvl w:ilvl="6" w:tplc="4E986C36">
      <w:start w:val="1"/>
      <w:numFmt w:val="decimal"/>
      <w:lvlText w:val="%7."/>
      <w:lvlJc w:val="left"/>
      <w:pPr>
        <w:ind w:left="5040" w:hanging="360"/>
      </w:pPr>
    </w:lvl>
    <w:lvl w:ilvl="7" w:tplc="E5A695F0">
      <w:start w:val="1"/>
      <w:numFmt w:val="lowerLetter"/>
      <w:lvlText w:val="%8."/>
      <w:lvlJc w:val="left"/>
      <w:pPr>
        <w:ind w:left="5760" w:hanging="360"/>
      </w:pPr>
    </w:lvl>
    <w:lvl w:ilvl="8" w:tplc="A92455AC">
      <w:start w:val="1"/>
      <w:numFmt w:val="lowerRoman"/>
      <w:lvlText w:val="%9."/>
      <w:lvlJc w:val="right"/>
      <w:pPr>
        <w:ind w:left="6480" w:hanging="180"/>
      </w:pPr>
    </w:lvl>
  </w:abstractNum>
  <w:abstractNum w:abstractNumId="11" w15:restartNumberingAfterBreak="0">
    <w:nsid w:val="260D067B"/>
    <w:multiLevelType w:val="multilevel"/>
    <w:tmpl w:val="C22814AC"/>
    <w:lvl w:ilvl="0">
      <w:start w:val="1"/>
      <w:numFmt w:val="lowerLetter"/>
      <w:pStyle w:val="para1"/>
      <w:lvlText w:val="%1)"/>
      <w:lvlJc w:val="left"/>
      <w:pPr>
        <w:ind w:left="0" w:firstLine="0"/>
      </w:pPr>
    </w:lvl>
    <w:lvl w:ilvl="1">
      <w:start w:val="1"/>
      <w:numFmt w:val="lowerRoman"/>
      <w:lvlText w:val="%2."/>
      <w:lvlJc w:val="right"/>
      <w:pPr>
        <w:ind w:left="360" w:hanging="36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28B0105E"/>
    <w:multiLevelType w:val="multilevel"/>
    <w:tmpl w:val="22FEB14C"/>
    <w:lvl w:ilvl="0">
      <w:start w:val="1"/>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29EB569C"/>
    <w:multiLevelType w:val="multilevel"/>
    <w:tmpl w:val="CA887A8E"/>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3476C58"/>
    <w:multiLevelType w:val="multilevel"/>
    <w:tmpl w:val="9B92AABC"/>
    <w:lvl w:ilvl="0">
      <w:start w:val="1"/>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34DF7B1E"/>
    <w:multiLevelType w:val="multilevel"/>
    <w:tmpl w:val="DDEA1314"/>
    <w:lvl w:ilvl="0">
      <w:start w:val="1"/>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35C75A74"/>
    <w:multiLevelType w:val="hybridMultilevel"/>
    <w:tmpl w:val="59B0410C"/>
    <w:lvl w:ilvl="0" w:tplc="894A586A">
      <w:start w:val="1"/>
      <w:numFmt w:val="lowerLetter"/>
      <w:lvlText w:val="(%1)"/>
      <w:lvlJc w:val="left"/>
      <w:pPr>
        <w:ind w:left="720" w:hanging="660"/>
      </w:pPr>
      <w:rPr>
        <w:rFonts w:hint="default"/>
        <w:color w:val="auto"/>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391801D2"/>
    <w:multiLevelType w:val="multilevel"/>
    <w:tmpl w:val="F9061816"/>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bullet"/>
      <w:lvlText w:val="●"/>
      <w:lvlJc w:val="left"/>
      <w:pPr>
        <w:ind w:left="3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4F57DD"/>
    <w:multiLevelType w:val="multilevel"/>
    <w:tmpl w:val="0842170E"/>
    <w:lvl w:ilvl="0">
      <w:start w:val="1"/>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15:restartNumberingAfterBreak="0">
    <w:nsid w:val="40E25BB5"/>
    <w:multiLevelType w:val="multilevel"/>
    <w:tmpl w:val="EF286DAA"/>
    <w:lvl w:ilvl="0">
      <w:start w:val="1"/>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15:restartNumberingAfterBreak="0">
    <w:nsid w:val="40FC3E52"/>
    <w:multiLevelType w:val="multilevel"/>
    <w:tmpl w:val="FD044240"/>
    <w:lvl w:ilvl="0">
      <w:start w:val="1"/>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 w15:restartNumberingAfterBreak="0">
    <w:nsid w:val="42433669"/>
    <w:multiLevelType w:val="multilevel"/>
    <w:tmpl w:val="1278DBFA"/>
    <w:lvl w:ilvl="0">
      <w:start w:val="1"/>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 w15:restartNumberingAfterBreak="0">
    <w:nsid w:val="45701D59"/>
    <w:multiLevelType w:val="multilevel"/>
    <w:tmpl w:val="3578AC98"/>
    <w:lvl w:ilvl="0">
      <w:start w:val="1"/>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3" w15:restartNumberingAfterBreak="0">
    <w:nsid w:val="45767D3E"/>
    <w:multiLevelType w:val="multilevel"/>
    <w:tmpl w:val="052CDE84"/>
    <w:lvl w:ilvl="0">
      <w:start w:val="1"/>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 w15:restartNumberingAfterBreak="0">
    <w:nsid w:val="4A1D733B"/>
    <w:multiLevelType w:val="multilevel"/>
    <w:tmpl w:val="D90AF34E"/>
    <w:lvl w:ilvl="0">
      <w:start w:val="1"/>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 w15:restartNumberingAfterBreak="0">
    <w:nsid w:val="4E1D7013"/>
    <w:multiLevelType w:val="multilevel"/>
    <w:tmpl w:val="AC0AAEA8"/>
    <w:lvl w:ilvl="0">
      <w:start w:val="1"/>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6" w15:restartNumberingAfterBreak="0">
    <w:nsid w:val="4E4D1CD9"/>
    <w:multiLevelType w:val="multilevel"/>
    <w:tmpl w:val="F3F8123A"/>
    <w:lvl w:ilvl="0">
      <w:start w:val="1"/>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7" w15:restartNumberingAfterBreak="0">
    <w:nsid w:val="4E9935FF"/>
    <w:multiLevelType w:val="hybridMultilevel"/>
    <w:tmpl w:val="FFFFFFFF"/>
    <w:lvl w:ilvl="0" w:tplc="222094C2">
      <w:start w:val="2"/>
      <w:numFmt w:val="lowerLetter"/>
      <w:lvlText w:val="%1."/>
      <w:lvlJc w:val="left"/>
      <w:pPr>
        <w:ind w:left="720" w:hanging="360"/>
      </w:pPr>
    </w:lvl>
    <w:lvl w:ilvl="1" w:tplc="429CAE0A">
      <w:start w:val="1"/>
      <w:numFmt w:val="lowerLetter"/>
      <w:lvlText w:val="%2."/>
      <w:lvlJc w:val="left"/>
      <w:pPr>
        <w:ind w:left="1440" w:hanging="360"/>
      </w:pPr>
    </w:lvl>
    <w:lvl w:ilvl="2" w:tplc="52FAD3E2">
      <w:start w:val="1"/>
      <w:numFmt w:val="lowerRoman"/>
      <w:lvlText w:val="%3."/>
      <w:lvlJc w:val="right"/>
      <w:pPr>
        <w:ind w:left="2160" w:hanging="180"/>
      </w:pPr>
    </w:lvl>
    <w:lvl w:ilvl="3" w:tplc="375E69E2">
      <w:start w:val="1"/>
      <w:numFmt w:val="decimal"/>
      <w:lvlText w:val="%4."/>
      <w:lvlJc w:val="left"/>
      <w:pPr>
        <w:ind w:left="2880" w:hanging="360"/>
      </w:pPr>
    </w:lvl>
    <w:lvl w:ilvl="4" w:tplc="5CE4F132">
      <w:start w:val="1"/>
      <w:numFmt w:val="lowerLetter"/>
      <w:lvlText w:val="%5."/>
      <w:lvlJc w:val="left"/>
      <w:pPr>
        <w:ind w:left="3600" w:hanging="360"/>
      </w:pPr>
    </w:lvl>
    <w:lvl w:ilvl="5" w:tplc="93C21DCE">
      <w:start w:val="1"/>
      <w:numFmt w:val="lowerRoman"/>
      <w:lvlText w:val="%6."/>
      <w:lvlJc w:val="right"/>
      <w:pPr>
        <w:ind w:left="4320" w:hanging="180"/>
      </w:pPr>
    </w:lvl>
    <w:lvl w:ilvl="6" w:tplc="D5723650">
      <w:start w:val="1"/>
      <w:numFmt w:val="decimal"/>
      <w:lvlText w:val="%7."/>
      <w:lvlJc w:val="left"/>
      <w:pPr>
        <w:ind w:left="5040" w:hanging="360"/>
      </w:pPr>
    </w:lvl>
    <w:lvl w:ilvl="7" w:tplc="F30462F4">
      <w:start w:val="1"/>
      <w:numFmt w:val="lowerLetter"/>
      <w:lvlText w:val="%8."/>
      <w:lvlJc w:val="left"/>
      <w:pPr>
        <w:ind w:left="5760" w:hanging="360"/>
      </w:pPr>
    </w:lvl>
    <w:lvl w:ilvl="8" w:tplc="AFDE7364">
      <w:start w:val="1"/>
      <w:numFmt w:val="lowerRoman"/>
      <w:lvlText w:val="%9."/>
      <w:lvlJc w:val="right"/>
      <w:pPr>
        <w:ind w:left="6480" w:hanging="180"/>
      </w:pPr>
    </w:lvl>
  </w:abstractNum>
  <w:abstractNum w:abstractNumId="28" w15:restartNumberingAfterBreak="0">
    <w:nsid w:val="4ED32CB1"/>
    <w:multiLevelType w:val="multilevel"/>
    <w:tmpl w:val="707E049A"/>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1712485"/>
    <w:multiLevelType w:val="multilevel"/>
    <w:tmpl w:val="59D22AFA"/>
    <w:lvl w:ilvl="0">
      <w:start w:val="1"/>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0" w15:restartNumberingAfterBreak="0">
    <w:nsid w:val="53082D34"/>
    <w:multiLevelType w:val="multilevel"/>
    <w:tmpl w:val="BFB4D7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58C2770"/>
    <w:multiLevelType w:val="multilevel"/>
    <w:tmpl w:val="7CB83918"/>
    <w:lvl w:ilvl="0">
      <w:start w:val="1"/>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2" w15:restartNumberingAfterBreak="0">
    <w:nsid w:val="5829CEF9"/>
    <w:multiLevelType w:val="multilevel"/>
    <w:tmpl w:val="FFFFFFFF"/>
    <w:lvl w:ilvl="0">
      <w:start w:val="2"/>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CC24B66"/>
    <w:multiLevelType w:val="multilevel"/>
    <w:tmpl w:val="B5AE5CA2"/>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CFB4161"/>
    <w:multiLevelType w:val="multilevel"/>
    <w:tmpl w:val="984049A8"/>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1294AE8"/>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3573C1D"/>
    <w:multiLevelType w:val="multilevel"/>
    <w:tmpl w:val="A7FAA68A"/>
    <w:lvl w:ilvl="0">
      <w:start w:val="1"/>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7" w15:restartNumberingAfterBreak="0">
    <w:nsid w:val="696756E2"/>
    <w:multiLevelType w:val="multilevel"/>
    <w:tmpl w:val="E918CE90"/>
    <w:lvl w:ilvl="0">
      <w:start w:val="1"/>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8" w15:restartNumberingAfterBreak="0">
    <w:nsid w:val="6B637E96"/>
    <w:multiLevelType w:val="hybridMultilevel"/>
    <w:tmpl w:val="0360DC8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B8B0F0B"/>
    <w:multiLevelType w:val="multilevel"/>
    <w:tmpl w:val="9B6E5194"/>
    <w:lvl w:ilvl="0">
      <w:start w:val="1"/>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0" w15:restartNumberingAfterBreak="0">
    <w:nsid w:val="770C51D4"/>
    <w:multiLevelType w:val="hybridMultilevel"/>
    <w:tmpl w:val="C1C084F0"/>
    <w:lvl w:ilvl="0" w:tplc="BF861AC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7B250AF8"/>
    <w:multiLevelType w:val="multilevel"/>
    <w:tmpl w:val="F316187A"/>
    <w:lvl w:ilvl="0">
      <w:start w:val="1"/>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891356178">
    <w:abstractNumId w:val="1"/>
  </w:num>
  <w:num w:numId="2" w16cid:durableId="1778981515">
    <w:abstractNumId w:val="13"/>
  </w:num>
  <w:num w:numId="3" w16cid:durableId="401297397">
    <w:abstractNumId w:val="37"/>
  </w:num>
  <w:num w:numId="4" w16cid:durableId="67507536">
    <w:abstractNumId w:val="2"/>
  </w:num>
  <w:num w:numId="5" w16cid:durableId="200165797">
    <w:abstractNumId w:val="19"/>
  </w:num>
  <w:num w:numId="6" w16cid:durableId="819734482">
    <w:abstractNumId w:val="33"/>
  </w:num>
  <w:num w:numId="7" w16cid:durableId="77945901">
    <w:abstractNumId w:val="15"/>
  </w:num>
  <w:num w:numId="8" w16cid:durableId="2064401315">
    <w:abstractNumId w:val="39"/>
  </w:num>
  <w:num w:numId="9" w16cid:durableId="234515279">
    <w:abstractNumId w:val="28"/>
  </w:num>
  <w:num w:numId="10" w16cid:durableId="403996432">
    <w:abstractNumId w:val="30"/>
  </w:num>
  <w:num w:numId="11" w16cid:durableId="699431454">
    <w:abstractNumId w:val="17"/>
  </w:num>
  <w:num w:numId="12" w16cid:durableId="143399404">
    <w:abstractNumId w:val="41"/>
  </w:num>
  <w:num w:numId="13" w16cid:durableId="1453014022">
    <w:abstractNumId w:val="31"/>
  </w:num>
  <w:num w:numId="14" w16cid:durableId="1686662879">
    <w:abstractNumId w:val="29"/>
  </w:num>
  <w:num w:numId="15" w16cid:durableId="1316421646">
    <w:abstractNumId w:val="21"/>
  </w:num>
  <w:num w:numId="16" w16cid:durableId="1499005378">
    <w:abstractNumId w:val="26"/>
  </w:num>
  <w:num w:numId="17" w16cid:durableId="1198928813">
    <w:abstractNumId w:val="18"/>
  </w:num>
  <w:num w:numId="18" w16cid:durableId="825366465">
    <w:abstractNumId w:val="4"/>
  </w:num>
  <w:num w:numId="19" w16cid:durableId="1957716884">
    <w:abstractNumId w:val="5"/>
  </w:num>
  <w:num w:numId="20" w16cid:durableId="1872718549">
    <w:abstractNumId w:val="14"/>
  </w:num>
  <w:num w:numId="21" w16cid:durableId="1748722062">
    <w:abstractNumId w:val="22"/>
  </w:num>
  <w:num w:numId="22" w16cid:durableId="255135666">
    <w:abstractNumId w:val="24"/>
  </w:num>
  <w:num w:numId="23" w16cid:durableId="1885632552">
    <w:abstractNumId w:val="0"/>
  </w:num>
  <w:num w:numId="24" w16cid:durableId="1758214253">
    <w:abstractNumId w:val="7"/>
  </w:num>
  <w:num w:numId="25" w16cid:durableId="761994838">
    <w:abstractNumId w:val="36"/>
  </w:num>
  <w:num w:numId="26" w16cid:durableId="1355306349">
    <w:abstractNumId w:val="8"/>
  </w:num>
  <w:num w:numId="27" w16cid:durableId="1637173773">
    <w:abstractNumId w:val="11"/>
  </w:num>
  <w:num w:numId="28" w16cid:durableId="970132093">
    <w:abstractNumId w:val="25"/>
  </w:num>
  <w:num w:numId="29" w16cid:durableId="206575249">
    <w:abstractNumId w:val="20"/>
  </w:num>
  <w:num w:numId="30" w16cid:durableId="368141181">
    <w:abstractNumId w:val="23"/>
  </w:num>
  <w:num w:numId="31" w16cid:durableId="867570269">
    <w:abstractNumId w:val="3"/>
  </w:num>
  <w:num w:numId="32" w16cid:durableId="1524830488">
    <w:abstractNumId w:val="12"/>
  </w:num>
  <w:num w:numId="33" w16cid:durableId="813058981">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34" w16cid:durableId="1884291832">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35" w16cid:durableId="1771201811">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36" w16cid:durableId="2110393062">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37" w16cid:durableId="805514168">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38" w16cid:durableId="1051538550">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39" w16cid:durableId="1169558504">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40" w16cid:durableId="1658148707">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41" w16cid:durableId="1154682134">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42" w16cid:durableId="133716039">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43" w16cid:durableId="476579916">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44" w16cid:durableId="225340867">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45" w16cid:durableId="238684188">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46" w16cid:durableId="1345783878">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47" w16cid:durableId="85000802">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48" w16cid:durableId="1275864652">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49" w16cid:durableId="1263034634">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50" w16cid:durableId="187450793">
    <w:abstractNumId w:val="16"/>
  </w:num>
  <w:num w:numId="51" w16cid:durableId="2138067612">
    <w:abstractNumId w:val="32"/>
  </w:num>
  <w:num w:numId="52" w16cid:durableId="898594947">
    <w:abstractNumId w:val="35"/>
  </w:num>
  <w:num w:numId="53" w16cid:durableId="2019304421">
    <w:abstractNumId w:val="6"/>
  </w:num>
  <w:num w:numId="54" w16cid:durableId="373893406">
    <w:abstractNumId w:val="27"/>
  </w:num>
  <w:num w:numId="55" w16cid:durableId="39794675">
    <w:abstractNumId w:val="10"/>
  </w:num>
  <w:num w:numId="56" w16cid:durableId="322200832">
    <w:abstractNumId w:val="34"/>
  </w:num>
  <w:num w:numId="57" w16cid:durableId="1319578654">
    <w:abstractNumId w:val="40"/>
  </w:num>
  <w:num w:numId="58" w16cid:durableId="928195178">
    <w:abstractNumId w:val="9"/>
  </w:num>
  <w:num w:numId="59" w16cid:durableId="548342052">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E60"/>
    <w:rsid w:val="000018FE"/>
    <w:rsid w:val="00012ECF"/>
    <w:rsid w:val="0001654E"/>
    <w:rsid w:val="000177AC"/>
    <w:rsid w:val="00024A01"/>
    <w:rsid w:val="000410BC"/>
    <w:rsid w:val="000678BB"/>
    <w:rsid w:val="000E6B97"/>
    <w:rsid w:val="000F5CF7"/>
    <w:rsid w:val="00105906"/>
    <w:rsid w:val="00132C85"/>
    <w:rsid w:val="00140B69"/>
    <w:rsid w:val="001475B8"/>
    <w:rsid w:val="00151AE8"/>
    <w:rsid w:val="0015582D"/>
    <w:rsid w:val="00196467"/>
    <w:rsid w:val="001C4FBC"/>
    <w:rsid w:val="001C5EB2"/>
    <w:rsid w:val="001D0B39"/>
    <w:rsid w:val="001E3728"/>
    <w:rsid w:val="001F566B"/>
    <w:rsid w:val="001F5C0A"/>
    <w:rsid w:val="00202C55"/>
    <w:rsid w:val="00214250"/>
    <w:rsid w:val="00227213"/>
    <w:rsid w:val="00241A9F"/>
    <w:rsid w:val="0025095E"/>
    <w:rsid w:val="002879D8"/>
    <w:rsid w:val="002919E6"/>
    <w:rsid w:val="002C58D7"/>
    <w:rsid w:val="00314505"/>
    <w:rsid w:val="0033088D"/>
    <w:rsid w:val="0036431D"/>
    <w:rsid w:val="00366DE9"/>
    <w:rsid w:val="003B0EF3"/>
    <w:rsid w:val="003C709A"/>
    <w:rsid w:val="0040044E"/>
    <w:rsid w:val="00404AA2"/>
    <w:rsid w:val="00404EE9"/>
    <w:rsid w:val="004221F6"/>
    <w:rsid w:val="00434016"/>
    <w:rsid w:val="004357E0"/>
    <w:rsid w:val="004404EA"/>
    <w:rsid w:val="004454B5"/>
    <w:rsid w:val="00467720"/>
    <w:rsid w:val="0049011D"/>
    <w:rsid w:val="004944F0"/>
    <w:rsid w:val="004A24A3"/>
    <w:rsid w:val="004C0D70"/>
    <w:rsid w:val="004C7452"/>
    <w:rsid w:val="004D02D1"/>
    <w:rsid w:val="004E3B28"/>
    <w:rsid w:val="004E5AF8"/>
    <w:rsid w:val="004EE1EE"/>
    <w:rsid w:val="00503D38"/>
    <w:rsid w:val="00503F90"/>
    <w:rsid w:val="0053631D"/>
    <w:rsid w:val="00552A55"/>
    <w:rsid w:val="00563464"/>
    <w:rsid w:val="00565EF9"/>
    <w:rsid w:val="00590855"/>
    <w:rsid w:val="005A288D"/>
    <w:rsid w:val="005B2C06"/>
    <w:rsid w:val="005B3D7F"/>
    <w:rsid w:val="005D0CE5"/>
    <w:rsid w:val="005D20F3"/>
    <w:rsid w:val="00613519"/>
    <w:rsid w:val="00624381"/>
    <w:rsid w:val="0063677B"/>
    <w:rsid w:val="006540A7"/>
    <w:rsid w:val="00677341"/>
    <w:rsid w:val="0068125F"/>
    <w:rsid w:val="00685057"/>
    <w:rsid w:val="006858E8"/>
    <w:rsid w:val="006B2C07"/>
    <w:rsid w:val="006D49B9"/>
    <w:rsid w:val="006F0799"/>
    <w:rsid w:val="00701BC5"/>
    <w:rsid w:val="00736C17"/>
    <w:rsid w:val="007376C1"/>
    <w:rsid w:val="007475A5"/>
    <w:rsid w:val="00751D93"/>
    <w:rsid w:val="00773D40"/>
    <w:rsid w:val="007822D8"/>
    <w:rsid w:val="00785E60"/>
    <w:rsid w:val="00797054"/>
    <w:rsid w:val="007A09DB"/>
    <w:rsid w:val="007A17CA"/>
    <w:rsid w:val="007C0485"/>
    <w:rsid w:val="007D05A2"/>
    <w:rsid w:val="007E6D5D"/>
    <w:rsid w:val="007F60D4"/>
    <w:rsid w:val="00821C55"/>
    <w:rsid w:val="008346FC"/>
    <w:rsid w:val="008436F2"/>
    <w:rsid w:val="0084697B"/>
    <w:rsid w:val="008512BE"/>
    <w:rsid w:val="008577B5"/>
    <w:rsid w:val="0086457D"/>
    <w:rsid w:val="008C081F"/>
    <w:rsid w:val="008D4E59"/>
    <w:rsid w:val="00931557"/>
    <w:rsid w:val="009816AB"/>
    <w:rsid w:val="00992F30"/>
    <w:rsid w:val="009954ED"/>
    <w:rsid w:val="009B48D7"/>
    <w:rsid w:val="009B5995"/>
    <w:rsid w:val="00A02A30"/>
    <w:rsid w:val="00A331B6"/>
    <w:rsid w:val="00A42DA8"/>
    <w:rsid w:val="00A47321"/>
    <w:rsid w:val="00A669CB"/>
    <w:rsid w:val="00A834E8"/>
    <w:rsid w:val="00A87C13"/>
    <w:rsid w:val="00A87C2A"/>
    <w:rsid w:val="00A9334C"/>
    <w:rsid w:val="00AA044A"/>
    <w:rsid w:val="00AB364E"/>
    <w:rsid w:val="00AB76EF"/>
    <w:rsid w:val="00AB7E58"/>
    <w:rsid w:val="00AC6B33"/>
    <w:rsid w:val="00AD2283"/>
    <w:rsid w:val="00AD718E"/>
    <w:rsid w:val="00AE36F5"/>
    <w:rsid w:val="00B00948"/>
    <w:rsid w:val="00B0205B"/>
    <w:rsid w:val="00B670BF"/>
    <w:rsid w:val="00B833D2"/>
    <w:rsid w:val="00BD27BB"/>
    <w:rsid w:val="00BD4FB9"/>
    <w:rsid w:val="00C66FA0"/>
    <w:rsid w:val="00CA35DA"/>
    <w:rsid w:val="00CE30B9"/>
    <w:rsid w:val="00CF5069"/>
    <w:rsid w:val="00CF551E"/>
    <w:rsid w:val="00CF7DFF"/>
    <w:rsid w:val="00D13EB9"/>
    <w:rsid w:val="00D30B7D"/>
    <w:rsid w:val="00D42543"/>
    <w:rsid w:val="00D44269"/>
    <w:rsid w:val="00D52757"/>
    <w:rsid w:val="00D52F00"/>
    <w:rsid w:val="00D571CA"/>
    <w:rsid w:val="00D64594"/>
    <w:rsid w:val="00D65141"/>
    <w:rsid w:val="00D775E6"/>
    <w:rsid w:val="00D83183"/>
    <w:rsid w:val="00D91097"/>
    <w:rsid w:val="00D923E2"/>
    <w:rsid w:val="00D93DBB"/>
    <w:rsid w:val="00DB8AC8"/>
    <w:rsid w:val="00DC0D23"/>
    <w:rsid w:val="00DE3E45"/>
    <w:rsid w:val="00DE5609"/>
    <w:rsid w:val="00DF5D77"/>
    <w:rsid w:val="00E03203"/>
    <w:rsid w:val="00E03632"/>
    <w:rsid w:val="00E06FEC"/>
    <w:rsid w:val="00E13D62"/>
    <w:rsid w:val="00E15336"/>
    <w:rsid w:val="00E30C64"/>
    <w:rsid w:val="00E623E0"/>
    <w:rsid w:val="00E812AB"/>
    <w:rsid w:val="00EA614E"/>
    <w:rsid w:val="00EC6870"/>
    <w:rsid w:val="00ED10A0"/>
    <w:rsid w:val="00ED1B2D"/>
    <w:rsid w:val="00ED3EC9"/>
    <w:rsid w:val="00ED5CAE"/>
    <w:rsid w:val="00EE6CEA"/>
    <w:rsid w:val="00EF5958"/>
    <w:rsid w:val="00F2142E"/>
    <w:rsid w:val="00F22FD4"/>
    <w:rsid w:val="00F35331"/>
    <w:rsid w:val="00F56B5A"/>
    <w:rsid w:val="00F6070D"/>
    <w:rsid w:val="00F65EC2"/>
    <w:rsid w:val="00F7608E"/>
    <w:rsid w:val="00F87682"/>
    <w:rsid w:val="00F903DF"/>
    <w:rsid w:val="00F90BD0"/>
    <w:rsid w:val="00F93C1C"/>
    <w:rsid w:val="00F9632E"/>
    <w:rsid w:val="00FA7DA9"/>
    <w:rsid w:val="00FD2D6C"/>
    <w:rsid w:val="00FD5176"/>
    <w:rsid w:val="00FF5D07"/>
    <w:rsid w:val="0262803F"/>
    <w:rsid w:val="072D7BA9"/>
    <w:rsid w:val="0942A840"/>
    <w:rsid w:val="0B5ADFAA"/>
    <w:rsid w:val="0D240B81"/>
    <w:rsid w:val="0DAC9994"/>
    <w:rsid w:val="0DE8FAE5"/>
    <w:rsid w:val="0FEC51FB"/>
    <w:rsid w:val="0FFC525A"/>
    <w:rsid w:val="109C4CEF"/>
    <w:rsid w:val="120C4FDE"/>
    <w:rsid w:val="13A5F933"/>
    <w:rsid w:val="1612A29C"/>
    <w:rsid w:val="183FD81F"/>
    <w:rsid w:val="19DBA880"/>
    <w:rsid w:val="1B9DA54D"/>
    <w:rsid w:val="1DA73B01"/>
    <w:rsid w:val="21E6BA65"/>
    <w:rsid w:val="234CBABB"/>
    <w:rsid w:val="23E0867C"/>
    <w:rsid w:val="24B546D4"/>
    <w:rsid w:val="257C56DD"/>
    <w:rsid w:val="269F16E1"/>
    <w:rsid w:val="2899A2B2"/>
    <w:rsid w:val="28B3F79F"/>
    <w:rsid w:val="2A93F300"/>
    <w:rsid w:val="2AA1C73E"/>
    <w:rsid w:val="2B33ED95"/>
    <w:rsid w:val="2B43EBC2"/>
    <w:rsid w:val="2CD3EA31"/>
    <w:rsid w:val="2DCB93C2"/>
    <w:rsid w:val="2DD198E8"/>
    <w:rsid w:val="2E6B8E57"/>
    <w:rsid w:val="3491DEF8"/>
    <w:rsid w:val="35D35854"/>
    <w:rsid w:val="36069ECE"/>
    <w:rsid w:val="360F1987"/>
    <w:rsid w:val="3983412A"/>
    <w:rsid w:val="3C09A9B1"/>
    <w:rsid w:val="3CF5ED6A"/>
    <w:rsid w:val="3E073DBB"/>
    <w:rsid w:val="3F9B4D5A"/>
    <w:rsid w:val="41BBCEFA"/>
    <w:rsid w:val="452B93A6"/>
    <w:rsid w:val="4664D094"/>
    <w:rsid w:val="4BC8F0B2"/>
    <w:rsid w:val="4E383CBC"/>
    <w:rsid w:val="4F754FE0"/>
    <w:rsid w:val="51065457"/>
    <w:rsid w:val="52F21EF2"/>
    <w:rsid w:val="53A12453"/>
    <w:rsid w:val="566DC110"/>
    <w:rsid w:val="5ABD10AE"/>
    <w:rsid w:val="5DABC08D"/>
    <w:rsid w:val="633DCF6A"/>
    <w:rsid w:val="6508CF52"/>
    <w:rsid w:val="657F1443"/>
    <w:rsid w:val="6882E1E5"/>
    <w:rsid w:val="68B6B505"/>
    <w:rsid w:val="6D8A2628"/>
    <w:rsid w:val="6DB596EE"/>
    <w:rsid w:val="70C1C6EA"/>
    <w:rsid w:val="74DE157E"/>
    <w:rsid w:val="78436133"/>
    <w:rsid w:val="78D4C655"/>
    <w:rsid w:val="79DF3194"/>
    <w:rsid w:val="7AE31D2D"/>
    <w:rsid w:val="7B4E0473"/>
    <w:rsid w:val="7B9125D9"/>
    <w:rsid w:val="7BEC2151"/>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B84683"/>
  <w15:docId w15:val="{ACF49417-BA9E-41CD-A3A4-BA7D1822C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634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48F"/>
  </w:style>
  <w:style w:type="paragraph" w:styleId="Footer">
    <w:name w:val="footer"/>
    <w:basedOn w:val="Normal"/>
    <w:link w:val="FooterChar"/>
    <w:uiPriority w:val="99"/>
    <w:unhideWhenUsed/>
    <w:rsid w:val="00963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48F"/>
  </w:style>
  <w:style w:type="paragraph" w:styleId="ListParagraph">
    <w:name w:val="List Paragraph"/>
    <w:basedOn w:val="Normal"/>
    <w:uiPriority w:val="34"/>
    <w:qFormat/>
    <w:rsid w:val="00960EC1"/>
    <w:pPr>
      <w:ind w:left="720"/>
      <w:contextualSpacing/>
    </w:pPr>
  </w:style>
  <w:style w:type="table" w:styleId="TableGrid">
    <w:name w:val="Table Grid"/>
    <w:basedOn w:val="TableNormal"/>
    <w:uiPriority w:val="39"/>
    <w:rsid w:val="005A0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70D9"/>
    <w:rPr>
      <w:sz w:val="16"/>
      <w:szCs w:val="16"/>
    </w:rPr>
  </w:style>
  <w:style w:type="paragraph" w:styleId="CommentText">
    <w:name w:val="annotation text"/>
    <w:basedOn w:val="Normal"/>
    <w:link w:val="CommentTextChar"/>
    <w:uiPriority w:val="99"/>
    <w:unhideWhenUsed/>
    <w:rsid w:val="004570D9"/>
    <w:pPr>
      <w:spacing w:after="0" w:line="240" w:lineRule="auto"/>
    </w:pPr>
    <w:rPr>
      <w:rFonts w:ascii="Arial" w:eastAsia="Arial" w:hAnsi="Arial" w:cs="Arial"/>
      <w:sz w:val="20"/>
      <w:szCs w:val="20"/>
      <w:lang w:val="en-GB"/>
    </w:rPr>
  </w:style>
  <w:style w:type="character" w:customStyle="1" w:styleId="CommentTextChar">
    <w:name w:val="Comment Text Char"/>
    <w:basedOn w:val="DefaultParagraphFont"/>
    <w:link w:val="CommentText"/>
    <w:uiPriority w:val="99"/>
    <w:rsid w:val="004570D9"/>
    <w:rPr>
      <w:rFonts w:ascii="Arial" w:eastAsia="Arial" w:hAnsi="Arial" w:cs="Arial"/>
      <w:sz w:val="20"/>
      <w:szCs w:val="20"/>
      <w:lang w:val="en-GB" w:eastAsia="en-IN"/>
    </w:rPr>
  </w:style>
  <w:style w:type="paragraph" w:styleId="CommentSubject">
    <w:name w:val="annotation subject"/>
    <w:basedOn w:val="CommentText"/>
    <w:next w:val="CommentText"/>
    <w:link w:val="CommentSubjectChar"/>
    <w:uiPriority w:val="99"/>
    <w:semiHidden/>
    <w:unhideWhenUsed/>
    <w:rsid w:val="00652A30"/>
    <w:pPr>
      <w:spacing w:after="160"/>
    </w:pPr>
    <w:rPr>
      <w:rFonts w:asciiTheme="minorHAnsi" w:eastAsiaTheme="minorHAnsi" w:hAnsiTheme="minorHAnsi" w:cstheme="minorBidi"/>
      <w:b/>
      <w:bCs/>
      <w:lang w:val="en-US" w:eastAsia="en-US"/>
    </w:rPr>
  </w:style>
  <w:style w:type="character" w:customStyle="1" w:styleId="CommentSubjectChar">
    <w:name w:val="Comment Subject Char"/>
    <w:basedOn w:val="CommentTextChar"/>
    <w:link w:val="CommentSubject"/>
    <w:uiPriority w:val="99"/>
    <w:semiHidden/>
    <w:rsid w:val="00652A30"/>
    <w:rPr>
      <w:rFonts w:ascii="Arial" w:eastAsia="Arial" w:hAnsi="Arial" w:cs="Arial"/>
      <w:b/>
      <w:bCs/>
      <w:sz w:val="20"/>
      <w:szCs w:val="20"/>
      <w:lang w:val="en-GB" w:eastAsia="en-IN"/>
    </w:rPr>
  </w:style>
  <w:style w:type="character" w:styleId="Hyperlink">
    <w:name w:val="Hyperlink"/>
    <w:basedOn w:val="DefaultParagraphFont"/>
    <w:uiPriority w:val="99"/>
    <w:unhideWhenUsed/>
    <w:rsid w:val="00E951D3"/>
    <w:rPr>
      <w:color w:val="0563C1" w:themeColor="hyperlink"/>
      <w:u w:val="single"/>
    </w:rPr>
  </w:style>
  <w:style w:type="character" w:customStyle="1" w:styleId="UnresolvedMention1">
    <w:name w:val="Unresolved Mention1"/>
    <w:basedOn w:val="DefaultParagraphFont"/>
    <w:uiPriority w:val="99"/>
    <w:semiHidden/>
    <w:unhideWhenUsed/>
    <w:rsid w:val="004452A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FollowedHyperlink">
    <w:name w:val="FollowedHyperlink"/>
    <w:basedOn w:val="DefaultParagraphFont"/>
    <w:uiPriority w:val="99"/>
    <w:semiHidden/>
    <w:unhideWhenUsed/>
    <w:rsid w:val="00D64594"/>
    <w:rPr>
      <w:color w:val="954F72" w:themeColor="followedHyperlink"/>
      <w:u w:val="single"/>
    </w:rPr>
  </w:style>
  <w:style w:type="paragraph" w:customStyle="1" w:styleId="para1">
    <w:name w:val="para1"/>
    <w:basedOn w:val="Normal"/>
    <w:link w:val="para1Char"/>
    <w:qFormat/>
    <w:rsid w:val="008577B5"/>
    <w:pPr>
      <w:numPr>
        <w:numId w:val="27"/>
      </w:numPr>
      <w:spacing w:line="360" w:lineRule="auto"/>
      <w:jc w:val="both"/>
    </w:pPr>
    <w:rPr>
      <w:rFonts w:ascii="Arial" w:hAnsi="Arial"/>
      <w:sz w:val="24"/>
      <w:szCs w:val="24"/>
    </w:rPr>
  </w:style>
  <w:style w:type="character" w:customStyle="1" w:styleId="para1Char">
    <w:name w:val="para1 Char"/>
    <w:basedOn w:val="DefaultParagraphFont"/>
    <w:link w:val="para1"/>
    <w:rsid w:val="008577B5"/>
    <w:rPr>
      <w:rFonts w:ascii="Arial" w:hAnsi="Arial"/>
      <w:sz w:val="24"/>
      <w:szCs w:val="24"/>
    </w:rPr>
  </w:style>
  <w:style w:type="paragraph" w:styleId="NormalWeb">
    <w:name w:val="Normal (Web)"/>
    <w:basedOn w:val="Normal"/>
    <w:uiPriority w:val="99"/>
    <w:semiHidden/>
    <w:unhideWhenUsed/>
    <w:rsid w:val="00DE5609"/>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oj-normal">
    <w:name w:val="oj-normal"/>
    <w:basedOn w:val="Normal"/>
    <w:rsid w:val="00241A9F"/>
    <w:pPr>
      <w:spacing w:before="100" w:beforeAutospacing="1" w:after="100" w:afterAutospacing="1" w:line="240" w:lineRule="auto"/>
    </w:pPr>
    <w:rPr>
      <w:rFonts w:ascii="Times New Roman" w:eastAsia="Times New Roman" w:hAnsi="Times New Roman" w:cs="Times New Roman"/>
      <w:sz w:val="24"/>
      <w:szCs w:val="24"/>
      <w:lang w:eastAsia="en-US" w:bidi="ar-SA"/>
    </w:rPr>
  </w:style>
  <w:style w:type="character" w:customStyle="1" w:styleId="oj-italic">
    <w:name w:val="oj-italic"/>
    <w:basedOn w:val="DefaultParagraphFont"/>
    <w:rsid w:val="00241A9F"/>
  </w:style>
  <w:style w:type="paragraph" w:styleId="EndnoteText">
    <w:name w:val="endnote text"/>
    <w:basedOn w:val="Normal"/>
    <w:link w:val="EndnoteTextChar"/>
    <w:uiPriority w:val="99"/>
    <w:semiHidden/>
    <w:unhideWhenUsed/>
    <w:rsid w:val="00241A9F"/>
    <w:pPr>
      <w:spacing w:after="0" w:line="240" w:lineRule="auto"/>
    </w:pPr>
    <w:rPr>
      <w:rFonts w:eastAsiaTheme="minorHAnsi" w:cs="Times New Roman"/>
      <w:sz w:val="20"/>
      <w:szCs w:val="20"/>
      <w:lang w:eastAsia="en-US" w:bidi="ar-SA"/>
    </w:rPr>
  </w:style>
  <w:style w:type="character" w:customStyle="1" w:styleId="EndnoteTextChar">
    <w:name w:val="Endnote Text Char"/>
    <w:basedOn w:val="DefaultParagraphFont"/>
    <w:link w:val="EndnoteText"/>
    <w:uiPriority w:val="99"/>
    <w:semiHidden/>
    <w:rsid w:val="00241A9F"/>
    <w:rPr>
      <w:rFonts w:eastAsiaTheme="minorHAnsi" w:cs="Times New Roman"/>
      <w:sz w:val="20"/>
      <w:szCs w:val="20"/>
      <w:lang w:eastAsia="en-US" w:bidi="ar-SA"/>
    </w:rPr>
  </w:style>
  <w:style w:type="character" w:styleId="EndnoteReference">
    <w:name w:val="endnote reference"/>
    <w:basedOn w:val="DefaultParagraphFont"/>
    <w:uiPriority w:val="99"/>
    <w:semiHidden/>
    <w:unhideWhenUsed/>
    <w:rsid w:val="00241A9F"/>
    <w:rPr>
      <w:vertAlign w:val="superscript"/>
    </w:rPr>
  </w:style>
  <w:style w:type="character" w:styleId="Strong">
    <w:name w:val="Strong"/>
    <w:basedOn w:val="DefaultParagraphFont"/>
    <w:uiPriority w:val="22"/>
    <w:qFormat/>
    <w:rsid w:val="00D91097"/>
    <w:rPr>
      <w:b/>
      <w:bCs/>
    </w:rPr>
  </w:style>
  <w:style w:type="character" w:styleId="UnresolvedMention">
    <w:name w:val="Unresolved Mention"/>
    <w:basedOn w:val="DefaultParagraphFont"/>
    <w:uiPriority w:val="99"/>
    <w:semiHidden/>
    <w:unhideWhenUsed/>
    <w:rsid w:val="00AD22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22922">
      <w:bodyDiv w:val="1"/>
      <w:marLeft w:val="0"/>
      <w:marRight w:val="0"/>
      <w:marTop w:val="0"/>
      <w:marBottom w:val="0"/>
      <w:divBdr>
        <w:top w:val="none" w:sz="0" w:space="0" w:color="auto"/>
        <w:left w:val="none" w:sz="0" w:space="0" w:color="auto"/>
        <w:bottom w:val="none" w:sz="0" w:space="0" w:color="auto"/>
        <w:right w:val="none" w:sz="0" w:space="0" w:color="auto"/>
      </w:divBdr>
    </w:div>
    <w:div w:id="365495061">
      <w:bodyDiv w:val="1"/>
      <w:marLeft w:val="0"/>
      <w:marRight w:val="0"/>
      <w:marTop w:val="0"/>
      <w:marBottom w:val="0"/>
      <w:divBdr>
        <w:top w:val="none" w:sz="0" w:space="0" w:color="auto"/>
        <w:left w:val="none" w:sz="0" w:space="0" w:color="auto"/>
        <w:bottom w:val="none" w:sz="0" w:space="0" w:color="auto"/>
        <w:right w:val="none" w:sz="0" w:space="0" w:color="auto"/>
      </w:divBdr>
    </w:div>
    <w:div w:id="910313219">
      <w:bodyDiv w:val="1"/>
      <w:marLeft w:val="0"/>
      <w:marRight w:val="0"/>
      <w:marTop w:val="0"/>
      <w:marBottom w:val="0"/>
      <w:divBdr>
        <w:top w:val="none" w:sz="0" w:space="0" w:color="auto"/>
        <w:left w:val="none" w:sz="0" w:space="0" w:color="auto"/>
        <w:bottom w:val="none" w:sz="0" w:space="0" w:color="auto"/>
        <w:right w:val="none" w:sz="0" w:space="0" w:color="auto"/>
      </w:divBdr>
    </w:div>
    <w:div w:id="1382368860">
      <w:bodyDiv w:val="1"/>
      <w:marLeft w:val="0"/>
      <w:marRight w:val="0"/>
      <w:marTop w:val="0"/>
      <w:marBottom w:val="0"/>
      <w:divBdr>
        <w:top w:val="none" w:sz="0" w:space="0" w:color="auto"/>
        <w:left w:val="none" w:sz="0" w:space="0" w:color="auto"/>
        <w:bottom w:val="none" w:sz="0" w:space="0" w:color="auto"/>
        <w:right w:val="none" w:sz="0" w:space="0" w:color="auto"/>
      </w:divBdr>
    </w:div>
    <w:div w:id="1391733195">
      <w:bodyDiv w:val="1"/>
      <w:marLeft w:val="0"/>
      <w:marRight w:val="0"/>
      <w:marTop w:val="0"/>
      <w:marBottom w:val="0"/>
      <w:divBdr>
        <w:top w:val="none" w:sz="0" w:space="0" w:color="auto"/>
        <w:left w:val="none" w:sz="0" w:space="0" w:color="auto"/>
        <w:bottom w:val="none" w:sz="0" w:space="0" w:color="auto"/>
        <w:right w:val="none" w:sz="0" w:space="0" w:color="auto"/>
      </w:divBdr>
    </w:div>
    <w:div w:id="1417438569">
      <w:bodyDiv w:val="1"/>
      <w:marLeft w:val="0"/>
      <w:marRight w:val="0"/>
      <w:marTop w:val="0"/>
      <w:marBottom w:val="0"/>
      <w:divBdr>
        <w:top w:val="none" w:sz="0" w:space="0" w:color="auto"/>
        <w:left w:val="none" w:sz="0" w:space="0" w:color="auto"/>
        <w:bottom w:val="none" w:sz="0" w:space="0" w:color="auto"/>
        <w:right w:val="none" w:sz="0" w:space="0" w:color="auto"/>
      </w:divBdr>
    </w:div>
    <w:div w:id="1779566946">
      <w:bodyDiv w:val="1"/>
      <w:marLeft w:val="0"/>
      <w:marRight w:val="0"/>
      <w:marTop w:val="0"/>
      <w:marBottom w:val="0"/>
      <w:divBdr>
        <w:top w:val="none" w:sz="0" w:space="0" w:color="auto"/>
        <w:left w:val="none" w:sz="0" w:space="0" w:color="auto"/>
        <w:bottom w:val="none" w:sz="0" w:space="0" w:color="auto"/>
        <w:right w:val="none" w:sz="0" w:space="0" w:color="auto"/>
      </w:divBdr>
    </w:div>
    <w:div w:id="2126346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sofficer@datasemantics.co"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0FEDB7DBC0DB34380DE6D7BA29A53F9" ma:contentTypeVersion="15" ma:contentTypeDescription="Create a new document." ma:contentTypeScope="" ma:versionID="505fe735b280f93763a6cba9ea3d2f7d">
  <xsd:schema xmlns:xsd="http://www.w3.org/2001/XMLSchema" xmlns:xs="http://www.w3.org/2001/XMLSchema" xmlns:p="http://schemas.microsoft.com/office/2006/metadata/properties" xmlns:ns3="c5db64da-c837-496a-bd92-72f80b1aa155" xmlns:ns4="fb80f09b-978a-4fb0-9572-237a734e55f7" targetNamespace="http://schemas.microsoft.com/office/2006/metadata/properties" ma:root="true" ma:fieldsID="2a8add869a6d568f5b8a2058b78aab95" ns3:_="" ns4:_="">
    <xsd:import namespace="c5db64da-c837-496a-bd92-72f80b1aa155"/>
    <xsd:import namespace="fb80f09b-978a-4fb0-9572-237a734e55f7"/>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DateTaken"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db64da-c837-496a-bd92-72f80b1aa15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80f09b-978a-4fb0-9572-237a734e55f7"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UBVGcgbeffTtpTigc9s6Nxf5kQ==">CgMxLjAyCGguZ2pkZ3hzMgloLjMwajB6bGw4AHIhMWtjWGdTaEhUZjI0RXZKcjZJRjlXQXBMR3pmRkxzMGlu</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_activity xmlns="c5db64da-c837-496a-bd92-72f80b1aa155" xsi:nil="true"/>
  </documentManagement>
</p:properties>
</file>

<file path=customXml/itemProps1.xml><?xml version="1.0" encoding="utf-8"?>
<ds:datastoreItem xmlns:ds="http://schemas.openxmlformats.org/officeDocument/2006/customXml" ds:itemID="{FD9B94C8-7F83-4FF0-A0C7-1C7648C05F2E}">
  <ds:schemaRefs>
    <ds:schemaRef ds:uri="http://schemas.microsoft.com/sharepoint/v3/contenttype/forms"/>
  </ds:schemaRefs>
</ds:datastoreItem>
</file>

<file path=customXml/itemProps2.xml><?xml version="1.0" encoding="utf-8"?>
<ds:datastoreItem xmlns:ds="http://schemas.openxmlformats.org/officeDocument/2006/customXml" ds:itemID="{E21B51D3-D083-4DF1-B9FE-DA132CABF7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db64da-c837-496a-bd92-72f80b1aa155"/>
    <ds:schemaRef ds:uri="fb80f09b-978a-4fb0-9572-237a734e55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E0AA2E95-52FE-4417-B49A-9D44E6629BC0}">
  <ds:schemaRefs>
    <ds:schemaRef ds:uri="http://schemas.microsoft.com/office/2006/metadata/properties"/>
    <ds:schemaRef ds:uri="http://schemas.microsoft.com/office/infopath/2007/PartnerControls"/>
    <ds:schemaRef ds:uri="c5db64da-c837-496a-bd92-72f80b1aa155"/>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11</Pages>
  <Words>3468</Words>
  <Characters>19769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SINGH</dc:creator>
  <cp:keywords/>
  <cp:lastModifiedBy>Vignaraja Ilavarasan</cp:lastModifiedBy>
  <cp:revision>3</cp:revision>
  <dcterms:created xsi:type="dcterms:W3CDTF">2024-04-25T11:48:00Z</dcterms:created>
  <dcterms:modified xsi:type="dcterms:W3CDTF">2024-05-16T11:52:00Z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0x010100E0FEDB7DBC0DB34380DE6D7BA29A53F9</vt:lpwstr>
  </property>
  <property fmtid="{D5CDD505-2E9C-101B-9397-08002B2CF9AE}" pid="3" name="GrammarlyDocumentId">
    <vt:lpwstr>08d809bd0c5a52d1f3eddd06ff8f1d478e966e2c767a1fca030d118d90b98e00</vt:lpwstr>
  </property>
</Properties>
</file>