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Fundamentação bibliográfica das decisões de projeto da analisys_tool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Verificação neuro-simbólica de extrações por LLM: mapeamento decisão → literatura, com análise do encaixe de SHAP</w:t>
      </w:r>
    </w:p>
    <w:p>
      <w:pPr>
        <w:pBdr>
          <w:bottom w:val="single" w:color="999999" w:sz="6" w:space="8"/>
        </w:pBdr>
        <w:spacing w:after="4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Iniciação Científica — ICMC/USP · “Integração de pipelines neuro-simbólicos na extração e estruturação de dados com LLM” · agosto de 2026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 Escopo e como ler este documento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não propõe mudanças na </w:t>
      </w:r>
      <w:r>
        <w:rPr>
          <w:rFonts w:ascii="Consolas" w:cs="Consolas" w:eastAsia="Consolas" w:hAnsi="Consolas"/>
          <w:sz w:val="22"/>
          <w:szCs w:val="22"/>
        </w:rPr>
        <w:t xml:space="preserve">analisys_tool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Ele faz o caminho inverso: pega as decisões de projeto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já implementadas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procura, na literatura revisada por pares, o trabalho que sustenta cada uma — ou que a contradiz. O objetivo é que a seção de fundamentação do relatório da IC possa ser escrita sem que nenhuma escolha apareça como preferência do autor.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decisão é tratada em três movimentos: (i)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está no código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enunciado sem eufemismo; (ii)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a literatura sustenta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a referência e o trecho de argumento que ela fornece; (iii)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a referência não sustenta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 ressalva que evita citação indevida. O terceiro movimento é o mais importante para um texto acadêmico: várias das referências abaixo se aplicam por analogia estrutural, não por identidade de objeto, e afirmar o contrário é um erro que um parecerista detecta.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seção 11 trata separadamente da pergunta sobre SHAP. Ela é mais curta que o mapeamento das decisões, por escolha do escopo, mas contém uma proposta de experimento executável e as contra-indicações que precisam constar caso o método seja adotado.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 Enquadramento arquitetural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  Onde o pipeline se situa na taxonomia neuro-simbólica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componente neural (</w:t>
      </w:r>
      <w:r>
        <w:rPr>
          <w:rFonts w:ascii="Consolas" w:cs="Consolas" w:eastAsia="Consolas" w:hAnsi="Consolas"/>
          <w:sz w:val="22"/>
          <w:szCs w:val="22"/>
        </w:rPr>
        <w:t xml:space="preserve">extraction_tool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um LLM) lê a página e devolve registros estruturados; o componente simbólico (</w:t>
      </w:r>
      <w:r>
        <w:rPr>
          <w:rFonts w:ascii="Consolas" w:cs="Consolas" w:eastAsia="Consolas" w:hAnsi="Consolas"/>
          <w:sz w:val="22"/>
          <w:szCs w:val="22"/>
        </w:rPr>
        <w:t xml:space="preserve">analisys_tool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recebe essa saída e a confronta com a fonte. Os dois são módulos separados, com uma fronteira de dados explícita entre eles.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Kautz (2022) enumera seis padrões de integração neuro-simbólica. O padrão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Neuro | Symbolic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descreve exatamente esta arquitetura: uma rede neural converte entrada não-simbólica em estruturas simbólicas, que um sistema de raciocínio simbólico então processa. Nomear o padrão dá ao projeto uma posição na taxonomia da área em vez de uma descrição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 hoc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Garcez e Lamb (2023) fornecem a motivação declarada dessa terceira onda — explicabilidade e confiabilidade obtidas pela combinação de aprendizado com representação simbólica —, que é a justificativa de propósito do verificador.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Pan et al. (2023) oferecem o precedente metodológico mais próximo: em vez de confiar no raciocínio do próprio LLM, o Logic-LM delega a garantia a um resolvedor externo determinístico e usa o LLM apenas como tradutor do problema para a linguagem formal. A </w:t>
      </w:r>
      <w:r>
        <w:rPr>
          <w:rFonts w:ascii="Consolas" w:cs="Consolas" w:eastAsia="Consolas" w:hAnsi="Consolas"/>
          <w:sz w:val="22"/>
          <w:szCs w:val="22"/>
        </w:rPr>
        <w:t xml:space="preserve">analisys_tool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faz o mesmo movimento com o objeto invertido — o LLM produz os fatos, o componente determinístico decide se eles se sustentam.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Logic-LM trata dedução lógica, não ancoragem factual em documento; a analogia vale para a arquitetura (garantia fora do modelo), não para os resultados. E o padrão de Kautz descreve a topologia, não prescreve desempenho: citá-lo classifica o sistema, não o valida.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  Por que o verificador não faz nova chamada ao LLM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verificação é integralmente determinística: sem re-treino, sem acesso a pesos e sem nova chamada ao modelo. Nenhum julgamento semântico neural entra no laço.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Três resultados convergentes tornam essa escolha defensável e não apenas econômica: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Huang et al. (2024) mostram que LLMs não conseguem corrigir seu próprio raciocínio sem realimentação externa; sem ela o desempenho tipicamente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a auto-revisão.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Kamoi et al. (2024), em levantamento crítico da literatura de autocorreção, concluem que os ganhos relatados dependem de um sinal externo confiável de verificação — que é precisamente o que a página fornece aqui.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Panickssery, Bowman e Feng (2024) documentam que avaliadores LLM reconhecem e favorecem as próprias gerações. Usar o extrator (ou um modelo da mesma família) como juiz da própria extração introduz um viés medido, não hipotético.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Há ainda um argumento de reprodutibilidade que não depende de nenhuma dessas referências: amostragem estocástica não devolve o mesmo veredito duas vezes, e uma métrica de alucinação que muda entre execuções não é reportável em uma seção de Resultados. O verificador determinístico devolve.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Nenhum desses trabalhos afirma que verificação simbólica supera verificação neural em ancoragem factual — a comparação direta não foi feita para este objeto. Eles sustentam que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próprio gerador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é juiz confiável de si mesmo, o que é uma proposição mais estreita.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 A classificação de alucinações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  Fidelidade e factualidade são coisas diferentes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verificador julga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ancoragem na fonte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verdade no mundo. Um valor correto que não aparece na página é reprovado; um valor errado que aparece na página é aprovado.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Maynez et al. (2020) estabeleceram a distinção operacional entre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faithfulness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(consistência com o documento-fonte)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factuality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(verdade no mundo), mostrando empiricamente que as duas divergem: conteúdo extrínseco — não derivável do documento — pode ser factualmente correto e ainda assim infiel. Essa é a licença conceitual para o escopo restrito do verificador, e a formulação exata para declará-lo no relatório.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 et al. (2023) consolidam a divisão intrínseco/extrínseco através das tarefas de geração. Huang et al. (2025) atualizam a taxonomia para a era dos LLMs, separando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alucinação de factualidade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com os subtipos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contradição factual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(erro de entidade, erro de relação)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fabricação factual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(inverificabilidade, sobre-asserção) —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alucinação de fidelidade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os subtipos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inconsistência de instrução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inconsistência de contexto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inconsistência lógica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Essa taxonomia é a que melhor se sobrepõe aos vereditos da ferramenta e é a que deve ser citada no mapeamento da seção 3.3.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  Ancoragem na fonte como critério operacional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Uma afirmação é </w:t>
      </w:r>
      <w:r>
        <w:rPr>
          <w:rFonts w:ascii="Consolas" w:cs="Consolas" w:eastAsia="Consolas" w:hAnsi="Consolas"/>
          <w:sz w:val="22"/>
          <w:szCs w:val="22"/>
        </w:rPr>
        <w:t xml:space="preserve">SUPORTADA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quando pode ser localizada deterministicamente na fonte, com evidência e deslocamento recuperáveis.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Rashkin et al. (2023) formalizam esse critério como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Attributable to Identified Sources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(AIS): uma afirmação é atribuível a uma fonte se um ouvinte genérico afirmaria “de acordo com a fonte, x”. É o predicado que o verificador implementa, e a referência dá a ele um nome consolidado na literatura. O trabalho também documenta que a anotação AIS exige um passo prévio de interpretabilidade da afirmação — o que sustenta, de forma independente, tanto a decomposição atômica (seção 4) quanto a existência de uma classe própria para afirmações que o modelo declarou ausentes (seção 3.5).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Thorne et al. (2018), no FEVER, fixam dois padrões que a ferramenta segue: o veredito vem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evidência obrigatória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existe uma classe explícita para “não há informação suficiente” (</w:t>
      </w:r>
      <w:r>
        <w:rPr>
          <w:rFonts w:ascii="Consolas" w:cs="Consolas" w:eastAsia="Consolas" w:hAnsi="Consolas"/>
          <w:sz w:val="22"/>
          <w:szCs w:val="22"/>
        </w:rPr>
        <w:t xml:space="preserve">NOTENOUGHINFO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Guo, Schlichtkrull e Vlachos (2022) descrevem o pipeline canônico de verificação automática — detecção de afirmações, recuperação de evidência, veredito e justificativa — que é, etapa a etapa, o pipeline dos módulos </w:t>
      </w:r>
      <w:r>
        <w:rPr>
          <w:rFonts w:ascii="Consolas" w:cs="Consolas" w:eastAsia="Consolas" w:hAnsi="Consolas"/>
          <w:sz w:val="22"/>
          <w:szCs w:val="22"/>
        </w:rPr>
        <w:t xml:space="preserve">afirmacoes.py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evidencias.py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predicados.py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relatorio.py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 importante.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NAO_SUPORTADA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 </w:t>
      </w:r>
      <w:r>
        <w:rPr>
          <w:rFonts w:ascii="Consolas" w:cs="Consolas" w:eastAsia="Consolas" w:hAnsi="Consolas"/>
          <w:sz w:val="22"/>
          <w:szCs w:val="22"/>
        </w:rPr>
        <w:t xml:space="preserve">REFUTED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FEVER. </w:t>
      </w:r>
      <w:r>
        <w:rPr>
          <w:rFonts w:ascii="Consolas" w:cs="Consolas" w:eastAsia="Consolas" w:hAnsi="Consolas"/>
          <w:sz w:val="22"/>
          <w:szCs w:val="22"/>
        </w:rPr>
        <w:t xml:space="preserve">REFUTED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evidência que contradiga a afirmação; aqui o sinal é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ausência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ancoragem. A ferramenta não tem classe de refutação porque uma página de produto raramente contradiz um valor — ela simplesmente não o contém. Esse ponto deve ser explicitado no relatório; tratá-lo como equivalente seria uma leitura incorreta do FEVER.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  Mapa dos vereditos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a seguir associa cada veredito da </w:t>
      </w:r>
      <w:r>
        <w:rPr>
          <w:rFonts w:ascii="Consolas" w:cs="Consolas" w:eastAsia="Consolas" w:hAnsi="Consolas"/>
          <w:sz w:val="22"/>
          <w:szCs w:val="22"/>
        </w:rPr>
        <w:t xml:space="preserve">analisys_tool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conceito mais próximo na literatura. Ela é a peça central da fundamentação: mostra que a taxonomia da ferramenta não foi inventada, mas recortada de categorias já estabelecidas, e — onde não há correspondente — diz isso.</w:t>
      </w:r>
    </w:p>
    <w:p>
      <w:pPr>
        <w:spacing w:after="16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900"/>
      </w:tblGrid>
      <w:tr>
        <w:trPr>
          <w:tblHeader/>
        </w:trPr>
        <w:tc>
          <w:tcPr>
            <w:tcW w:type="dxa" w:w="20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Veredito</w:t>
            </w:r>
          </w:p>
        </w:tc>
        <w:tc>
          <w:tcPr>
            <w:tcW w:type="dxa" w:w="29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Conceito correspondente na literatura</w:t>
            </w:r>
          </w:p>
        </w:tc>
        <w:tc>
          <w:tcPr>
            <w:tcW w:type="dxa" w:w="29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SUPORTADA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Attributable to Identified Sources (AIS); rótulo SUPPORTED com evidência recuperada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Rashkin et al. (2023); Thorne et al. (2018)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PARCIAL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Suporte insuficiente para decidir; zona de revisão humana, análoga a NOTENOUGHINFO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Thorne et al. (2018); Wen et al. (2025)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NAO_SUPORTADA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Alucinação extrínseca; fabricação factual por inverificabilidade contra a fonte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Maynez et al. (2020); Huang et al. (2025)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ATRIBUICAO_INCORRETA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 de entidade / erro de relação; “alucinação posicional” em extração de registros da web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Huang et al. (2025); Kim, Kim e Jeong (2025)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Violação de restrição de integridade sobre o domínio do atributo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Chu et al. (2016); Rekatsinas et al. (2017)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ABSTENCAO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Abstenção declarada; predição seletiva com opção de rejeição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Wen et al. (2025); Geifman e El-Yaniv (2019)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ERRO_EXTRACAO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Sem correspondente — falha de ferramenta, fora do escopo de factualidade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(decisão de engenharia, ver seção 10)</w:t>
            </w:r>
          </w:p>
        </w:tc>
      </w:tr>
    </w:tbl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1 — Correspondência entre os vereditos da ferramenta e a literatura.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3.4  A separação entre “valor inexistente” e “valor do item errado”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NAO_SUPORTADA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ATRIBUICAO_INCORRETA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classes distintas: a primeira marca um valor que não existe em lugar nenhum da página, a segunda marca um valor que existe mas pertence a outro item.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 — a mais forte de todo o documento.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Kim, Kim e Jeong (2025), no NEXT-EVAL, fazem exatamente essa distinção, no mesmo domínio (extração de registros de dados de páginas web) e com a mesma motivação: eles constroem métricas conscientes da estrutura que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impedem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alucinação de texto e passam a medir apenas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alucinação posicional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usando anotação por XPath. A terminologia deles 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text hallucination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×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positional hallucination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é o par que o relatório deve adotar ao lado dos nomes internos, porque dá aos vereditos da ferramenta um antecedente publicado no domínio exato.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Dois reforços laterais: Huang et al. (2025) já separam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erro de entidade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erro de relação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é a mesma fratura vista do lado da taxonomia geral; e Jiang et al. (2024), trabalhando sobre listagens de produto enriquecidas por LLM, mostram que atributos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estruturados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admitem definição nítida de alucinação e alcançam precisão e revocação altas, enquanto atributos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estruturados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sofrem de ambiguidade inerente e derrubam a precisão. Esse achado sustenta duas outras escolhas da ferramenta de uma vez: a estratificação das métricas por campo e por tipo semântico, e a política de mandar campos de texto longo para </w:t>
      </w:r>
      <w:r>
        <w:rPr>
          <w:rFonts w:ascii="Consolas" w:cs="Consolas" w:eastAsia="Consolas" w:hAnsi="Consolas"/>
          <w:sz w:val="22"/>
          <w:szCs w:val="22"/>
        </w:rPr>
        <w:t xml:space="preserve">PARCIAL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vez de reprová-los.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NEXT-EVAL avalia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extratores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 </w:t>
      </w:r>
      <w:r>
        <w:rPr>
          <w:rFonts w:ascii="Consolas" w:cs="Consolas" w:eastAsia="Consolas" w:hAnsi="Consolas"/>
          <w:sz w:val="22"/>
          <w:szCs w:val="22"/>
        </w:rPr>
        <w:t xml:space="preserve">analisys_tool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avalia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saídas de extratores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acesso ao processo. As métricas não são diretamente comparáveis, e o F1 de 0,9567 que eles reportam para entrada em JSON plano não é um patamar contra o qual os números da ferramenta devam ser lidos.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3.5  Por que a abstenção não conta como alucinação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Quando o modelo declara ausência do dado (“Não disponível”), o veredito é </w:t>
      </w:r>
      <w:r>
        <w:rPr>
          <w:rFonts w:ascii="Consolas" w:cs="Consolas" w:eastAsia="Consolas" w:hAnsi="Consolas"/>
          <w:sz w:val="22"/>
          <w:szCs w:val="22"/>
        </w:rPr>
        <w:t xml:space="preserve">ABSTENCAO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afirmação sai do denominador das taxas de alucinação. A taxa de abstenção é reportada em separado.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Wen et al. (2025) organizam a literatura de abstenção em LLMs em torno da tese de que abster-se é comportamento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desejável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quando o modelo não tem base para responder, e que a abstenção deve ser avaliada como dimensão própria, não misturada à correção. Contabilizar abstenção como alucinação penalizaria exatamente o comportamento que se quer induzir. Geifman e El-Yaniv (2019) dão a formulação clássica: um preditor com opção de rejeição é caracterizado pelo par risco–cobertura, não por uma acurácia única.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enquadramento tem consequência direta sobre </w:t>
      </w:r>
      <w:r>
        <w:rPr>
          <w:rFonts w:ascii="Consolas" w:cs="Consolas" w:eastAsia="Consolas" w:hAnsi="Consolas"/>
          <w:sz w:val="22"/>
          <w:szCs w:val="22"/>
        </w:rPr>
        <w:t xml:space="preserve">metricas.py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decomposição atual (taxa de ancoragem e taxa de alucinação sobre os verificáveis, taxa de abstenção sobre o total)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decomposição risco–cobertura, e pode ser apresentada como tal — é uma formalização gratuita que o relatório pode incorporar sem alterar uma linha de código.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3.6  O veredito PARCIAL e os dois regimes de decisão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Existe um rótulo intermediário (</w:t>
      </w:r>
      <w:r>
        <w:rPr>
          <w:rFonts w:ascii="Consolas" w:cs="Consolas" w:eastAsia="Consolas" w:hAnsi="Consolas"/>
          <w:sz w:val="22"/>
          <w:szCs w:val="22"/>
        </w:rPr>
        <w:t xml:space="preserve">PARCIAL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e a avaliação do verificador é reportada em dois regimes: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permissivo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(só as reprovadas contam como detecção)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estrito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PARCIAL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também conta).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dois regimes são dois pontos de operação do mesmo classificador. Geifman e El-Yaniv (2019) e a literatura de predição seletiva tratam essa escolha como um ponto sobre a curva risco–cobertura; Laban et al. (2022), ao calibrarem o limiar do SummaC, mostram na prática que a escolha do limiar domina o desempenho reportado de um detector de inconsistência. A recomendação metodológica que decorre disso é concreta: em vez de dois pontos,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varrer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limiares de </w:t>
      </w:r>
      <w:r>
        <w:rPr>
          <w:rFonts w:ascii="Consolas" w:cs="Consolas" w:eastAsia="Consolas" w:hAnsi="Consolas"/>
          <w:sz w:val="22"/>
          <w:szCs w:val="22"/>
        </w:rPr>
        <w:t xml:space="preserve">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cobertura_suporte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fuzzy_suporte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coesao_minima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publicar a curva precisão–revocação inteira. Dois pontos escolhidos pelo autor são frágeis em arguição; uma curva não é.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Há ainda uma assimetria de custo que merece uma frase no relatório: um falso negativo (alucinação não detectada) propaga dado errado adiante; um falso positivo (afirmação correta marcada para revisão) custa tempo humano. Não sendo simétricos, não faz sentido otimizar F1 — vale reportar precisão e revocação separadamente e nomear qual das duas o caso de uso privilegia.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 Decomposição em afirmações atômicas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registro extraído é decomposto em afirmações atômicas (campo → valor), e a verificação opera sobre elas, nunca sobre o registro inteiro.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Min et al. (2023) estabeleceram a unidade atômica como padrão de avaliação de factualidade: o FActScore decompõe a geração em fatos atômicos e calcula precisão factual sobre eles, justamente para poder dizer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parte falhou em vez de apenas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saída falhou. Wei et al. (2024) estendem a construção para textos longos, decompondo e verificando fato a fato contra fonte externa. Mishra et al. (2024) adotam a mesma granularidade fina e acrescentam a etapa de edição — arquitetura “detectar em granularidade fina, depois corrigir” que é a da </w:t>
      </w:r>
      <w:r>
        <w:rPr>
          <w:rFonts w:ascii="Consolas" w:cs="Consolas" w:eastAsia="Consolas" w:hAnsi="Consolas"/>
          <w:sz w:val="22"/>
          <w:szCs w:val="22"/>
        </w:rPr>
        <w:t xml:space="preserve">analisys_tool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seu módulo de reparo.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argumento que a ferramenta pode fazer e esses trabalhos não.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FActScore e SAFE a decomposição é ela própria executada por um LLM, e constitui uma fonte adicional de erro no pipeline de avaliação. Aqui ela é determinística, porque a saída do </w:t>
      </w:r>
      <w:r>
        <w:rPr>
          <w:rFonts w:ascii="Consolas" w:cs="Consolas" w:eastAsia="Consolas" w:hAnsi="Consolas"/>
          <w:sz w:val="22"/>
          <w:szCs w:val="22"/>
        </w:rPr>
        <w:t xml:space="preserve">extraction_tool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já é um registro campo→valor: o esquema de extração fixa os átomos. Essa é uma vantagem metodológica real do objeto de estudo e vale ser dita explicitamente no relatório.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inferência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tipo semântico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</w:t>
      </w:r>
      <w:r>
        <w:rPr>
          <w:rFonts w:ascii="Consolas" w:cs="Consolas" w:eastAsia="Consolas" w:hAnsi="Consolas"/>
          <w:sz w:val="22"/>
          <w:szCs w:val="22"/>
        </w:rPr>
        <w:t xml:space="preserve">afirmacoes.py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feita por léxico PT/EN mais forma do valor, não por modelo; é um recurso de engenharia sem correspondente na literatura citada, e não deve ser apresentado como se fosse.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 As regras estruturais sobre o DOM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âncora de um registro é a subárvore mais específica que concentra ao menos </w:t>
      </w:r>
      <w:r>
        <w:rPr>
          <w:rFonts w:ascii="Consolas" w:cs="Consolas" w:eastAsia="Consolas" w:hAnsi="Consolas"/>
          <w:sz w:val="22"/>
          <w:szCs w:val="22"/>
        </w:rPr>
        <w:t xml:space="preserve">coesao_minima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seus campos ancorados; um campo sem ocorrência dentro dela é julgado como vindo de outro item (</w:t>
      </w:r>
      <w:r>
        <w:rPr>
          <w:rFonts w:ascii="Consolas" w:cs="Consolas" w:eastAsia="Consolas" w:hAnsi="Consolas"/>
          <w:sz w:val="22"/>
          <w:szCs w:val="22"/>
        </w:rPr>
        <w:t xml:space="preserve">R-COESAO-DOM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DOM-FORA-DA-ANCORA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Liu, Grossman e Zhai (2003), no algoritmo MDR, fundamentam essa regra com duas observações empíricas sobre como registros de dados se dispõem na árvore de marcação: objetos semelhantes de uma região de dados são formatados com etiquetas HTML semelhantes, e os registros ficam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sob um mesmo nó pai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começando no início de uma subárvore filha e terminando na mesma ou em uma subárvore posterior. A regra de coesão da ferramenta é a contrapositiva operacional dessas observações: se um campo não cai na subárvore que concentra os demais, ele não pertence ao registro. É a referência que transforma </w:t>
      </w:r>
      <w:r>
        <w:rPr>
          <w:rFonts w:ascii="Consolas" w:cs="Consolas" w:eastAsia="Consolas" w:hAnsi="Consolas"/>
          <w:sz w:val="22"/>
          <w:szCs w:val="22"/>
        </w:rPr>
        <w:t xml:space="preserve">R-COESAO-DOM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heurística em consequência de um resultado conhecido de mineração de dados na web.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Dois complementos úteis. Li et al. (2022), no MarkupLM, codificam explicitamente o XPath como sinal de entrada e mostram que a posição no DOM carrega informação extraível — evidência de que o sinal que a ferramenta explora simbolicamente é o mesmo que modelos aprendem estatisticamente. E Kim, Kim e Jeong (2025) demonstram que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representação de entrada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dada ao LLM (HTML enxuto, JSON hierárquico, JSON plano) altera de forma substantiva tanto a acurácia quanto a propensão a alucinar — o que abre um experimento natural para a IC: fixar o verificador e variar a representação de entrada do extrator, medindo a taxa de alucinação resultante.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MDR pressupõe regiões repetidas bem formadas. Carrosséis de “produtos relacionados”, conteúdo injetado por JavaScript e páginas de aplicação de página única quebram esse pressuposto — que é exatamente o caso descrito nas limitações conhecidas do README. A referência sustenta a regra; não sustenta que ela seja suficiente.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 Campos derivados: o Resumo não se verifica contra a página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campo </w:t>
      </w:r>
      <w:r>
        <w:rPr>
          <w:rFonts w:ascii="Consolas" w:cs="Consolas" w:eastAsia="Consolas" w:hAnsi="Consolas"/>
          <w:sz w:val="22"/>
          <w:szCs w:val="22"/>
        </w:rPr>
        <w:t xml:space="preserve">Resumo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acrescentado pelo </w:t>
      </w:r>
      <w:r>
        <w:rPr>
          <w:rFonts w:ascii="Consolas" w:cs="Consolas" w:eastAsia="Consolas" w:hAnsi="Consolas"/>
          <w:sz w:val="22"/>
          <w:szCs w:val="22"/>
        </w:rPr>
        <w:t xml:space="preserve">extraction_tool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é condensação da </w:t>
      </w:r>
      <w:r>
        <w:rPr>
          <w:rFonts w:ascii="Consolas" w:cs="Consolas" w:eastAsia="Consolas" w:hAnsi="Consolas"/>
          <w:sz w:val="22"/>
          <w:szCs w:val="22"/>
        </w:rPr>
        <w:t xml:space="preserve">Descrição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Sua base factual é esse campo, não a página. A cadeia </w:t>
      </w:r>
      <w:r>
        <w:rPr>
          <w:rFonts w:ascii="Consolas" w:cs="Consolas" w:eastAsia="Consolas" w:hAnsi="Consolas"/>
          <w:sz w:val="22"/>
          <w:szCs w:val="22"/>
        </w:rPr>
        <w:t xml:space="preserve">DER-*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verifica o vínculo (cobertura lexical, números e entidades introduzidas) e, se a </w:t>
      </w:r>
      <w:r>
        <w:rPr>
          <w:rFonts w:ascii="Consolas" w:cs="Consolas" w:eastAsia="Consolas" w:hAnsi="Consolas"/>
          <w:sz w:val="22"/>
          <w:szCs w:val="22"/>
        </w:rPr>
        <w:t xml:space="preserve">Descrição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estiver ancorada, o resumo herda a alucinação (</w:t>
      </w:r>
      <w:r>
        <w:rPr>
          <w:rFonts w:ascii="Consolas" w:cs="Consolas" w:eastAsia="Consolas" w:hAnsi="Consolas"/>
          <w:sz w:val="22"/>
          <w:szCs w:val="22"/>
        </w:rPr>
        <w:t xml:space="preserve">DER-BASE-NAO-ANCORADA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Essa é uma aplicação direta da distinção de Maynez et al. (2020): para um resumo, o referente correto é o documento de entrada, não o mundo. Na taxonomia de Huang et al. (2025) o erro correspondente é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inconsistência de contexto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divergência em relação à informação contextual fornecida —, categoria distinta da alucinação de factualidade. Verificar o </w:t>
      </w:r>
      <w:r>
        <w:rPr>
          <w:rFonts w:ascii="Consolas" w:cs="Consolas" w:eastAsia="Consolas" w:hAnsi="Consolas"/>
          <w:sz w:val="22"/>
          <w:szCs w:val="22"/>
        </w:rPr>
        <w:t xml:space="preserve">Resumo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 a página seria um erro de categoria, e a decisão de não fazê-lo é a leitura correta da literatura, não uma simplificação.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alternativa não tomada, e por quê.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forma consagrada de medir consistência resumo–fonte é por inferência natural: Laban et al. (2022) mostram que modelos de NLI, aplicados no nível de par de sentenças e agregados, detectam inconsistência em sumarização melhor do que as métricas então usadas. Cobertura lexical é um proxy mais fraco que entailment, e é por isso que paráfrase legítima cai em </w:t>
      </w:r>
      <w:r>
        <w:rPr>
          <w:rFonts w:ascii="Consolas" w:cs="Consolas" w:eastAsia="Consolas" w:hAnsi="Consolas"/>
          <w:sz w:val="22"/>
          <w:szCs w:val="22"/>
        </w:rPr>
        <w:t xml:space="preserve">PARCIAL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relatório deve declarar esse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trade-off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seus próprios termos: a ferramenta troca sensibilidade semântica por determinismo e auditabilidade, porque um juiz neural dentro do laço de verificação reintroduz o componente que se quer auditar.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Laban et al. (2022) não sustentam que cobertura lexical seja adequada; sustentam o contrário. A referência entra como reconhecimento honesto do limite, não como apoio.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 Restrições de integridade, dígito verificador e reparo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7.1  As restrições de registro e de conjunto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Além dos predicados por afirmação, há restrições sobre o registro e sobre o conjunto de registros (</w:t>
      </w:r>
      <w:r>
        <w:rPr>
          <w:rFonts w:ascii="Consolas" w:cs="Consolas" w:eastAsia="Consolas" w:hAnsi="Consolas"/>
          <w:sz w:val="22"/>
          <w:szCs w:val="22"/>
        </w:rPr>
        <w:t xml:space="preserve">R-PRECO-ORDEM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R-ANO-VS-DATA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R-REGISTROS-DUPLICADOS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R-VALOR-CONSTANTE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R-COMPLETUDE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entre outras), e a violação de restrição penaliza o índice de confiabilidade do registro inteiro.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Isso é, literalmente, detecção de erro por restrição de integridade sobre uma relação — o objeto central da literatura de qualidade de dados. Chu et al. (2016) organizam o campo em torno de dependências funcionais, dependências funcionais condicionais e restrições de negação, e da separação entre detecção qualitativa (violação de regra) e quantitativa (valor atípico). As regras </w:t>
      </w:r>
      <w:r>
        <w:rPr>
          <w:rFonts w:ascii="Consolas" w:cs="Consolas" w:eastAsia="Consolas" w:hAnsi="Consolas"/>
          <w:sz w:val="22"/>
          <w:szCs w:val="22"/>
        </w:rPr>
        <w:t xml:space="preserve">R-*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ferramenta são restrições de negação sobre a relação extraída, e nomeá-las assim insere o módulo </w:t>
      </w:r>
      <w:r>
        <w:rPr>
          <w:rFonts w:ascii="Consolas" w:cs="Consolas" w:eastAsia="Consolas" w:hAnsi="Consolas"/>
          <w:sz w:val="22"/>
          <w:szCs w:val="22"/>
        </w:rPr>
        <w:t xml:space="preserve">restricoes.py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uma tradição de trinta anos em vez de apresentá-lo como conjunto de heurísticas.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validação de ISBN/EAN por dígito verificador (</w:t>
      </w:r>
      <w:r>
        <w:rPr>
          <w:rFonts w:ascii="Consolas" w:cs="Consolas" w:eastAsia="Consolas" w:hAnsi="Consolas"/>
          <w:sz w:val="22"/>
          <w:szCs w:val="22"/>
        </w:rPr>
        <w:t xml:space="preserve">SIM-CHECKSUM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é, nesse vocabulário, uma restrição sobre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domínio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atributo. O ponto interessante — e citável — é o uso probatório que a ferramenta faz dela: distinguir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ausente e malformado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(indício de fabricação)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ausente porém bem formado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(apenas não suportado). Isso converte uma restrição de domínio em sinal discriminante entre subtipos de alucinação, o que corresponde, na taxonomia de Huang et al. (2025), a separar fabricação factual de mera inverificabilidade.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7.2  O reparo conservador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Candidatos de correção são buscados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apenas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dentro da subárvore que ancora o registro; campo sem candidato ancorado vira “Não disponível”, nunca mantém o valor alucinado; e registros marcados por </w:t>
      </w:r>
      <w:r>
        <w:rPr>
          <w:rFonts w:ascii="Consolas" w:cs="Consolas" w:eastAsia="Consolas" w:hAnsi="Consolas"/>
          <w:sz w:val="22"/>
          <w:szCs w:val="22"/>
        </w:rPr>
        <w:t xml:space="preserve">R-REGISTRO-INFUNDADO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recebem sugestão alguma.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Rekatsinas et al. (2017), no HoloClean, unificam restrições de integridade, proveniência e estatística dos dados em um único arcabouço de reparo, governado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princípio de minimalidade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prefere-se o reparo que modifica menos, sob a premissa de que a maioria dos registros está correta. A política da ferramenta é uma posição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mais forte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a minimalidade — ela prefere o nulo explícito a um valor não ancorado — e essa diferença deve ser enunciada como escolha deliberada, com a justificativa de Wen et al. (2025): abster-se é preferível a responder sem base.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Gao et al. (2023), no RARR, fornecem o par de métricas com que o módulo de reparo deveria ser avaliado, e que hoje não é: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atribuição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(quanto da saída revisada passa a ser sustentado pela evidência)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preservação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(quanto do original sobrevive à revisão). São duas colunas que o relatório pode acrescentar sem nenhuma mudança conceitual: das 10 afirmações reprovadas no exemplo, 4 recebem correção ancorada e 6 viram abstenção — isso já é um par atribuição/preservação, faltando apenas o nome e a formalização. Mishra et al. (2024) sustentam a mesma arquitetura detectar-e-editar em granularidade fina.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RARR e FAVA editam com um LLM; aqui as correções são extraídas da subárvore de ancoragem. O protocolo de avaliação é transferível; o gerador de correções não é o mesmo, e comparar números diretamente seria indevido.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  Rastreabilidade: offsets, caminho e evidência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fold()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preserva o comprimento do texto, de modo que todo casamento volte ao deslocamento exato no original; cada veredito carrega regra, evidência, caminho CSS e posição.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Isso é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where-provenance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sentido de Cheney, Chiticariu e Tan (2009): registrar de qual posição da fonte um valor de saída foi copiado — e a distinção que eles fazem entre proveniência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where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dá vocabulário preciso para descrever o que o relatório de verificação contém. Um registro </w:t>
      </w:r>
      <w:r>
        <w:rPr>
          <w:rFonts w:ascii="Consolas" w:cs="Consolas" w:eastAsia="Consolas" w:hAnsi="Consolas"/>
          <w:sz w:val="22"/>
          <w:szCs w:val="22"/>
        </w:rPr>
        <w:t xml:space="preserve">(afirmação, veredito, regra, evidência, caminho, offset)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um registro de proveniência, e chamá-lo assim é mais informativo do que “rastreabilidade”.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Rashkin et al. (2023) reforçam pelo lado da avaliação: sob AIS, a fonte precisa estar identificada — a citação é parte da afirmação, não um adorno. E Thorne et al. (2018) trazem a consequência metodológica mais afiada para este projeto: no FEVER, um veredito só é creditado 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evidência correta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também tiver sido recuperada. Aplicado aqui, isso significa que </w:t>
      </w:r>
      <w:r>
        <w:rPr>
          <w:rFonts w:ascii="Consolas" w:cs="Consolas" w:eastAsia="Consolas" w:hAnsi="Consolas"/>
          <w:sz w:val="22"/>
          <w:szCs w:val="22"/>
        </w:rPr>
        <w:t xml:space="preserve">metricas.py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hoje mede menos do que poderia — mede se o veredito está certo, não se a evidência citada é a certa. Acrescentar uma acurácia em nível de evidência é uma melhoria pequena de implementação, com respaldo direto no protocolo de avaliação mais citado da área.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  Métricas e protocolo de avaliação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9.1  Duas camadas de medição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metricas.py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separa duas coisas: medir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(taxas de ancoragem, suporte parcial, alucinação, abstenção) e medir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 gabarito anotado (precisão, revocação, F1, acurácia, matriz de confusão).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Sustentação.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separação é padrão na literatura de verificação automática: Guo, Schlichtkrull e Vlachos (2022) tratam o verificador como classificador que precisa ser avaliado contra anotação humana, e Jiang et al. (2024) reportam precisão e revocação do detector no mesmo formato para o caso de listagens de produto. Sem essa segunda camada, uma taxa de alucinação de 0,0% — como a do exemplo incluído — é indistinguível de um verificador que não detecta nada, e essa é a objeção que a camada existe para responder.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9.2  O gabarito é o gargalo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exemplo incluído tem 30 afirmações, das quais 10 verificáveis. Qualquer precisão, revocação ou F1 calculado sobre 10 observações tem intervalo de confiança que cobre boa parte de [0, 1]; reportar esses números sem intervalo é o ponto mais frágil de uma futura arguição.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Recomendações ancoradas.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(i) Reportar intervalos de confiança (Wilson para proporções,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bootstrap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F1). (ii) Ampliar o conjunto anotado — a ordem de grandeza usual em trabalhos de detecção começa nas centenas de afirmações, sobre páginas de sítios distintos, para que a estratificação por campo e por tipo tenha células não vazias. (iii) Adotar o protocolo AIS de Rashkin et al. (2023) como instrução de anotação, em vez de um critério informal de “valor extraído correto”; isso torna o gabarito comparável a outros trabalhos. (iv) Se houver mais de um anotador, reportar concordância — Thorne et al. (2018) o fazem para o FEVER, e é o que se espera de um recurso anotado.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9.3  O índice de confiabilidade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confiabilidade_registro()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média dos pesos dos vereditos (1,0 / 0,5 / 0,0) menos uma penalidade por restrição violada (0,20 / 0,10 / 0,03 conforme severidade).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Esses sete números não vêm de lugar nenhum. Não há literatura que os sustente, e não deve haver: são parâmetros livres. Há três saídas honestas, em ordem crescente de rigor: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Declarar como convenção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mostrar, por análise de sensibilidade, que as conclusões do relatório não mudam sob perturbação razoável dos pesos. É o caminho barato e suficiente para uma IC.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Calibrar contra o gabarito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ajustando os pesos para maximizar a correlação com a anotação humana. Isso transforma o agregador em um modelo aprendido — e é precisamente aqui, e não no verificador simbólico, que SHAP passa a ter objeto (seção 11.3).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Substituir o escore por uma garantia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Mohri e Hashimoto (2024) mostram como obter garantias de factualidade por predição conforme, removendo subafirmações até que um limiar calibrado seja atingido, com cobertura garantida ao nível α escolhido. Aplicado aqui, um registro seria emitido apenas com as afirmações que passam ao nível α, com garantia estatística em vez de um escore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 hoc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É a direção de maior rigor e a mais citável.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9.4  Posicionamento frente às alternativas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relatório precisa dizer, em um parágrafo, por que não se usou o que já existe. As três famílias dominantes de detecção e o que cada uma exige:</w:t>
      </w:r>
    </w:p>
    <w:p>
      <w:pPr>
        <w:spacing w:after="16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800"/>
      </w:tblGrid>
      <w:tr>
        <w:trPr>
          <w:tblHeader/>
        </w:trPr>
        <w:tc>
          <w:tcPr>
            <w:tcW w:type="dxa" w:w="21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Abordagem</w:t>
            </w:r>
          </w:p>
        </w:tc>
        <w:tc>
          <w:tcPr>
            <w:tcW w:type="dxa" w:w="29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exige</w:t>
            </w:r>
          </w:p>
        </w:tc>
        <w:tc>
          <w:tcPr>
            <w:tcW w:type="dxa" w:w="28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Amostragem / autoconsistência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Múltiplas gerações do mesmo modelo; sem fonte externa; custo por afirmação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Manakul, Liusie e Gales (2023)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Entailment (NLI)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Modelo neural de inferência no laço; julgamento semântico não auditável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Laban et al. (2022)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Incerteza no espaço de significados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Acesso a logits e a múltiplas amostras do gerador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Farquhar et al. (2024)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`analisys_tool`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Nada além da página e da saída: sem pesos, sem chamadas, determinística, com evidência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(contribuição do projeto)</w:t>
            </w:r>
          </w:p>
        </w:tc>
      </w:tr>
    </w:tbl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2 — Posicionamento do verificador frente às famílias dominantes de detecção de alucinação.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Formulado assim, o ponto de contribuição fica nítido: a ferramenta ocupa um regime que as outras três não cobrem — verificação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acesso ao modelo e sem custo de inferência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evidência localizável — ao preço de não julgar equivalência semântica. Esse é o enunciado que a seção de contribuições do relatório deve conter.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  Decisões que não têm — e não precisam de — ancoragem bibliográfica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erro comum em relatórios de IC é procurar citação para tudo. As decisões abaixo são de engenharia e devem ser justificadas por argumento próprio, não por referência: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Apenas `html.parser`, sem BeautifulSoup.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Justificativa: reprodutibilidade e superfície mínima de dependências — o núcleo roda só com a biblioteca padrão, o que torna o resultado reexecutável anos depois sem resolução de versões. Não há literatura a citar; há um argumento de software científico a fazer.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Valores específicos dos limiares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</w:rPr>
        <w:t xml:space="preserve">cobertura_suporte = 0,92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fuzzy_suporte = 0,94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coesao_minima = 0,70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minimo_campos_coesao =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Justificativa: análise de sensibilidade e a curva de operação da seção 3.6, não citação.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limite de 30 palavras do `Resumo`.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Vem do prompt do </w:t>
      </w:r>
      <w:r>
        <w:rPr>
          <w:rFonts w:ascii="Consolas" w:cs="Consolas" w:eastAsia="Consolas" w:hAnsi="Consolas"/>
          <w:sz w:val="22"/>
          <w:szCs w:val="22"/>
        </w:rPr>
        <w:t xml:space="preserve">extraction_tool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é um fato do sistema, e deve ser apresentado como tal.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inferência de tipo semântico por léxico PT/EN.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Escolha de implementação; qualquer referência aqui seria decorativa.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Dizer isso explicitamente em uma subseção curta do relatório é sinal de maturidade metodológica, e evita a pior forma de citação — a que não sustenta o que se alega que sustenta.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  SHAP: onde encaixa, onde não encaixa e como avaliá-lo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11.1  O que SHAP é, e o que ele exige do objeto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SHAP (Lundberg e Lee, 2017) unifica métodos de atribuição aditiva de features sob o valor de Shapley (Shapley, 1953), caracterizado pelos axiomas de eficiência, simetria, jogador nulo e linearidade. Aplicá-lo exige três definições explícitas: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quem são os jogadores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qual é a função-valor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v(S)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que significa “desligar” um jogador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Nenhuma das três é óbvia em um verificador simbólico, e é por isso que a pergunta “SHAP se encaixa aqui?” não tem resposta única.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Rozemberczki et al. (2022) organizam os usos do valor de Shapley em aprendizado de máquina em cinco famílias: seleção de atributos, valoração de dados, explicabilidade, aprendizado por reforço multiagente e valoração de modelos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ensembles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Duas dessas famílias — seleção de atributos e valoração de modelos — descrevem encaixes viáveis neste projeto; a terceira, explicabilidade, é a que parece óbvia e é a que menos serve. Os autores registram também a advertência que estrutura toda a seção 11.6: sob aproximação, as propriedades axiomáticas do valor de Shapley deixam de valer, e eles chamam isso de “a maior questão não resolvida” no uso do método.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11.2  Encaixe A — valoração do catálogo de regras (recomendado)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pergunta que ele responde.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catálogo tem mais de vinte predicados e dez restrições. Cada um paga seu custo? Quais poderiam ser removidos sem perda de detecção? Qual regra sustenta o F1 e qual só aparece nos relatórios?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jogo.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Jogadores: as regras, agrupadas em oito a dez coalizões coerentes (família </w:t>
      </w:r>
      <w:r>
        <w:rPr>
          <w:rFonts w:ascii="Consolas" w:cs="Consolas" w:eastAsia="Consolas" w:hAnsi="Consolas"/>
          <w:sz w:val="22"/>
          <w:szCs w:val="22"/>
        </w:rPr>
        <w:t xml:space="preserve">LEX-*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família </w:t>
      </w:r>
      <w:r>
        <w:rPr>
          <w:rFonts w:ascii="Consolas" w:cs="Consolas" w:eastAsia="Consolas" w:hAnsi="Consolas"/>
          <w:sz w:val="22"/>
          <w:szCs w:val="22"/>
        </w:rPr>
        <w:t xml:space="preserve">NUM-*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SIM-CHECKSUM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família </w:t>
      </w:r>
      <w:r>
        <w:rPr>
          <w:rFonts w:ascii="Consolas" w:cs="Consolas" w:eastAsia="Consolas" w:hAnsi="Consolas"/>
          <w:sz w:val="22"/>
          <w:szCs w:val="22"/>
        </w:rPr>
        <w:t xml:space="preserve">DATA-*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família </w:t>
      </w:r>
      <w:r>
        <w:rPr>
          <w:rFonts w:ascii="Consolas" w:cs="Consolas" w:eastAsia="Consolas" w:hAnsi="Consolas"/>
          <w:sz w:val="22"/>
          <w:szCs w:val="22"/>
        </w:rPr>
        <w:t xml:space="preserve">DER-*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DOM-FORA-DA-ANCORA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restrições de registro, restrições de conjunto). Função-valor: </w:t>
      </w:r>
      <w:r>
        <w:rPr>
          <w:rFonts w:ascii="Consolas" w:cs="Consolas" w:eastAsia="Consolas" w:hAnsi="Consolas"/>
          <w:sz w:val="22"/>
          <w:szCs w:val="22"/>
        </w:rPr>
        <w:t xml:space="preserve">v(S)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F1 da detecção de alucinações, no regime permissivo, do verificador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restrito ao subconjunto S de regras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medido sobre o gabarito anotado; </w:t>
      </w:r>
      <w:r>
        <w:rPr>
          <w:rFonts w:ascii="Consolas" w:cs="Consolas" w:eastAsia="Consolas" w:hAnsi="Consolas"/>
          <w:sz w:val="22"/>
          <w:szCs w:val="22"/>
        </w:rPr>
        <w:t xml:space="preserve">v(∅)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F1 de um verificador que aprova tudo. Desligar um jogador: a regra não dispara, e a afirmação segue para a próxima regra da cadeia.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que Shapley e não ablação simples.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é o argumento decisivo, e é específico deste projeto. A cadeia de predicados é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cascata de fallback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 </w:t>
      </w:r>
      <w:r>
        <w:rPr>
          <w:rFonts w:ascii="Consolas" w:cs="Consolas" w:eastAsia="Consolas" w:hAnsi="Consolas"/>
          <w:sz w:val="22"/>
          <w:szCs w:val="22"/>
        </w:rPr>
        <w:t xml:space="preserve">LEX-EXATO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falha, </w:t>
      </w:r>
      <w:r>
        <w:rPr>
          <w:rFonts w:ascii="Consolas" w:cs="Consolas" w:eastAsia="Consolas" w:hAnsi="Consolas"/>
          <w:sz w:val="22"/>
          <w:szCs w:val="22"/>
        </w:rPr>
        <w:t xml:space="preserve">LEX-TOLERANTE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assume; se este falha, </w:t>
      </w:r>
      <w:r>
        <w:rPr>
          <w:rFonts w:ascii="Consolas" w:cs="Consolas" w:eastAsia="Consolas" w:hAnsi="Consolas"/>
          <w:sz w:val="22"/>
          <w:szCs w:val="22"/>
        </w:rPr>
        <w:t xml:space="preserve">LEX-APROXIMADO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depois </w:t>
      </w:r>
      <w:r>
        <w:rPr>
          <w:rFonts w:ascii="Consolas" w:cs="Consolas" w:eastAsia="Consolas" w:hAnsi="Consolas"/>
          <w:sz w:val="22"/>
          <w:szCs w:val="22"/>
        </w:rPr>
        <w:t xml:space="preserve">LEX-COBERTURA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Sob redundância desse tipo, a ablação um-a-um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leave-one-out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subestima sistematicamente cada regra, porque a regra seguinte compensa a remoção: cada uma parece dispensável isoladamente, e o conjunto não é. O valor de Shapley é exatamente a contribuição marginal média sobre todas as ordens de entrada, que é a construção feita para lidar com substituibilidade entre jogadores. É por isso que SHAP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redundante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aqui, apesar de o sistema já ser interpretável.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Ancoragem.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construção é idêntica à de Ghorbani e Zou (2019) para valoração de dados — jogadores são pontos de treino, </w:t>
      </w:r>
      <w:r>
        <w:rPr>
          <w:rFonts w:ascii="Consolas" w:cs="Consolas" w:eastAsia="Consolas" w:hAnsi="Consolas"/>
          <w:sz w:val="22"/>
          <w:szCs w:val="22"/>
        </w:rPr>
        <w:t xml:space="preserve">v(S)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 desempenho de um modelo treinado em S — e às formulações de seleção de atributos e valoração de modelos catalogadas por Rozemberczki et al. (2022). O que muda é apenas a identidade dos jogadores.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Custo, e uma boa notícia.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dez grupos, o jogo tem 2¹⁰ = 1.024 coalizões: o valor de Shapley pode ser calculado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enumeração, sem estimador de Monte Carlo. Isso elimina de uma vez a ressalva de Rozemberczki et al. (2022) sobre perda dos axiomas por aproximação — vale dizer isso no relatório, porque é a diferença entre um resultado exato e uma estimativa. O custo real é o número de reexecuções do verificador sobre o gabarito (1.024 execuções de um pipeline determinístico e sem chamadas de rede: minutos, não horas).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Entregável.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Um gráfico de barras de φ por grupo de regras, com intervalos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bootstrap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gabarito, e uma recomendação de poda. É uma seção de Resultados inteira, com método nomeável e reprodutível.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11.3  Encaixe B — explicar o índice de confiabilidade (em geral, desnecessário)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tentação natural é aplicar SHAP ao </w:t>
      </w:r>
      <w:r>
        <w:rPr>
          <w:rFonts w:ascii="Consolas" w:cs="Consolas" w:eastAsia="Consolas" w:hAnsi="Consolas"/>
          <w:sz w:val="22"/>
          <w:szCs w:val="22"/>
        </w:rPr>
        <w:t xml:space="preserve">confiabilidade_registro()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dizer “qual veredito puxou o escore para baixo”. Vale registrar por que isso rende pouco, porque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essa constatação é ela própria um resultado do relatório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índice é, por construção, uma média dos pesos dos vereditos menos uma soma de penalidades: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linear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seus argumentos. Para modelos lineares, Lundberg e Lee (2017) derivam a forma fechada do valor de Shapley (o caso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Linear SHAP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φᵢ = wᵢ(xᵢ − E[xᵢ]). Rodar KernelSHAP sobre esse agregador devolve, com custo computacional e erro de estimação, aquilo que pode ser escrito analiticamente em uma linha. A recomendação é enunciar a forma fechada no texto e não executar o experimento.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Há um argumento mais forte por trás. Rudin (2019) sustenta que explicar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post hoc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um sistema que já é interpretável é um retrocesso, porque a explicação post hoc é uma aproximação do sistema e pode ser infiel a ele. O verificador já emite, para cada afirmação, a regra que decidiu, a evidência e o deslocamento na fonte: isso não é uma aproximação da decisão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decisão. Substituir uma explicação exata por uma atribuição aproximada seria perder informação e ganhar aparência de rigor. Esse parágrafo é, provavelmente, o melhor uso que a IC pode fazer da literatura de SHAP: mostrar que a arquitetura escolhida dispensa o método no ponto em que ele seria mais esperado.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exceção está na saída (2) da seção 9.3: se os pesos do índice passarem a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ajustados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 o gabarito, o agregador vira um modelo aprendido e — havendo interação entre vereditos e restrições, isto é, deixando de ser aditivo — passa a haver objeto legítimo para SHAP.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11.4  Encaixe C — diagnosticar o componente neural (estudo offline)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pergunta “por que o extrator produziu este valor?” é uma pergunta de atribuição ao contexto, e cai fora do desenho atual, que proíbe nova chamada ao LLM.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estudo offline sobre uma amostra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porém, ela é interessante: permitiria dizer que região do HTML induziu a atribuição incorreta, em vez de apenas registrar que ela ocorreu.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Horovicz e Goldshmidt (2024), com o TokenSHAP, estimam valores de Shapley sobre os tokens do prompt por amostragem de Monte Carlo — aplicável, porém caro: cada coalizão é uma nova chamada ao modelo.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Cohen-Wang et al. (2024), no ContextCite, resolvem o mesmo problema de forma mais barata e mais adequada: ablacionam partes do contexto e ajustam um modelo linear esparso substituto para atribuir a geração às fontes do contexto. Para “qual trecho do HTML causou este campo”, é a ferramenta certa, e mais próxima da pergunta do projeto do que SHAP em nível de token.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Haq et al. (2026) são o trabalho mais próximo de “SHAP para detecção de alucinação”: combinam SHAP e LIME para computar uma divergência de atribuição entre tokens de entrada e de saída como escore de alucinação, reportando F1 de 0,84 e AUC de 0,89 em TruthfulQA e QAGS. Os próprios autores registram sensibilidade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paráfrase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sobrecarga computacional — e paráfrase legítima é exatamente a classe </w:t>
      </w:r>
      <w:r>
        <w:rPr>
          <w:rFonts w:ascii="Consolas" w:cs="Consolas" w:eastAsia="Consolas" w:hAnsi="Consolas"/>
          <w:sz w:val="22"/>
          <w:szCs w:val="22"/>
        </w:rPr>
        <w:t xml:space="preserve">PARCIAL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deste projeto, o que torna a limitação deles um argumento a favor do desenho adotado aqui.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Recomendação.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Tratar o encaixe C como trabalho futuro claramente delimitado, executado sobre um subconjunto pequeno, com ContextCite como método de primeira escolha e TokenSHAP como comparador. Não incorporá-lo ao laço de verificação: isso violaria a decisão fundamentada na seção 2.2 e destruiria o determinismo.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11.5  Contra-indicações que precisam constar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SHAP entrar no trabalho, estas ressalvas precisam estar escritas. Um parecerista que conhece a literatura de explicabilidade vai procurá-las.</w:t>
      </w:r>
    </w:p>
    <w:p>
      <w:pPr>
        <w:spacing w:after="16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2000"/>
      </w:tblGrid>
      <w:tr>
        <w:trPr>
          <w:tblHeader/>
        </w:trPr>
        <w:tc>
          <w:tcPr>
            <w:tcW w:type="dxa" w:w="25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Objeção</w:t>
            </w:r>
          </w:p>
        </w:tc>
        <w:tc>
          <w:tcPr>
            <w:tcW w:type="dxa" w:w="33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type="dxa" w:w="20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Shapley responde outra pergunta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Os valores respondem a uma pergunta matemática específica que frequentemente não corresponde à noção humana de “importância”; a eficiência força uma alocação total mesmo quando ela não é significativa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Kumar et al. (2020)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há um único valor de Shapley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semântica de “feature ausente” (baseline vs. esperança condicional) define jogos diferentes com respostas diferentes; aqui, “desligar uma regra” tem ao menos duas leituras — cair no fallback ou marcar como não verificável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Sundararajan e Najmi (2020)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Jogadores dependentes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hipótese de independência do KernelSHAP é violada quando as features são correlacionadas; a cascata de predicados é fortemente dependente por construção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Aas, Jullum e Løland (2021)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 teórico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Métodos de atribuição completos e lineares — SHAP incluído — podem provadamente não superar o acaso para inferir comportamento do modelo, a menos que a tarefa-fim seja especificada de antemão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Bilodeau et al. (2024)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Falhas formais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Existem casos em que os valores de Shapley contradizem noções formais de relevância de feature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Huang e Marques-Silva (2024)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Manipulabilidade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Explicações post hoc podem ser adversarialmente manipuladas — relevante se a atribuição for usada como garantia externa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Slack et al. (2020)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Axiomas sob aproximação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Estimadores aproximados perdem as propriedades axiomáticas que justificam o método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Rozemberczki et al. (2022)</w:t>
            </w:r>
          </w:p>
        </w:tc>
      </w:tr>
    </w:tbl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3 — Contra-indicações do uso de SHAP e onde cada uma incide neste projeto.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Duas delas incidem de forma particularmente direta. A de Sundararajan e Najmi (2020) obriga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semântica de remoção antes de rodar qualquer coisa: “a regra não dispara e a afirmação cai na regra seguinte” e “a regra não dispara e a afirmação vira </w:t>
      </w:r>
      <w:r>
        <w:rPr>
          <w:rFonts w:ascii="Consolas" w:cs="Consolas" w:eastAsia="Consolas" w:hAnsi="Consolas"/>
          <w:sz w:val="22"/>
          <w:szCs w:val="22"/>
        </w:rPr>
        <w:t xml:space="preserve">NAO_VERIFICAVEL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” são dois jogos distintos, com φ distintos, e o relatório precisa dizer qual foi jogado. A de Bilodeau et al. (2024) tem a leitura metodológica mais útil: especifique a tarefa-fim antes — no encaixe A ela está especificada (“podar o catálogo sem perder mais de x pontos de F1”), e é por isso que aquele encaixe escapa da objeção enquanto o encaixe B não escaparia.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11.6  Como avaliar a própria atribuição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“SHAP evaluation” tem dois sentidos, e ambos cabem no projeto: avaliar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SHAP (encaixe A) e avaliar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próprio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SHAP. O segundo é o que dá rigor ao primeiro, e tem protocolo estabelecido.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Fidelidade por ablação, no espírito do ROAR.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Hooker et al. (2019) propõem medir a qualidade de uma atribuição removendo as features de maior importância e verificando a degradação do desempenho. Aqui: remover os k grupos de maior φ e comparar a queda de F1 com a de k grupos aleatórios e a de k grupos de menor φ. Se a queda não for maior, a atribuição não está informando nada.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há uma vantagem local: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ROAR original precisa re-treinar o modelo a cada remoção, o que é a sua principal fragilidade metodológica; aqui não há treino, então o protocolo fica mais limpo neste projeto do que no cenário para o qual foi criado.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Axiomas como teste unitário.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Verificar eficiência (Σφᵢ = v(N) − v(∅)), jogador nulo (uma regra que nunca dispara no gabarito deve receber φ = 0) e simetria. Com enumeração exata essas verificações são assertivas baratas — e a de jogador nulo é, na prática, um detector de regra morta no catálogo. Cabem em </w:t>
      </w:r>
      <w:r>
        <w:rPr>
          <w:rFonts w:ascii="Consolas" w:cs="Consolas" w:eastAsia="Consolas" w:hAnsi="Consolas"/>
          <w:sz w:val="22"/>
          <w:szCs w:val="22"/>
        </w:rPr>
        <w:t xml:space="preserve">testes/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Estabilidade.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Intervalos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bootstrap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conjunto anotado. Se os intervalos de duas regras se sobrepõem, não ordená-las no texto.</w:t>
      </w:r>
    </w:p>
    <w:p>
      <w:pPr>
        <w:pStyle w:val="ListParagraph"/>
        <w:numPr>
          <w:ilvl w:val="0"/>
          <w:numId w:val="4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Linha de base obrigatória.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Reportar a ablação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leave-one-out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lado de φ.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diferença entre as duas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mede a redundância do catálogo — e essa diferença é, ela própria, um achado publicável sobre o desenho da cascata de predicados, não apenas um controle metodológico.</w:t>
      </w:r>
    </w:p>
    <w:p>
      <w:pPr>
        <w:pStyle w:val="Heading2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11.7  Pré-requisito e desenho mínimo do experimento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Nada do encaixe A é executável sobre o gabarito atual. Dez afirmações verificáveis não sustentam um F1, muito menos 1.024 F1 encadeados em um cálculo de valor de Shapley: o ruído de amostragem dominaria φ por completo. O pré-requisito é o da seção 9.2 — ampliar o conjunto anotado, com protocolo AIS e cobertura de páginas de sítios distintos, até que a estratificação por campo tenha células não vazias.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Cumprido isso, o desenho mínimo é: (a) definir os grupos de regras e congelá-los; (b) declarar a semântica de remoção; (c) enumerar as 2ⁿ coalizões, medindo </w:t>
      </w:r>
      <w:r>
        <w:rPr>
          <w:rFonts w:ascii="Consolas" w:cs="Consolas" w:eastAsia="Consolas" w:hAnsi="Consolas"/>
          <w:sz w:val="22"/>
          <w:szCs w:val="22"/>
        </w:rPr>
        <w:t xml:space="preserve">v(S)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F1 permissivo sobre o gabarito; (d) calcular φ exato; (e) verificar eficiência e jogador nulo; (f) rodar o teste de ablação do item 1 acima; (g) reportar φ com intervalos e ao lado 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leave-one-out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Sete passos, todos determinísticos, todos reexecutáveis.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  Quadro-síntese: decisão → referência principal</w:t>
      </w:r>
    </w:p>
    <w:p>
      <w:pPr>
        <w:spacing w:after="16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rPr>
          <w:tblHeader/>
        </w:trPr>
        <w:tc>
          <w:tcPr>
            <w:tcW w:type="dxa" w:w="26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Decisão de projeto</w:t>
            </w:r>
          </w:p>
        </w:tc>
        <w:tc>
          <w:tcPr>
            <w:tcW w:type="dxa" w:w="26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Referência principal</w:t>
            </w:r>
          </w:p>
        </w:tc>
        <w:tc>
          <w:tcPr>
            <w:tcW w:type="dxa" w:w="26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ela sustenta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Separação neural / simbólica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Kautz (2022); Garcez e Lamb (2023)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Classificação do pipeline como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Neuro | Symbolic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e a motivação de confiabilidade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Sem chamada ao LLM no laço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Huang et al. (2024); Kamoi et al. (2024); Panickssery et al. (2024)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gerador não é juiz confiável de si mesmo; autocorreção exige sinal externo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Julgar ancoragem, não verdade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Maynez et al. (2020); Rashkin et al. (2023)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Fidelidade ≠ factualidade; AIS como predicado formal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Veredito com evidência obrigatória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Thorne et al. (2018); Guo, Schlichtkrull e Vlachos (2022)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Protocolo de verificação com evidência e pipeline canônico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Taxonomia dos vereditos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Huang et al. (2025); Ji et al. (2023)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Factualidade × fidelidade e os subtipos de erro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NAO_SUPORTADA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×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ATRIBUICAO_INCORRETA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Kim, Kim e Jeong (2025); Jiang et al. (2024)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Alucinação textual × posicional, no mesmo domínio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Abstenção fora do denominador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Wen et al. (2025); Geifman e El-Yaniv (2019)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Abstenção como comportamento desejável; risco × cobertura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Decomposição atômica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 et al. (2023); Wei et al. (2024)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Fato atômico como unidade de avaliação de factualidade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Regra de coesão no DOM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Liu, Grossman e Zhai (2003); Li et al. (2022)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Registros sob um mesmo pai, com marcação semelhante; XPath como sinal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Resumo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verificado contra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Maynez et al. (2020); Huang et al. (2025)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Inconsistência de contexto é categoria distinta de erro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Restrições e dígito verificador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Chu et al. (2016); Rekatsinas et al. (2017)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Restrições de integridade e de domínio como detecção de erro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Reparo conservador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Rekatsinas et al. (2017); Gao et al. (2023)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Minimalidade do reparo; métricas de atribuição e preservação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Offsets e proveniência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Cheney, Chiticariu e Tan (2009)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Where-provenance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como registro de origem do valor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Duas camadas de métrica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Guo, Schlichtkrull e Vlachos (2022); Jiang et al. (2024)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verificador é classificador e exige avaliação própria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Escore → garantia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Mohri e Hashimoto (2024)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Predição conforme com garantia de factualidade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SHAP sobre o catálogo de regras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Rozemberczki et al. (2022); Ghorbani e Zou (2019)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Seleção de atributos e valoração como jogos cooperativos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Limites de SHAP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Rudin (2019); Kumar et al. (2020); Bilodeau et al. (2024)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Explicação post hoc de sistema interpretável; limites formais da atribuição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Avaliação da atribuição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Hooker et al. (2019)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Fidelidade da atribuição medida por ablação</w:t>
            </w:r>
          </w:p>
        </w:tc>
      </w:tr>
    </w:tbl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4 — Síntese do mapeamento decisão → literatura.</w:t>
      </w:r>
    </w:p>
    <w:p>
      <w:pPr>
        <w:pStyle w:val="Heading1"/>
        <w:spacing w:after="160" w:before="40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  Referências</w:t>
      </w:r>
    </w:p>
    <w:p>
      <w:pPr>
        <w:spacing w:after="24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Todas as entradas abaixo foram conferidas contra a fonte primária (ACL Anthology, PMLR, editora ou repositório oficial). Onde o número de páginas não pôde ser confirmado, indica-se DOI ou endereço em seu lugar.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AAS, K.; JULLUM, M.; LØLAND, A. Explaining individual predictions when features are dependent: more accurate approximations to Shapley values.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Artificial Intelligence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298, art. 103502, 2021. DOI: 10.1016/j.artint.2021.103502.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BILODEAU, B.; JAQUES, N.; KOH, P. W.; KIM, B. Impossibility theorems for feature attribution.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of the National Academy of Sciences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121, n. 2, e2304406120, 2024. DOI: 10.1073/pnas.2304406120.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CHENEY, J.; CHITICARIU, L.; TAN, W.-C. Provenance in databases: why, how, and where.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Foundations and Trends in Databases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1, n. 4, p. 379–474, 2009. DOI: 10.1561/1900000006.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CHU, X.; ILYAS, I. F.; KRISHNAN, S.; WANG, J. Data cleaning: overview and emerging challenges. In: ACM SIGMOD INTERNATIONAL CONFERENCE ON MANAGEMENT OF DATA, 2016, San Francisco.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New York: ACM, 2016. DOI: 10.1145/2882903.2912574.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COHEN-WANG, B.; SHAH, H.; GEORGIEV, K.; MĄDRY, A. ContextCite: attributing model generation to context. In: ADVANCES IN NEURAL INFORMATION PROCESSING SYSTEMS 37 (NeurIPS 2024).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2024. Disponível em: https://arxiv.org/abs/2409.00729.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FARQUHAR, S.; KOSSEN, J.; KUHN, L.; GAL, Y. Detecting hallucinations in large language models using semantic entropy.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Nature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630, p. 625–630, 2024. DOI: 10.1038/s41586-024-07421-0.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GAO, L.; DAI, Z.; PASUPAT, P. et al. RARR: researching and revising what language models say, using language models. In: ANNUAL MEETING OF THE ASSOCIATION FOR COMPUTATIONAL LINGUISTICS, 61., 2023, Toronto.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Stroudsburg: ACL, 2023. p. 16477–16508. DOI: 10.18653/v1/2023.acl-long.910.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GARCEZ, A. d'A.; LAMB, L. C. Neurosymbolic AI: the 3rd wave.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Artificial Intelligence 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56, n. 11, p. 12387–12406, 2023. DOI: 10.1007/s10462-023-10448-w.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GEIFMAN, Y.; EL-YANIV, R. SelectiveNet: a deep neural network with an integrated reject option. In: INTERNATIONAL CONFERENCE ON MACHINE LEARNING, 36., 2019.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PMLR, v. 97, 2019. Disponível em: https://proceedings.mlr.press/v97/geifman19a.html.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GHORBANI, A.; ZOU, J. Data Shapley: equitable valuation of data for machine learning. In: INTERNATIONAL CONFERENCE ON MACHINE LEARNING, 36., 2019.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PMLR, v. 97, p. 2242–2251, 2019.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GUO, Z.; SCHLICHTKRULL, M.; VLACHOS, A. A survey on automated fact-checking.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Transactions of the Association for Computational Linguistics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10, p. 178–206, 2022. DOI: 10.1162/tacl_a_00454.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HAQ, I.; SAQIB, M.; ZHANG, Y.; KHAN, I. A. Quantifying factual divergence in generative models: SHAP-LIME based hallucination score for LLMs.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Multimedia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32, art. 146, 2026. DOI: 10.1007/s00530-025-02150-4.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HOOKER, S.; ERHAN, D.; KINDERMANS, P.-J.; KIM, B. A benchmark for interpretability methods in deep neural networks. In: ADVANCES IN NEURAL INFORMATION PROCESSING SYSTEMS 32 (NeurIPS 2019).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2019. Disponível em: https://proceedings.neurips.cc/paper_files/paper/2019/file/fe4b8556000d0f0cae99daa5c5c5a410-Paper.pdf.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HOROVICZ, M.; GOLDSHMIDT, R. TokenSHAP: interpreting large language models with Monte Carlo Shapley value estimation. In: WORKSHOP ON NLP FOR SCIENCE (NLP4Science), 1., 2024, Miami.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Stroudsburg: ACL, 2024. p. 1–8. DOI: 10.18653/v1/2024.nlp4science-1.1.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HUANG, J.; CHEN, X.; MISHRA, S. et al. Large language models cannot self-correct reasoning yet. In: INTERNATIONAL CONFERENCE ON LEARNING REPRESENTATIONS, 12., 2024, Viena.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2024. Disponível em: https://openreview.net/forum?id=IkmD3fKBPQ.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HUANG, L.; YU, W.; MA, W. et al. A survey on hallucination in large language models: principles, taxonomy, challenges, and open questions.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ACM Transactions on Information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43, n. 2, p. 1–55, 2025. DOI: 10.1145/3703155.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HUANG, X.; MARQUES-SILVA, J. On the failings of Shapley values for explainability.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International Journal of Approximate Reasoning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art. 109112, 2024. DOI: 10.1016/j.ijar.2023.109112.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JI, Z.; LEE, N.; FRIESKE, R. et al. Survey of hallucination in natural language generation.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ACM Computing Surveys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55, n. 12, art. 248, 2023. DOI: 10.1145/3571730.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JIANG, L.; JIANG, K.; CHU, X.; GULATI, S.; GARG, P. Hallucination detection in LLM-enriched product listings. In: WORKSHOP ON E-COMMERCE AND NLP, 7., 2024, Turim.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ELRA e ICCL, 2024. p. 29–39.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KAMOI, R.; ZHANG, Y.; ZHANG, N.; HAN, J.; ZHANG, R. When can LLMs actually correct their own mistakes? A critical survey of self-correction of LLMs.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Transactions of the Association for Computational Linguistics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12, p. 1417–1440, 2024. DOI: 10.1162/tacl_a_00713.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KAUTZ, H. The third AI summer: AAAI Robert S. Engelmore Memorial Lecture.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 Magazine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43, n. 1, p. 105–125, 2022. DOI: 10.1002/aaai.12036.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KIM, S.; KIM, N.; JEONG, Y. NEXT-EVAL: next evaluation of traditional and LLM web data record extraction.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arXiv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2025. arXiv:2505.17125. Disponível em: https://arxiv.org/abs/2505.17125.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KUMAR, I. E.; VENKATASUBRAMANIAN, S.; SCHEIDEGGER, C.; FRIEDLER, S. Problems with Shapley-value-based explanations as feature importance measures. In: INTERNATIONAL CONFERENCE ON MACHINE LEARNING, 37., 2020.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PMLR, v. 119, p. 5491–5500, 2020.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LABAN, P.; SCHNABEL, T.; BENNETT, P. N.; HEARST, M. A. SummaC: re-visiting NLI-based models for inconsistency detection in summarization.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Transactions of the Association for Computational Linguistics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10, p. 163–177, 2022. DOI: 10.1162/tacl_a_00453.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LI, J.; XU, Y.; CUI, L.; WEI, F. MarkupLM: pre-training of text and markup language for visually rich document understanding. In: ANNUAL MEETING OF THE ASSOCIATION FOR COMPUTATIONAL LINGUISTICS, 60., 2022, Dublin.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Stroudsburg: ACL, 2022. p. 6078–6087. DOI: 10.18653/v1/2022.acl-long.420.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LIU, B.; GROSSMAN, R.; ZHAI, Y. Mining data records in web pages. In: ACM SIGKDD INTERNATIONAL CONFERENCE ON KNOWLEDGE DISCOVERY AND DATA MINING, 9., 2003, Washington.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New York: ACM, 2003. Disponível em: https://www.cs.uic.edu/~liub/publications/kdd2003-dataRecord.pdf.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LUNDBERG, S. M.; LEE, S.-I. A unified approach to interpreting model predictions. In: ADVANCES IN NEURAL INFORMATION PROCESSING SYSTEMS 30 (NIPS 2017).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2017. Disponível em: https://proceedings.neurips.cc/paper/7062-a-unified-approach-to-interpreting-model-predictions.pdf.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MANAKUL, P.; LIUSIE, A.; GALES, M. SelfCheckGPT: zero-resource black-box hallucination detection for generative large language models. In: CONFERENCE ON EMPIRICAL METHODS IN NATURAL LANGUAGE PROCESSING, 2023, Singapura.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Stroudsburg: ACL, 2023. p. 9004–9017. DOI: 10.18653/v1/2023.emnlp-main.557.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MAYNEZ, J.; NARAYAN, S.; BOHNET, B.; McDONALD, R. On faithfulness and factuality in abstractive summarization. In: ANNUAL MEETING OF THE ASSOCIATION FOR COMPUTATIONAL LINGUISTICS, 58., 2020.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Stroudsburg: ACL, 2020. p. 1906–1919. DOI: 10.18653/v1/2020.acl-main.173.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MIN, S.; KRISHNA, K.; LYU, X. et al. FActScore: fine-grained atomic evaluation of factual precision in long form text generation. In: CONFERENCE ON EMPIRICAL METHODS IN NATURAL LANGUAGE PROCESSING, 2023, Singapura.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Stroudsburg: ACL, 2023. p. 12076–12100. DOI: 10.18653/v1/2023.emnlp-main.741.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MISHRA, A.; ASAI, A.; BALACHANDRAN, V. et al. Fine-grained hallucination detection and editing for language models. In: CONFERENCE ON LANGUAGE MODELING (COLM), 1., 2024.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2024. Disponível em: https://arxiv.org/abs/2401.06855.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MOHRI, C.; HASHIMOTO, T. Language models with conformal factuality guarantees. In: INTERNATIONAL CONFERENCE ON MACHINE LEARNING, 41., 2024.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PMLR, v. 235, 2024. Disponível em: https://proceedings.mlr.press/v235/mohri24a.html.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PAN, L.; ALBALAK, A.; WANG, X.; WANG, W. Logic-LM: empowering large language models with symbolic solvers for faithful logical reasoning. In: FINDINGS OF THE ASSOCIATION FOR COMPUTATIONAL LINGUISTICS: EMNLP 2023, Singapura.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Stroudsburg: ACL, 2023. p. 3806–3824. DOI: 10.18653/v1/2023.findings-emnlp.248.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PANICKSSERY, A.; BOWMAN, S. R.; FENG, S. LLM evaluators recognize and favor their own generations. In: ADVANCES IN NEURAL INFORMATION PROCESSING SYSTEMS 37 (NeurIPS 2024).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2024. arXiv:2404.13076. Disponível em: https://proceedings.neurips.cc/paper_files/paper/2024/file/7f1f0218e45f5414c79c0679633e47bc-Paper-Conference.pdf.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RASHKIN, H.; NIKOLAEV, V.; LAMM, M. et al. Measuring attribution in natural language generation models.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Computational Linguistics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49, n. 4, p. 777–840, 2023. DOI: 10.1162/coli_a_00486.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REKATSINAS, T.; CHU, X.; ILYAS, I. F.; RÉ, C. HoloClean: holistic data repairs with probabilistic inference.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of the VLDB Endowment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10, n. 11, p. 1190–1201, 2017. DOI: 10.14778/3137628.3137631.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ROZEMBERCZKI, B.; WATSON, L.; BAYER, P. et al. The Shapley value in machine learning. In: INTERNATIONAL JOINT CONFERENCE ON ARTIFICIAL INTELLIGENCE, 31., 2022.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(Survey Track), 2022. DOI: 10.24963/ijcai.2022/778.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RUDIN, C. Stop explaining black box machine learning models for high stakes decisions and use interpretable models instead.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Nature Machine Intelligence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1, n. 5, p. 206–215, 2019. DOI: 10.1038/s42256-019-0048-x.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SHAPLEY, L. S. A value for n-person games. In: KUHN, H. W.; TUCKER, A. W. (org.).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Contributions to the Theory of Games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II. Princeton: Princeton University Press, 1953. p. 307–317.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SLACK, D.; HILGARD, S.; JIA, E.; SINGH, S.; LAKKARAJU, H. Fooling LIME and SHAP: adversarial attacks on post hoc explanation methods. In: AAAI/ACM CONFERENCE ON AI, ETHICS, AND SOCIETY (AIES), 2020.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New York: ACM, 2020. DOI: 10.1145/3375627.3375830.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SUNDARARAJAN, M.; NAJMI, A. The many Shapley values for model explanation. In: INTERNATIONAL CONFERENCE ON MACHINE LEARNING, 37., 2020.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PMLR, v. 119, p. 9403–9412, 2020.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THORNE, J.; VLACHOS, A.; CHRISTODOULOPOULOS, C.; MITTAL, A. FEVER: a large-scale dataset for fact extraction and VERification. In: CONFERENCE OF THE NORTH AMERICAN CHAPTER OF THE ASSOCIATION FOR COMPUTATIONAL LINGUISTICS: HUMAN LANGUAGE TECHNOLOGIES, 2018, New Orleans.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Stroudsburg: ACL, 2018. p. 809–819. DOI: 10.18653/v1/N18-1074.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WEI, J.; YANG, C.; SONG, X.; LU, Y. et al. Long-form factuality in large language models. In: ADVANCES IN NEURAL INFORMATION PROCESSING SYSTEMS 37 (NeurIPS 2024).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Proceedings 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2024. Disponível em: https://openreview.net/forum?id=4M9f8VMt2C.</w:t>
      </w:r>
    </w:p>
    <w:p>
      <w:pPr>
        <w:spacing w:after="18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WEN, B.; YAO, J.; FENG, S. et al. Know your limits: a survey of abstention in large language models.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Transactions of the Association for Computational Linguistics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13, p. 529–556, 2025. DOI: 10.1162/tacl_a_00754.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Fundamentação bibliográfica das decisões de projeto da analisys_tool</dc:title>
  <dc:creator>analisys_tool — IC ICMC/USP</dc:creator>
  <dc:description>Mapeamento decisão de projeto → literatura científica, com análise do encaixe de SHAP.</dc:description>
  <cp:lastModifiedBy>Un-named</cp:lastModifiedBy>
  <cp:revision>1</cp:revision>
  <dcterms:created xsi:type="dcterms:W3CDTF">2026-08-21T16:48:23.563Z</dcterms:created>
  <dcterms:modified xsi:type="dcterms:W3CDTF">2026-08-21T16:48:23.563Z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