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PT Bahtera Nusantara Jaya</w:t>
      </w:r>
    </w:p>
    <w:p>
      <w:pPr>
        <w:pStyle w:val="Heading1"/>
      </w:pPr>
      <w:r>
        <w:t xml:space="preserve">Kutipan Laporan Tahunan 2024</w:t>
      </w:r>
    </w:p>
    <w:p>
      <w:r>
        <w:rPr>
          <w:b w:val="false"/>
          <w:bCs w:val="false"/>
        </w:rPr>
        <w:t xml:space="preserve">Dokumen uji sintetis - bukan laporan keuangan entitas nyata.</w:t>
      </w:r>
    </w:p>
    <w:p>
      <w:pPr>
        <w:pStyle w:val="Heading2"/>
      </w:pPr>
      <w:r>
        <w:t xml:space="preserve">Ikhtisar Kinerja</w:t>
      </w:r>
    </w:p>
    <w:p>
      <w:r>
        <w:rPr>
          <w:b w:val="false"/>
          <w:bCs w:val="false"/>
        </w:rPr>
        <w:t xml:space="preserve">Sepanjang tahun 2024 PT Bahtera Nusantara Jaya membukukan pendapatan usaha sebesar Rp 21.965.000.000, naik dari Rp 18.420.000.000 pada tahun sebelumnya. Pertumbuhan tersebut ditopang oleh pembukaan gerai baru di kawasan Jawa Timur serta kenaikan kontribusi penjualan daring yang mulai stabil sejak kuartal kedua.</w:t>
      </w:r>
    </w:p>
    <w:p>
      <w:r>
        <w:rPr>
          <w:b w:val="false"/>
          <w:bCs w:val="false"/>
        </w:rPr>
        <w:t xml:space="preserve">Laba bersih tahun berjalan tercatat Rp 2.016.300.000, dibandingkan Rp 1.354.704.000 pada tahun 2023. Perbaikan margin berasal dari negosiasi ulang kontrak pemasok utama dan dari efisiensi biaya distribusi, sementara beban umum dan administrasi tumbuh lebih lambat dibanding pendapatan.</w:t>
      </w:r>
    </w:p>
    <w:p>
      <w:r>
        <w:rPr>
          <w:b w:val="false"/>
          <w:bCs w:val="false"/>
        </w:rPr>
        <w:t xml:space="preserve">Pada akhir tahun 2024 Perseroan mempekerjakan 148 karyawan tetap, dan jumlah gerai aktif bertambah dari 12 gerai menjadi 17 gerai. Penambahan gerai dilakukan secara bertahap agar beban sewa dan beban penjualan tidak melonjak dalam satu periode.</w:t>
      </w:r>
    </w:p>
    <w:p>
      <w:r>
        <w:br w:type="page"/>
      </w:r>
    </w:p>
    <w:p>
      <w:pPr>
        <w:pStyle w:val="Heading2"/>
      </w:pPr>
      <w:r>
        <w:t xml:space="preserve">Laporan Laba Rugi Ringkas</w:t>
      </w:r>
    </w:p>
    <w:p>
      <w:r>
        <w:rPr>
          <w:b w:val="false"/>
          <w:bCs w:val="false"/>
        </w:rPr>
        <w:t xml:space="preserve">Tabel berikut menyajikan ikhtisar laba rugi Perseroan untuk tahun yang berakhir pada 31 Desember 2024 dengan angka pembanding tahun 2023. Seluruh angka disajikan dalam rupiah penuh.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tcPr>
          <w:p>
            <w:pPr>
              <w:jc w:val="left"/>
            </w:pPr>
            <w:r>
              <w:rPr>
                <w:b/>
                <w:bCs/>
              </w:rPr>
              <w:t xml:space="preserve">Uraian</w:t>
            </w:r>
          </w:p>
        </w:tc>
        <w:tc>
          <w:tcPr>
            <w:tcW w:type="pct" w:w="25%"/>
          </w:tcPr>
          <w:p>
            <w:pPr>
              <w:jc w:val="right"/>
            </w:pPr>
            <w:r>
              <w:rPr>
                <w:b/>
                <w:bCs/>
              </w:rPr>
              <w:t xml:space="preserve">2023</w:t>
            </w:r>
          </w:p>
        </w:tc>
        <w:tc>
          <w:tcPr>
            <w:tcW w:type="pct" w:w="25%"/>
          </w:tcPr>
          <w:p>
            <w:pPr>
              <w:jc w:val="right"/>
            </w:pPr>
            <w:r>
              <w:rPr>
                <w:b/>
                <w:bCs/>
              </w:rPr>
              <w:t xml:space="preserve">2024</w:t>
            </w:r>
          </w:p>
        </w:tc>
      </w:tr>
      <w:tr>
        <w:tc>
          <w:tcPr>
            <w:tcW w:type="pct" w:w="50%"/>
          </w:tcPr>
          <w:p>
            <w:pPr>
              <w:jc w:val="left"/>
            </w:pPr>
            <w:r>
              <w:rPr>
                <w:b w:val="false"/>
                <w:bCs w:val="false"/>
              </w:rPr>
              <w:t xml:space="preserve">Pendapatan usaha</w:t>
            </w:r>
          </w:p>
        </w:tc>
        <w:tc>
          <w:tcPr>
            <w:tcW w:type="pct" w:w="25%"/>
          </w:tcPr>
          <w:p>
            <w:pPr>
              <w:jc w:val="right"/>
            </w:pPr>
            <w:r>
              <w:rPr>
                <w:b w:val="false"/>
                <w:bCs w:val="false"/>
              </w:rPr>
              <w:t xml:space="preserve">18.420.000.000</w:t>
            </w:r>
          </w:p>
        </w:tc>
        <w:tc>
          <w:tcPr>
            <w:tcW w:type="pct" w:w="25%"/>
          </w:tcPr>
          <w:p>
            <w:pPr>
              <w:jc w:val="right"/>
            </w:pPr>
            <w:r>
              <w:rPr>
                <w:b w:val="false"/>
                <w:bCs w:val="false"/>
              </w:rPr>
              <w:t xml:space="preserve">21.965.000.000</w:t>
            </w:r>
          </w:p>
        </w:tc>
      </w:tr>
      <w:tr>
        <w:tc>
          <w:tcPr>
            <w:tcW w:type="pct" w:w="50%"/>
          </w:tcPr>
          <w:p>
            <w:pPr>
              <w:jc w:val="left"/>
            </w:pPr>
            <w:r>
              <w:rPr>
                <w:b w:val="false"/>
                <w:bCs w:val="false"/>
              </w:rPr>
              <w:t xml:space="preserve">Beban pokok pendapatan</w:t>
            </w:r>
          </w:p>
        </w:tc>
        <w:tc>
          <w:tcPr>
            <w:tcW w:type="pct" w:w="25%"/>
          </w:tcPr>
          <w:p>
            <w:pPr>
              <w:jc w:val="right"/>
            </w:pPr>
            <w:r>
              <w:rPr>
                <w:b w:val="false"/>
                <w:bCs w:val="false"/>
              </w:rPr>
              <w:t xml:space="preserve">11.052.000.000</w:t>
            </w:r>
          </w:p>
        </w:tc>
        <w:tc>
          <w:tcPr>
            <w:tcW w:type="pct" w:w="25%"/>
          </w:tcPr>
          <w:p>
            <w:pPr>
              <w:jc w:val="right"/>
            </w:pPr>
            <w:r>
              <w:rPr>
                <w:b w:val="false"/>
                <w:bCs w:val="false"/>
              </w:rPr>
              <w:t xml:space="preserve">12.960.350.000</w:t>
            </w:r>
          </w:p>
        </w:tc>
      </w:tr>
      <w:tr>
        <w:tc>
          <w:tcPr>
            <w:tcW w:type="pct" w:w="50%"/>
          </w:tcPr>
          <w:p>
            <w:pPr>
              <w:jc w:val="left"/>
            </w:pPr>
            <w:r>
              <w:rPr>
                <w:b/>
                <w:bCs/>
              </w:rPr>
              <w:t xml:space="preserve">Laba kotor</w:t>
            </w:r>
          </w:p>
        </w:tc>
        <w:tc>
          <w:tcPr>
            <w:tcW w:type="pct" w:w="25%"/>
          </w:tcPr>
          <w:p>
            <w:pPr>
              <w:jc w:val="right"/>
            </w:pPr>
            <w:r>
              <w:rPr>
                <w:b/>
                <w:bCs/>
              </w:rPr>
              <w:t xml:space="preserve">7.368.000.000</w:t>
            </w:r>
          </w:p>
        </w:tc>
        <w:tc>
          <w:tcPr>
            <w:tcW w:type="pct" w:w="25%"/>
          </w:tcPr>
          <w:p>
            <w:pPr>
              <w:jc w:val="right"/>
            </w:pPr>
            <w:r>
              <w:rPr>
                <w:b/>
                <w:bCs/>
              </w:rPr>
              <w:t xml:space="preserve">9.004.650.000</w:t>
            </w:r>
          </w:p>
        </w:tc>
      </w:tr>
      <w:tr>
        <w:tc>
          <w:tcPr>
            <w:tcW w:type="pct" w:w="50%"/>
          </w:tcPr>
          <w:p>
            <w:pPr>
              <w:jc w:val="left"/>
            </w:pPr>
            <w:r>
              <w:rPr>
                <w:b w:val="false"/>
                <w:bCs w:val="false"/>
              </w:rPr>
              <w:t xml:space="preserve">Beban penjualan</w:t>
            </w:r>
          </w:p>
        </w:tc>
        <w:tc>
          <w:tcPr>
            <w:tcW w:type="pct" w:w="25%"/>
          </w:tcPr>
          <w:p>
            <w:pPr>
              <w:jc w:val="right"/>
            </w:pPr>
            <w:r>
              <w:rPr>
                <w:b w:val="false"/>
                <w:bCs w:val="false"/>
              </w:rPr>
              <w:t xml:space="preserve">2.210.400.000</w:t>
            </w:r>
          </w:p>
        </w:tc>
        <w:tc>
          <w:tcPr>
            <w:tcW w:type="pct" w:w="25%"/>
          </w:tcPr>
          <w:p>
            <w:pPr>
              <w:jc w:val="right"/>
            </w:pPr>
            <w:r>
              <w:rPr>
                <w:b w:val="false"/>
                <w:bCs w:val="false"/>
              </w:rPr>
              <w:t xml:space="preserve">2.635.800.000</w:t>
            </w:r>
          </w:p>
        </w:tc>
      </w:tr>
      <w:tr>
        <w:tc>
          <w:tcPr>
            <w:tcW w:type="pct" w:w="50%"/>
          </w:tcPr>
          <w:p>
            <w:pPr>
              <w:jc w:val="left"/>
            </w:pPr>
            <w:r>
              <w:rPr>
                <w:b w:val="false"/>
                <w:bCs w:val="false"/>
              </w:rPr>
              <w:t xml:space="preserve">Beban umum dan administrasi</w:t>
            </w:r>
          </w:p>
        </w:tc>
        <w:tc>
          <w:tcPr>
            <w:tcW w:type="pct" w:w="25%"/>
          </w:tcPr>
          <w:p>
            <w:pPr>
              <w:jc w:val="right"/>
            </w:pPr>
            <w:r>
              <w:rPr>
                <w:b w:val="false"/>
                <w:bCs w:val="false"/>
              </w:rPr>
              <w:t xml:space="preserve">3.132.000.000</w:t>
            </w:r>
          </w:p>
        </w:tc>
        <w:tc>
          <w:tcPr>
            <w:tcW w:type="pct" w:w="25%"/>
          </w:tcPr>
          <w:p>
            <w:pPr>
              <w:jc w:val="right"/>
            </w:pPr>
            <w:r>
              <w:rPr>
                <w:b w:val="false"/>
                <w:bCs w:val="false"/>
              </w:rPr>
              <w:t xml:space="preserve">3.514.400.000</w:t>
            </w:r>
          </w:p>
        </w:tc>
      </w:tr>
      <w:tr>
        <w:tc>
          <w:tcPr>
            <w:tcW w:type="pct" w:w="50%"/>
          </w:tcPr>
          <w:p>
            <w:pPr>
              <w:jc w:val="left"/>
            </w:pPr>
            <w:r>
              <w:rPr>
                <w:b/>
                <w:bCs/>
              </w:rPr>
              <w:t xml:space="preserve">Laba usaha</w:t>
            </w:r>
          </w:p>
        </w:tc>
        <w:tc>
          <w:tcPr>
            <w:tcW w:type="pct" w:w="25%"/>
          </w:tcPr>
          <w:p>
            <w:pPr>
              <w:jc w:val="right"/>
            </w:pPr>
            <w:r>
              <w:rPr>
                <w:b/>
                <w:bCs/>
              </w:rPr>
              <w:t xml:space="preserve">2.025.600.000</w:t>
            </w:r>
          </w:p>
        </w:tc>
        <w:tc>
          <w:tcPr>
            <w:tcW w:type="pct" w:w="25%"/>
          </w:tcPr>
          <w:p>
            <w:pPr>
              <w:jc w:val="right"/>
            </w:pPr>
            <w:r>
              <w:rPr>
                <w:b/>
                <w:bCs/>
              </w:rPr>
              <w:t xml:space="preserve">2.854.450.000</w:t>
            </w:r>
          </w:p>
        </w:tc>
      </w:tr>
      <w:tr>
        <w:tc>
          <w:tcPr>
            <w:tcW w:type="pct" w:w="50%"/>
          </w:tcPr>
          <w:p>
            <w:pPr>
              <w:jc w:val="left"/>
            </w:pPr>
            <w:r>
              <w:rPr>
                <w:b w:val="false"/>
                <w:bCs w:val="false"/>
              </w:rPr>
              <w:t xml:space="preserve">Beban bunga</w:t>
            </w:r>
          </w:p>
        </w:tc>
        <w:tc>
          <w:tcPr>
            <w:tcW w:type="pct" w:w="25%"/>
          </w:tcPr>
          <w:p>
            <w:pPr>
              <w:jc w:val="right"/>
            </w:pPr>
            <w:r>
              <w:rPr>
                <w:b w:val="false"/>
                <w:bCs w:val="false"/>
              </w:rPr>
              <w:t xml:space="preserve">385.200.000</w:t>
            </w:r>
          </w:p>
        </w:tc>
        <w:tc>
          <w:tcPr>
            <w:tcW w:type="pct" w:w="25%"/>
          </w:tcPr>
          <w:p>
            <w:pPr>
              <w:jc w:val="right"/>
            </w:pPr>
            <w:r>
              <w:rPr>
                <w:b w:val="false"/>
                <w:bCs w:val="false"/>
              </w:rPr>
              <w:t xml:space="preserve">412.700.000</w:t>
            </w:r>
          </w:p>
        </w:tc>
      </w:tr>
      <w:tr>
        <w:tc>
          <w:tcPr>
            <w:tcW w:type="pct" w:w="50%"/>
          </w:tcPr>
          <w:p>
            <w:pPr>
              <w:jc w:val="left"/>
            </w:pPr>
            <w:r>
              <w:rPr>
                <w:b w:val="false"/>
                <w:bCs w:val="false"/>
              </w:rPr>
              <w:t xml:space="preserve">Pendapatan lain-lain</w:t>
            </w:r>
          </w:p>
        </w:tc>
        <w:tc>
          <w:tcPr>
            <w:tcW w:type="pct" w:w="25%"/>
          </w:tcPr>
          <w:p>
            <w:pPr>
              <w:jc w:val="right"/>
            </w:pPr>
            <w:r>
              <w:rPr>
                <w:b w:val="false"/>
                <w:bCs w:val="false"/>
              </w:rPr>
              <w:t xml:space="preserve">96.400.000</w:t>
            </w:r>
          </w:p>
        </w:tc>
        <w:tc>
          <w:tcPr>
            <w:tcW w:type="pct" w:w="25%"/>
          </w:tcPr>
          <w:p>
            <w:pPr>
              <w:jc w:val="right"/>
            </w:pPr>
            <w:r>
              <w:rPr>
                <w:b w:val="false"/>
                <w:bCs w:val="false"/>
              </w:rPr>
              <w:t xml:space="preserve">143.250.000</w:t>
            </w:r>
          </w:p>
        </w:tc>
      </w:tr>
      <w:tr>
        <w:tc>
          <w:tcPr>
            <w:tcW w:type="pct" w:w="50%"/>
          </w:tcPr>
          <w:p>
            <w:pPr>
              <w:jc w:val="left"/>
            </w:pPr>
            <w:r>
              <w:rPr>
                <w:b/>
                <w:bCs/>
              </w:rPr>
              <w:t xml:space="preserve">Laba sebelum pajak</w:t>
            </w:r>
          </w:p>
        </w:tc>
        <w:tc>
          <w:tcPr>
            <w:tcW w:type="pct" w:w="25%"/>
          </w:tcPr>
          <w:p>
            <w:pPr>
              <w:jc w:val="right"/>
            </w:pPr>
            <w:r>
              <w:rPr>
                <w:b/>
                <w:bCs/>
              </w:rPr>
              <w:t xml:space="preserve">1.736.800.000</w:t>
            </w:r>
          </w:p>
        </w:tc>
        <w:tc>
          <w:tcPr>
            <w:tcW w:type="pct" w:w="25%"/>
          </w:tcPr>
          <w:p>
            <w:pPr>
              <w:jc w:val="right"/>
            </w:pPr>
            <w:r>
              <w:rPr>
                <w:b/>
                <w:bCs/>
              </w:rPr>
              <w:t xml:space="preserve">2.585.000.000</w:t>
            </w:r>
          </w:p>
        </w:tc>
      </w:tr>
      <w:tr>
        <w:tc>
          <w:tcPr>
            <w:tcW w:type="pct" w:w="50%"/>
          </w:tcPr>
          <w:p>
            <w:pPr>
              <w:jc w:val="left"/>
            </w:pPr>
            <w:r>
              <w:rPr>
                <w:b w:val="false"/>
                <w:bCs w:val="false"/>
              </w:rPr>
              <w:t xml:space="preserve">Beban pajak penghasilan</w:t>
            </w:r>
          </w:p>
        </w:tc>
        <w:tc>
          <w:tcPr>
            <w:tcW w:type="pct" w:w="25%"/>
          </w:tcPr>
          <w:p>
            <w:pPr>
              <w:jc w:val="right"/>
            </w:pPr>
            <w:r>
              <w:rPr>
                <w:b w:val="false"/>
                <w:bCs w:val="false"/>
              </w:rPr>
              <w:t xml:space="preserve">382.096.000</w:t>
            </w:r>
          </w:p>
        </w:tc>
        <w:tc>
          <w:tcPr>
            <w:tcW w:type="pct" w:w="25%"/>
          </w:tcPr>
          <w:p>
            <w:pPr>
              <w:jc w:val="right"/>
            </w:pPr>
            <w:r>
              <w:rPr>
                <w:b w:val="false"/>
                <w:bCs w:val="false"/>
              </w:rPr>
              <w:t xml:space="preserve">568.700.000</w:t>
            </w:r>
          </w:p>
        </w:tc>
      </w:tr>
      <w:tr>
        <w:tc>
          <w:tcPr>
            <w:tcW w:type="pct" w:w="50%"/>
          </w:tcPr>
          <w:p>
            <w:pPr>
              <w:jc w:val="left"/>
            </w:pPr>
            <w:r>
              <w:rPr>
                <w:b/>
                <w:bCs/>
              </w:rPr>
              <w:t xml:space="preserve">Laba bersih tahun berjalan</w:t>
            </w:r>
          </w:p>
        </w:tc>
        <w:tc>
          <w:tcPr>
            <w:tcW w:type="pct" w:w="25%"/>
          </w:tcPr>
          <w:p>
            <w:pPr>
              <w:jc w:val="right"/>
            </w:pPr>
            <w:r>
              <w:rPr>
                <w:b/>
                <w:bCs/>
              </w:rPr>
              <w:t xml:space="preserve">1.354.704.000</w:t>
            </w:r>
          </w:p>
        </w:tc>
        <w:tc>
          <w:tcPr>
            <w:tcW w:type="pct" w:w="25%"/>
          </w:tcPr>
          <w:p>
            <w:pPr>
              <w:jc w:val="right"/>
            </w:pPr>
            <w:r>
              <w:rPr>
                <w:b/>
                <w:bCs/>
              </w:rPr>
              <w:t xml:space="preserve">2.016.300.000</w:t>
            </w:r>
          </w:p>
        </w:tc>
      </w:tr>
    </w:tbl>
    <w:p>
      <w:r>
        <w:rPr>
          <w:b w:val="false"/>
          <w:bCs w:val="false"/>
        </w:rPr>
        <w:t xml:space="preserve"/>
      </w:r>
    </w:p>
    <w:p>
      <w:r>
        <w:rPr>
          <w:b w:val="false"/>
          <w:bCs w:val="false"/>
        </w:rPr>
        <w:t xml:space="preserve">Beban pajak penghasilan tahun 2024 sebesar Rp 568.700.000 setara dengan tarif efektif yang sama dengan tahun sebelumnya, karena tidak terdapat koreksi fiskal yang signifikan. Beban bunga naik seiring penarikan fasilitas investasi pada semester kedua.</w:t>
      </w:r>
    </w:p>
    <w:p>
      <w:r>
        <w:br w:type="page"/>
      </w:r>
    </w:p>
    <w:p>
      <w:pPr>
        <w:pStyle w:val="Heading2"/>
      </w:pPr>
      <w:r>
        <w:t xml:space="preserve">Posisi Kas dan Arus Kas</w:t>
      </w:r>
    </w:p>
    <w:p>
      <w:r>
        <w:rPr>
          <w:b w:val="false"/>
          <w:bCs w:val="false"/>
        </w:rPr>
        <w:t xml:space="preserve">Tabel berikut menyajikan posisi kas dan ikhtisar arus kas Perseroan. Angka dalam tanda kurung menunjukkan arus kas keluar.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tcPr>
          <w:p>
            <w:pPr>
              <w:jc w:val="left"/>
            </w:pPr>
            <w:r>
              <w:rPr>
                <w:b/>
                <w:bCs/>
              </w:rPr>
              <w:t xml:space="preserve">Uraian</w:t>
            </w:r>
          </w:p>
        </w:tc>
        <w:tc>
          <w:tcPr>
            <w:tcW w:type="pct" w:w="25%"/>
          </w:tcPr>
          <w:p>
            <w:pPr>
              <w:jc w:val="right"/>
            </w:pPr>
            <w:r>
              <w:rPr>
                <w:b/>
                <w:bCs/>
              </w:rPr>
              <w:t xml:space="preserve">2023</w:t>
            </w:r>
          </w:p>
        </w:tc>
        <w:tc>
          <w:tcPr>
            <w:tcW w:type="pct" w:w="25%"/>
          </w:tcPr>
          <w:p>
            <w:pPr>
              <w:jc w:val="right"/>
            </w:pPr>
            <w:r>
              <w:rPr>
                <w:b/>
                <w:bCs/>
              </w:rPr>
              <w:t xml:space="preserve">2024</w:t>
            </w:r>
          </w:p>
        </w:tc>
      </w:tr>
      <w:tr>
        <w:tc>
          <w:tcPr>
            <w:tcW w:type="pct" w:w="50%"/>
          </w:tcPr>
          <w:p>
            <w:pPr>
              <w:jc w:val="left"/>
            </w:pPr>
            <w:r>
              <w:rPr>
                <w:b w:val="false"/>
                <w:bCs w:val="false"/>
              </w:rPr>
              <w:t xml:space="preserve">Kas dan setara kas awal tahun</w:t>
            </w:r>
          </w:p>
        </w:tc>
        <w:tc>
          <w:tcPr>
            <w:tcW w:type="pct" w:w="25%"/>
          </w:tcPr>
          <w:p>
            <w:pPr>
              <w:jc w:val="right"/>
            </w:pPr>
            <w:r>
              <w:rPr>
                <w:b w:val="false"/>
                <w:bCs w:val="false"/>
              </w:rPr>
              <w:t xml:space="preserve">1.120.000.000</w:t>
            </w:r>
          </w:p>
        </w:tc>
        <w:tc>
          <w:tcPr>
            <w:tcW w:type="pct" w:w="25%"/>
          </w:tcPr>
          <w:p>
            <w:pPr>
              <w:jc w:val="right"/>
            </w:pPr>
            <w:r>
              <w:rPr>
                <w:b w:val="false"/>
                <w:bCs w:val="false"/>
              </w:rPr>
              <w:t xml:space="preserve">1.586.500.000</w:t>
            </w:r>
          </w:p>
        </w:tc>
      </w:tr>
      <w:tr>
        <w:tc>
          <w:tcPr>
            <w:tcW w:type="pct" w:w="50%"/>
          </w:tcPr>
          <w:p>
            <w:pPr>
              <w:jc w:val="left"/>
            </w:pPr>
            <w:r>
              <w:rPr>
                <w:b w:val="false"/>
                <w:bCs w:val="false"/>
              </w:rPr>
              <w:t xml:space="preserve">Arus kas dari aktivitas operasi</w:t>
            </w:r>
          </w:p>
        </w:tc>
        <w:tc>
          <w:tcPr>
            <w:tcW w:type="pct" w:w="25%"/>
          </w:tcPr>
          <w:p>
            <w:pPr>
              <w:jc w:val="right"/>
            </w:pPr>
            <w:r>
              <w:rPr>
                <w:b w:val="false"/>
                <w:bCs w:val="false"/>
              </w:rPr>
              <w:t xml:space="preserve">1.842.300.000</w:t>
            </w:r>
          </w:p>
        </w:tc>
        <w:tc>
          <w:tcPr>
            <w:tcW w:type="pct" w:w="25%"/>
          </w:tcPr>
          <w:p>
            <w:pPr>
              <w:jc w:val="right"/>
            </w:pPr>
            <w:r>
              <w:rPr>
                <w:b w:val="false"/>
                <w:bCs w:val="false"/>
              </w:rPr>
              <w:t xml:space="preserve">2.418.900.000</w:t>
            </w:r>
          </w:p>
        </w:tc>
      </w:tr>
      <w:tr>
        <w:tc>
          <w:tcPr>
            <w:tcW w:type="pct" w:w="50%"/>
          </w:tcPr>
          <w:p>
            <w:pPr>
              <w:jc w:val="left"/>
            </w:pPr>
            <w:r>
              <w:rPr>
                <w:b w:val="false"/>
                <w:bCs w:val="false"/>
              </w:rPr>
              <w:t xml:space="preserve">Arus kas dari aktivitas investasi</w:t>
            </w:r>
          </w:p>
        </w:tc>
        <w:tc>
          <w:tcPr>
            <w:tcW w:type="pct" w:w="25%"/>
          </w:tcPr>
          <w:p>
            <w:pPr>
              <w:jc w:val="right"/>
            </w:pPr>
            <w:r>
              <w:rPr>
                <w:b w:val="false"/>
                <w:bCs w:val="false"/>
              </w:rPr>
              <w:t xml:space="preserve">(985.400.000)</w:t>
            </w:r>
          </w:p>
        </w:tc>
        <w:tc>
          <w:tcPr>
            <w:tcW w:type="pct" w:w="25%"/>
          </w:tcPr>
          <w:p>
            <w:pPr>
              <w:jc w:val="right"/>
            </w:pPr>
            <w:r>
              <w:rPr>
                <w:b w:val="false"/>
                <w:bCs w:val="false"/>
              </w:rPr>
              <w:t xml:space="preserve">(1.312.600.000)</w:t>
            </w:r>
          </w:p>
        </w:tc>
      </w:tr>
      <w:tr>
        <w:tc>
          <w:tcPr>
            <w:tcW w:type="pct" w:w="50%"/>
          </w:tcPr>
          <w:p>
            <w:pPr>
              <w:jc w:val="left"/>
            </w:pPr>
            <w:r>
              <w:rPr>
                <w:b w:val="false"/>
                <w:bCs w:val="false"/>
              </w:rPr>
              <w:t xml:space="preserve">Arus kas dari aktivitas pendanaan</w:t>
            </w:r>
          </w:p>
        </w:tc>
        <w:tc>
          <w:tcPr>
            <w:tcW w:type="pct" w:w="25%"/>
          </w:tcPr>
          <w:p>
            <w:pPr>
              <w:jc w:val="right"/>
            </w:pPr>
            <w:r>
              <w:rPr>
                <w:b w:val="false"/>
                <w:bCs w:val="false"/>
              </w:rPr>
              <w:t xml:space="preserve">(390.400.000)</w:t>
            </w:r>
          </w:p>
        </w:tc>
        <w:tc>
          <w:tcPr>
            <w:tcW w:type="pct" w:w="25%"/>
          </w:tcPr>
          <w:p>
            <w:pPr>
              <w:jc w:val="right"/>
            </w:pPr>
            <w:r>
              <w:rPr>
                <w:b w:val="false"/>
                <w:bCs w:val="false"/>
              </w:rPr>
              <w:t xml:space="preserve">(342.800.000)</w:t>
            </w:r>
          </w:p>
        </w:tc>
      </w:tr>
      <w:tr>
        <w:tc>
          <w:tcPr>
            <w:tcW w:type="pct" w:w="50%"/>
          </w:tcPr>
          <w:p>
            <w:pPr>
              <w:jc w:val="left"/>
            </w:pPr>
            <w:r>
              <w:rPr>
                <w:b w:val="false"/>
                <w:bCs w:val="false"/>
              </w:rPr>
              <w:t xml:space="preserve">Kas dan setara kas akhir tahun</w:t>
            </w:r>
          </w:p>
        </w:tc>
        <w:tc>
          <w:tcPr>
            <w:tcW w:type="pct" w:w="25%"/>
          </w:tcPr>
          <w:p>
            <w:pPr>
              <w:jc w:val="right"/>
            </w:pPr>
            <w:r>
              <w:rPr>
                <w:b w:val="false"/>
                <w:bCs w:val="false"/>
              </w:rPr>
              <w:t xml:space="preserve">1.586.500.000</w:t>
            </w:r>
          </w:p>
        </w:tc>
        <w:tc>
          <w:tcPr>
            <w:tcW w:type="pct" w:w="25%"/>
          </w:tcPr>
          <w:p>
            <w:pPr>
              <w:jc w:val="right"/>
            </w:pPr>
            <w:r>
              <w:rPr>
                <w:b w:val="false"/>
                <w:bCs w:val="false"/>
              </w:rPr>
              <w:t xml:space="preserve">2.350.000.000</w:t>
            </w:r>
          </w:p>
        </w:tc>
      </w:tr>
    </w:tbl>
    <w:p>
      <w:r>
        <w:rPr>
          <w:b w:val="false"/>
          <w:bCs w:val="false"/>
        </w:rPr>
        <w:t xml:space="preserve"/>
      </w:r>
    </w:p>
    <w:p>
      <w:r>
        <w:rPr>
          <w:b w:val="false"/>
          <w:bCs w:val="false"/>
        </w:rPr>
        <w:t xml:space="preserve">Dengan demikian kas dan setara kas per 31 Desember 2024 sebesar Rp 2,35 miliar, naik dibandingkan posisi awal tahun. Belanja modal sepanjang tahun 2024 mencapai Rp 1.180.000.000, terutama untuk renovasi gerai dan pengadaan sistem kasir terpadu.</w:t>
      </w:r>
    </w:p>
    <w:p>
      <w:r>
        <w:br w:type="page"/>
      </w:r>
    </w:p>
    <w:p>
      <w:pPr>
        <w:pStyle w:val="Heading2"/>
      </w:pPr>
      <w:r>
        <w:t xml:space="preserve">Catatan Operasional</w:t>
      </w:r>
    </w:p>
    <w:p>
      <w:r>
        <w:rPr>
          <w:b w:val="false"/>
          <w:bCs w:val="false"/>
        </w:rPr>
        <w:t xml:space="preserve">Rasio lancar Perseroan per 31 Desember 2024 tercatat 1,84 kali, masih di atas ambang yang disyaratkan dalam perjanjian kredit. Manajemen menilai likuiditas jangka pendek berada pada tingkat yang memadai untuk membiayai kebutuhan modal kerja tahun 2025.</w:t>
      </w:r>
    </w:p>
    <w:p>
      <w:r>
        <w:rPr>
          <w:b w:val="false"/>
          <w:bCs w:val="false"/>
        </w:rPr>
        <w:t xml:space="preserve">Saldo utang bank jangka panjang per 31 Desember 2024 sebesar Rp 3.420.000.000, sedangkan dividen tunai yang dibagikan pada tahun 2024 sebesar Rp 250.000.000 sesuai keputusan Rapat Umum Pemegang Saham Tahunan.</w:t>
      </w:r>
    </w:p>
    <w:p>
      <w:r>
        <w:rPr>
          <w:b w:val="false"/>
          <w:bCs w:val="false"/>
        </w:rPr>
        <w:t xml:space="preserve">Tidak terdapat peristiwa penting setelah tanggal pelaporan yang berdampak material terhadap laporan keuangan Perseroan. Seluruh angka dalam dokumen ini adalah data uji sintetis dan tidak menggambarkan entitas nyata mana pun.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Kutipan Laporan Tahunan 2024</dc:title>
  <dc:creator>agentforge-eval</dc:creator>
  <dc:description>Dokumen uji sintetis</dc:description>
  <cp:lastModifiedBy>agentforge-eval</cp:lastModifiedBy>
  <cp:revision>1</cp:revision>
  <dcterms:created xsi:type="dcterms:W3CDTF">2025-01-01T00:00:00.000Z</dcterms:created>
  <dcterms:modified xsi:type="dcterms:W3CDTF">2025-01-01T00:00:00.000Z</dcterms:modified>
</cp:coreProperties>
</file>

<file path=docProps/custom.xml><?xml version="1.0" encoding="utf-8"?>
<Properties xmlns="http://schemas.openxmlformats.org/officeDocument/2006/custom-properties" xmlns:vt="http://schemas.openxmlformats.org/officeDocument/2006/docPropsVTypes"/>
</file>