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Kaio Henrique Gomes Souza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 5- Matutino.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Senac-GO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Passo a passo para registrar seu jogo eletrônico: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Entenda o que deve ser protegido legalmente em seu jogo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processo de criação de um jogo leva várias etapas, cada uma com diferentes características de produção que formam um todo. De criação de roteiro e desenho de personagens à arquitetura de cenários e linguagens de programação, cada etapa é protegida por um tipo de registro diferente. Em suma, pode se dividir esses registros em duas categorias: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Direitos autorais para obras artísticas: Lei 9.610/1998 (Artigo 7, XII e seguintes), para registro de marcas, nome, desenhos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Direitos autorais para softwares: Lei 9.609/1998.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Pesquise para verificar se algo do projeto já não foi registrado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Tomando a marca como exemplo, é possível que duas ou mais pessoas tenham pensado no mesmo nome para um jogo semelhante. Pesquise por pedido de registro no site do Instituto Nacional da Propriedade Industrial (INPI) que é o órgão federal responsável pelos registros e patentes.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Dê início ao pedido de registro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a documentação. Existem várias informações necessárias para se juntar antes de dar início ao processo de registro. No caso de registro de software, vale ressaltar que é importante registrar as partes essenciais do seu projeto para proteger e confirmar sua autoria em caso de disputa legal. Tanto a documentação formal quanto a técnica para esse tipo de registro estão disponíveis para consulta no site do INPI. Pague as taxas necessárias para cada registro, o custo depende de quanto do projeto vai ser registrado, lembrando que pessoas físicas e microempresas têm desconto. Feito isso, leve a documentação para uma das unidades da INPI ou mande por correio sem se esquecer de acompanhar seu pedido de registro, outras documentações podem ser necessárias e caso não sejam enviadas o requerimento pode ser cancelado.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