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 xml:space="preserve">                            Introduction to E-Government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Group 5</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Members: Emal Ismail, Vidusha Silva</w:t>
      </w:r>
      <w:r w:rsidDel="00000000" w:rsidR="00000000" w:rsidRPr="00000000">
        <w:rPr>
          <w:rtl w:val="0"/>
        </w:rPr>
        <w:br w:type="textWrapping"/>
        <w:br w:type="textWrapping"/>
        <w:br w:type="textWrapping"/>
        <w:t xml:space="preserve">Let's consider a hypothetical project called "Smart City Data Integration System" aimed at integrating various data sources within a city to enable efficient management and provision of public services. The project aims to improve decision-making, optimize resource allocation, and enhance citizen experience. Interoperability is relevant in this project for the following reasons: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Improved Data Sharing: Interoperability ensures that different systems and data sources across various departments and agencies within the city can seamlessly exchange and share data. This enables a holistic view of the city's operations and facilitates data-driven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Service Integration: Interoperability allows different public service providers to integrate their systems and data, enabling coordinated and streamlined service delivery. For example, emergency services, transportation authorities, and healthcare providers can share relevant data to optimize responses during emergencies.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Citizen-Centric Approach: Interoperability ensures that citizens can access and interact with public services through a unified interface or platform. This eliminates the need for multiple logins and reduces the complexity of navigating through different systems, enhancing citizen experience and convenience.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demonstrate the needs for interoperability in this project, we can refer to the four levels of interoperability outlined in the European Interoperability Framework (EIF) 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Technical Interoperability: At this level, standards and protocols are needed to enable seamless communication and data exchange between different systems and platforms. For example, standardized APIs (Application Programming Interfaces) can be used to facilitate data sharing between various city departments and service providers.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Semantic Interoperability: This level focuses on ensuring that data exchanged between systems can be understood and interpreted accurately. It involves the use of common data models, taxonomies, and ontologies to provide shared meanings and enable effective data integration. For instance, adopting standardized data models like the Open311 standard for reporting and managing citizen requests can ensure semantic interoperability in the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Organizational Interoperability: This level addresses the coordination and alignment of business processes and workflows between different organizations involved in the project. It requires establishing agreements, protocols, and governance frameworks to enable effective collaboration. For example, establishing data sharing agreements and defining data access policies among different city departments and service providers would enhance organizational interoperability.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Legal Interoperability: This level ensures compliance with legal and regulatory requirements when exchanging and using data. It involves addressing issues related to data protection, privacy, security, and intellectual property rights. Implementing privacy-enhancing technologies, data anonymization techniques, and adhering to relevant data protection regulations would contribute to legal interoperability in the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implement interoperability in the "Smart City Data Integration System" project, relevant interoperability and standards building blocks could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Standardized APIs: These enable technical interoperability by providing a common interface for data exchange between systems. They allow different applications to communicate and share data seamlessly.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Common Data Models: By adopting common data models, the project can achieve semantic interoperability. These models define the structure and semantics of data elements, ensuring a shared understanding across different systems.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Interoperability Frameworks: These frameworks provide guidance and best practices for achieving organizational interoperability. They outline governance mechanisms, interoperability agreements, and coordination mechanisms to ensure effective collaboration between various stakeholders.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development and maintenance of these building blocks would typically involve a collaborative effort between the project team, relevant government agencies, standards organizations, and industry partners. Standards organizations like the International Organization for Standardization (ISO), World Wide Web Consortium (W3C), and Open Geospatial Consortium (OGC) often contribute to the development and maintenance of technical and semantic.</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