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01 – Entitäten, Attribute, Schlüssel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1 Datenmodellierung · ca. 30 Minuten · OneNote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429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Nonna will einen Blog mit Datenbank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„Mein Blog aus der 11. Klasse ist schön – aber jetzt sollen Leser kommentieren können, und ich will meine Rezepte ordentlich speichern. Ihr habt das doch für Mario gemacht, oder?“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Aus Nonnas Beschreibung die Entitäten, ihre Attribute und die Primärschlüssel herausfinden – genau wie auf den Folien mit Luigis Zettel für Mario.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Nonnas Text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8E1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4E9C"/>
                <w:sz w:val="22"/>
                <w:szCs w:val="22"/>
              </w:rPr>
              <w:t xml:space="preserve">Nonna erzählt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Ich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veröffentliche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Rezepte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Jedes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Rezept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hat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Titel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Zubereitungsdauer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Schwierigkeit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Veröffentlichungsdatum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Entwürfe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haben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noch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keins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gehört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zu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genau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Kategorie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</w:t>
            </w: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2"/>
                <w:szCs w:val="22"/>
              </w:rPr>
              <w:t>Vorspeise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2"/>
                <w:szCs w:val="22"/>
              </w:rPr>
              <w:t>Hauptgericht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2"/>
                <w:szCs w:val="22"/>
              </w:rPr>
              <w:t>Dessert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).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Für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jedes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Rezept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brauche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ich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Zutaten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mit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Menge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–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Zutat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hat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Namen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eine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Einheit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Leser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melden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sich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mit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Vorname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Nachname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E-Mail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an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schreiben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>Kommentare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mit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Text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color w:val="0070C0"/>
                <w:sz w:val="22"/>
                <w:szCs w:val="22"/>
              </w:rPr>
              <w:t>Sternen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.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Markieren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0120–0130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Markiere in OneNote alle Hauptwörter. Entscheide für jedes: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Entität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(rot) oder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Attribut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(blau)? Schreibe zwei Hauptwörter auf, die weder noch sind, und begründe.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Vorspeise und Dessert sind weder eigene Entitätstypen noch Attribute.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Sie sind Werte des Attributs bezeichnung der Kategorie.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Entitäten und Attribute in eine Tabelle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0110, 0130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Trage die Entitäten mit ihren Attributen ein. Schreibweise wie in der Datenbank: klein, ohne Leerzeichen und Umlaute.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Entität</w:t>
            </w:r>
          </w:p>
        </w:tc>
        <w:tc>
          <w:tcPr>
            <w:tcW w:type="dxa" w:w="66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Attribute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rezept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titel, zubereitungsdauer, schwierigkeit, veroeffentlichungsdatum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kategorie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bezeichnung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zutat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name, einheit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leser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vorname, nachname, email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kommentar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text, sterne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Wohin gehört die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Menge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 Begründe in einem Satz.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Die Menge gehört zur Verbindung von Rezept und Zutat, weil dieselbe Zutat je nach Rezept in einer anderen Menge gebraucht wird.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Primärschlüssel festlegen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0140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Ergänze für jede Entität einen Primärschlüssel (Name: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tabelle_id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Warum ist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kein guter Primärschlüssel für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leser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 Nutze die drei Prüffragen der Folie.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Primärschlüssel: rezept_id, kategorie_id, zutat_id, leser_id, kommentar_id (jeweils INT PRIMARY KEY AUTO_INCREMENT).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Immer eindeutig? Nur mit einer Regel wie UNIQUE; sonst sind doppelte E-Mail-Adressen möglich.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Nie leer? Laut Text gehört E-Mail zur Anmeldung. Fehlende oder leere Eingaben müssen geprüft werden.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Ändert sich nie? Nein, die E-Mail-Adresse kann sich ändern. Deshalb ist die feste leser_id besser als Primärschlüssel.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finde in einem Kundentext Entitäten und Attribute.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weiß, warum die Menge zu keiner Entität allein passt.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Jede Entität hat einen künstlichen Primärschlüssel, und ich kann ihn begründen.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Nonna möchte ihre Rezepte zusätzlich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Sammlungen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einordnen (z. B. „Weihnachten“, „Schnell gemacht“). Ein Rezept kann in mehreren Sammlungen stehen. Ergänze Entität und Attribute.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>Neue Entität: sammlung. Attribute: sammlung_id (Primärschlüssel), bezeichnung. Ein Rezept kann mehreren Sammlungen zugeordnet sein (N:M).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Trage deine Tabelle aus Aufgabe 2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datenbank/uebungen.md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ein (Abschnitt „Übung 01“) und sichere sie: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01: Nonnas Entitäten und Attribute"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01 Entitäten und Attribute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Ü01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21f4a68507d29d2ec927a401188b5e3f2a6e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01 Entitäten und Attribute</dc:title>
  <dc:creator>TAI12 Anwendungsentwicklung</dc:creator>
  <cp:lastModifiedBy>Un-named</cp:lastModifiedBy>
  <cp:revision>1</cp:revision>
  <dcterms:created xsi:type="dcterms:W3CDTF">2026-10-06T21:35:58.820Z</dcterms:created>
  <dcterms:modified xsi:type="dcterms:W3CDTF">2026-10-06T21:35:58.820Z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