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5329"/>
        <w:gridCol w:w="3118"/>
      </w:tblGrid>
      <w:tr w:rsidR="008A4D92">
        <w:tc>
          <w:tcPr>
            <w:tcW w:w="2665" w:type="dxa"/>
            <w:tcBorders>
              <w:top w:val="nil"/>
              <w:left w:val="nil"/>
              <w:bottom w:val="single" w:sz="10" w:space="0" w:color="B88A2E"/>
              <w:right w:val="nil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A4D92" w:rsidRDefault="00F17AF1">
            <w:pPr>
              <w:spacing w:after="0" w:line="240" w:lineRule="auto"/>
            </w:pPr>
            <w:proofErr w:type="spellStart"/>
            <w:r>
              <w:rPr>
                <w:b/>
                <w:color w:val="B88A2E"/>
                <w:sz w:val="15"/>
              </w:rPr>
              <w:t>TrialAssure</w:t>
            </w:r>
            <w:proofErr w:type="spellEnd"/>
            <w:r w:rsidR="00000000">
              <w:rPr>
                <w:b/>
                <w:color w:val="B88A2E"/>
                <w:sz w:val="15"/>
              </w:rPr>
              <w:t>, INC.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0B2E4F"/>
                <w:sz w:val="44"/>
              </w:rPr>
              <w:t>IND HIVE</w:t>
            </w:r>
          </w:p>
          <w:p w:rsidR="008A4D92" w:rsidRDefault="00000000">
            <w:pPr>
              <w:spacing w:after="0" w:line="240" w:lineRule="auto"/>
            </w:pPr>
            <w:r>
              <w:rPr>
                <w:i/>
                <w:color w:val="55606E"/>
                <w:sz w:val="15"/>
              </w:rPr>
              <w:t>MVP One-Pager · v0.1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10" w:space="0" w:color="B88A2E"/>
              <w:right w:val="nil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A4D92" w:rsidRDefault="00000000">
            <w:pPr>
              <w:spacing w:after="0" w:line="240" w:lineRule="auto"/>
              <w:jc w:val="center"/>
            </w:pPr>
            <w:r>
              <w:rPr>
                <w:b/>
                <w:color w:val="0B2E4F"/>
                <w:sz w:val="28"/>
              </w:rPr>
              <w:t>Ship the First IND Package in 8 Weeks</w:t>
            </w:r>
          </w:p>
          <w:p w:rsidR="008A4D92" w:rsidRDefault="00000000">
            <w:pPr>
              <w:spacing w:after="0" w:line="240" w:lineRule="auto"/>
              <w:jc w:val="center"/>
            </w:pPr>
            <w:r>
              <w:rPr>
                <w:i/>
                <w:color w:val="1F2937"/>
                <w:sz w:val="18"/>
              </w:rPr>
              <w:t>M1 + M4 + IB · Word + OneDrive + SharePoint · sentence-level Part 11 lineage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10" w:space="0" w:color="B88A2E"/>
              <w:right w:val="nil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A4D92" w:rsidRDefault="00000000">
            <w:pPr>
              <w:spacing w:after="0" w:line="240" w:lineRule="auto"/>
              <w:jc w:val="right"/>
            </w:pPr>
            <w:r>
              <w:rPr>
                <w:b/>
                <w:color w:val="55606E"/>
                <w:sz w:val="15"/>
              </w:rPr>
              <w:t>CONFIDENTIAL — DRAFT</w:t>
            </w:r>
          </w:p>
          <w:p w:rsidR="008A4D92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5"/>
              </w:rPr>
              <w:t>Aug 16, 2026</w:t>
            </w:r>
          </w:p>
          <w:p w:rsidR="008A4D92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5"/>
              </w:rPr>
              <w:t>Page 1 of 1</w:t>
            </w:r>
          </w:p>
          <w:p w:rsidR="008A4D92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5"/>
              </w:rPr>
              <w:t xml:space="preserve">Pages: </w:t>
            </w:r>
            <w:r>
              <w:rPr>
                <w:color w:val="1F2937"/>
                <w:sz w:val="15"/>
              </w:rPr>
              <w:fldChar w:fldCharType="begin"/>
            </w:r>
            <w:r>
              <w:rPr>
                <w:color w:val="1F2937"/>
                <w:sz w:val="15"/>
              </w:rPr>
              <w:instrText xml:space="preserve"> PAGE </w:instrText>
            </w:r>
            <w:r>
              <w:rPr>
                <w:color w:val="1F2937"/>
                <w:sz w:val="15"/>
              </w:rPr>
              <w:fldChar w:fldCharType="separate"/>
            </w:r>
            <w:r>
              <w:rPr>
                <w:color w:val="1F2937"/>
                <w:sz w:val="15"/>
              </w:rPr>
              <w:t>1</w:t>
            </w:r>
            <w:r>
              <w:rPr>
                <w:color w:val="1F2937"/>
                <w:sz w:val="15"/>
              </w:rPr>
              <w:fldChar w:fldCharType="end"/>
            </w:r>
          </w:p>
        </w:tc>
      </w:tr>
    </w:tbl>
    <w:p w:rsidR="008A4D92" w:rsidRDefault="008A4D92">
      <w:pPr>
        <w:spacing w:after="0"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02"/>
        <w:gridCol w:w="3702"/>
        <w:gridCol w:w="3702"/>
      </w:tblGrid>
      <w:tr w:rsidR="008A4D92">
        <w:tc>
          <w:tcPr>
            <w:tcW w:w="3702" w:type="dxa"/>
            <w:tcBorders>
              <w:top w:val="single" w:sz="4" w:space="0" w:color="B88A2E"/>
              <w:left w:val="single" w:sz="4" w:space="0" w:color="B88A2E"/>
              <w:bottom w:val="single" w:sz="4" w:space="0" w:color="B88A2E"/>
              <w:right w:val="single" w:sz="4" w:space="0" w:color="B88A2E"/>
            </w:tcBorders>
            <w:shd w:val="clear" w:color="auto" w:fill="F4ECD4"/>
            <w:tcMar>
              <w:top w:w="40" w:type="dxa"/>
              <w:left w:w="70" w:type="dxa"/>
              <w:bottom w:w="60" w:type="dxa"/>
              <w:right w:w="7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5"/>
              </w:rPr>
              <w:t>AGENT FOCUS</w:t>
            </w:r>
          </w:p>
          <w:p w:rsidR="008A4D92" w:rsidRDefault="00000000">
            <w:pPr>
              <w:spacing w:after="0" w:line="252" w:lineRule="auto"/>
            </w:pPr>
            <w:r>
              <w:rPr>
                <w:b/>
                <w:color w:val="0B2E4F"/>
              </w:rPr>
              <w:t>The name says it: many smart agents working in parallel.</w:t>
            </w:r>
          </w:p>
        </w:tc>
        <w:tc>
          <w:tcPr>
            <w:tcW w:w="3702" w:type="dxa"/>
            <w:tcBorders>
              <w:top w:val="single" w:sz="4" w:space="0" w:color="B88A2E"/>
              <w:left w:val="single" w:sz="4" w:space="0" w:color="B88A2E"/>
              <w:bottom w:val="single" w:sz="4" w:space="0" w:color="B88A2E"/>
              <w:right w:val="single" w:sz="4" w:space="0" w:color="B88A2E"/>
            </w:tcBorders>
            <w:shd w:val="clear" w:color="auto" w:fill="F4ECD4"/>
            <w:tcMar>
              <w:top w:w="40" w:type="dxa"/>
              <w:left w:w="70" w:type="dxa"/>
              <w:bottom w:w="60" w:type="dxa"/>
              <w:right w:w="7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5"/>
              </w:rPr>
              <w:t>COLLABORATION VIBE</w:t>
            </w:r>
          </w:p>
          <w:p w:rsidR="008A4D92" w:rsidRDefault="00000000">
            <w:pPr>
              <w:spacing w:after="0" w:line="252" w:lineRule="auto"/>
            </w:pPr>
            <w:r>
              <w:rPr>
                <w:b/>
                <w:color w:val="0B2E4F"/>
              </w:rPr>
              <w:t>A busy, efficient ecosystem gathering data from many sources.</w:t>
            </w:r>
          </w:p>
        </w:tc>
        <w:tc>
          <w:tcPr>
            <w:tcW w:w="3702" w:type="dxa"/>
            <w:tcBorders>
              <w:top w:val="single" w:sz="4" w:space="0" w:color="B88A2E"/>
              <w:left w:val="single" w:sz="4" w:space="0" w:color="B88A2E"/>
              <w:bottom w:val="single" w:sz="4" w:space="0" w:color="B88A2E"/>
              <w:right w:val="single" w:sz="4" w:space="0" w:color="B88A2E"/>
            </w:tcBorders>
            <w:shd w:val="clear" w:color="auto" w:fill="F4ECD4"/>
            <w:tcMar>
              <w:top w:w="40" w:type="dxa"/>
              <w:left w:w="70" w:type="dxa"/>
              <w:bottom w:w="60" w:type="dxa"/>
              <w:right w:w="7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5"/>
              </w:rPr>
              <w:t>MEMORABILITY</w:t>
            </w:r>
          </w:p>
          <w:p w:rsidR="008A4D92" w:rsidRDefault="00000000">
            <w:pPr>
              <w:spacing w:after="0" w:line="252" w:lineRule="auto"/>
            </w:pPr>
            <w:r>
              <w:rPr>
                <w:b/>
                <w:color w:val="0B2E4F"/>
              </w:rPr>
              <w:t>Strong visual imagery that pairs with the cast-of-agents metaphor.</w:t>
            </w:r>
          </w:p>
        </w:tc>
      </w:tr>
      <w:tr w:rsidR="008A4D92">
        <w:tc>
          <w:tcPr>
            <w:tcW w:w="3702" w:type="dxa"/>
            <w:tcBorders>
              <w:top w:val="single" w:sz="4" w:space="0" w:color="B88A2E"/>
              <w:left w:val="single" w:sz="4" w:space="0" w:color="B88A2E"/>
              <w:bottom w:val="single" w:sz="4" w:space="0" w:color="B88A2E"/>
              <w:right w:val="single" w:sz="4" w:space="0" w:color="B88A2E"/>
            </w:tcBorders>
            <w:shd w:val="clear" w:color="auto" w:fill="F4ECD4"/>
            <w:tcMar>
              <w:top w:w="40" w:type="dxa"/>
              <w:left w:w="70" w:type="dxa"/>
              <w:bottom w:w="60" w:type="dxa"/>
              <w:right w:w="70" w:type="dxa"/>
            </w:tcMar>
          </w:tcPr>
          <w:p w:rsidR="008A4D92" w:rsidRDefault="00000000">
            <w:pPr>
              <w:spacing w:after="0" w:line="252" w:lineRule="auto"/>
            </w:pPr>
            <w:r>
              <w:rPr>
                <w:color w:val="1F2937"/>
                <w:sz w:val="15"/>
              </w:rPr>
              <w:t>Maps cleanly to a typed agent cast — Ingestor, Linker, M1 Forms, M4 Nonclinical, Validator, Lineage.</w:t>
            </w:r>
          </w:p>
        </w:tc>
        <w:tc>
          <w:tcPr>
            <w:tcW w:w="3702" w:type="dxa"/>
            <w:tcBorders>
              <w:top w:val="single" w:sz="4" w:space="0" w:color="B88A2E"/>
              <w:left w:val="single" w:sz="4" w:space="0" w:color="B88A2E"/>
              <w:bottom w:val="single" w:sz="4" w:space="0" w:color="B88A2E"/>
              <w:right w:val="single" w:sz="4" w:space="0" w:color="B88A2E"/>
            </w:tcBorders>
            <w:shd w:val="clear" w:color="auto" w:fill="F4ECD4"/>
            <w:tcMar>
              <w:top w:w="40" w:type="dxa"/>
              <w:left w:w="70" w:type="dxa"/>
              <w:bottom w:w="60" w:type="dxa"/>
              <w:right w:w="70" w:type="dxa"/>
            </w:tcMar>
          </w:tcPr>
          <w:p w:rsidR="008A4D92" w:rsidRDefault="00000000">
            <w:pPr>
              <w:spacing w:after="0" w:line="252" w:lineRule="auto"/>
            </w:pPr>
            <w:r>
              <w:rPr>
                <w:color w:val="1F2937"/>
                <w:sz w:val="15"/>
              </w:rPr>
              <w:t>Readings, ELN, LIMS, OCR, ask-the-sponsor — they all 'forage' into the hive.</w:t>
            </w:r>
          </w:p>
        </w:tc>
        <w:tc>
          <w:tcPr>
            <w:tcW w:w="3702" w:type="dxa"/>
            <w:tcBorders>
              <w:top w:val="single" w:sz="4" w:space="0" w:color="B88A2E"/>
              <w:left w:val="single" w:sz="4" w:space="0" w:color="B88A2E"/>
              <w:bottom w:val="single" w:sz="4" w:space="0" w:color="B88A2E"/>
              <w:right w:val="single" w:sz="4" w:space="0" w:color="B88A2E"/>
            </w:tcBorders>
            <w:shd w:val="clear" w:color="auto" w:fill="F4ECD4"/>
            <w:tcMar>
              <w:top w:w="40" w:type="dxa"/>
              <w:left w:w="70" w:type="dxa"/>
              <w:bottom w:w="60" w:type="dxa"/>
              <w:right w:w="70" w:type="dxa"/>
            </w:tcMar>
          </w:tcPr>
          <w:p w:rsidR="008A4D92" w:rsidRDefault="00000000">
            <w:pPr>
              <w:spacing w:after="0" w:line="252" w:lineRule="auto"/>
            </w:pPr>
            <w:r>
              <w:rPr>
                <w:color w:val="1F2937"/>
                <w:sz w:val="15"/>
              </w:rPr>
              <w:t>Easy to recall in a sponsor's procurement conversation, a recruiting pitch, and a regulator-facing diagram.</w:t>
            </w:r>
          </w:p>
        </w:tc>
      </w:tr>
    </w:tbl>
    <w:p w:rsidR="008A4D92" w:rsidRDefault="008A4D92">
      <w:pPr>
        <w:spacing w:after="0"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9"/>
        <w:gridCol w:w="5997"/>
      </w:tblGrid>
      <w:tr w:rsidR="008A4D92">
        <w:tc>
          <w:tcPr>
            <w:tcW w:w="5109" w:type="dxa"/>
            <w:tcBorders>
              <w:top w:val="single" w:sz="6" w:space="0" w:color="0B2E4F"/>
              <w:left w:val="single" w:sz="6" w:space="0" w:color="0B2E4F"/>
              <w:bottom w:val="single" w:sz="6" w:space="0" w:color="0B2E4F"/>
              <w:right w:val="single" w:sz="6" w:space="0" w:color="0B2E4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D92" w:rsidRDefault="008A4D92"/>
          <w:p w:rsidR="008A4D92" w:rsidRDefault="00000000">
            <w:pPr>
              <w:spacing w:after="20" w:line="240" w:lineRule="auto"/>
            </w:pPr>
            <w:r>
              <w:rPr>
                <w:b/>
                <w:color w:val="B88A2E"/>
              </w:rPr>
              <w:t>BOTTOM LINE</w:t>
            </w:r>
          </w:p>
          <w:p w:rsidR="008A4D92" w:rsidRDefault="00000000">
            <w:pPr>
              <w:spacing w:after="80" w:line="264" w:lineRule="auto"/>
            </w:pPr>
            <w:r>
              <w:rPr>
                <w:b/>
                <w:color w:val="0B2E4F"/>
                <w:sz w:val="21"/>
              </w:rPr>
              <w:t xml:space="preserve">BUILD MVP. </w:t>
            </w:r>
            <w:r>
              <w:rPr>
                <w:color w:val="1F2937"/>
              </w:rPr>
              <w:t>Agentic authoring platform that turns raw in-vivo / CMC source data plus a sponsor record into an FDA-ready Initial IND Package on Word + OneDrive + SharePoint — with sentence-level Part 11 lineage.</w:t>
            </w:r>
          </w:p>
          <w:p w:rsidR="008A4D92" w:rsidRDefault="00000000">
            <w:pPr>
              <w:spacing w:after="40" w:line="240" w:lineRule="auto"/>
            </w:pPr>
            <w:r>
              <w:rPr>
                <w:b/>
                <w:color w:val="B88A2E"/>
              </w:rPr>
              <w:t>LOW-HANGING FRUIT — what to start with</w:t>
            </w:r>
          </w:p>
          <w:p w:rsidR="008A4D92" w:rsidRDefault="00000000">
            <w:pPr>
              <w:spacing w:after="20" w:line="259" w:lineRule="auto"/>
            </w:pPr>
            <w:r>
              <w:rPr>
                <w:b/>
                <w:color w:val="B88A2E"/>
                <w:sz w:val="16"/>
              </w:rPr>
              <w:t xml:space="preserve">•  </w:t>
            </w:r>
            <w:r>
              <w:rPr>
                <w:color w:val="1F2937"/>
                <w:sz w:val="16"/>
              </w:rPr>
              <w:t>Form FDA 1571 + 1572 auto-population from Sponsor + Protocol records. Deterministic — no LLM — so 100 % field accuracy from day one.</w:t>
            </w:r>
          </w:p>
          <w:p w:rsidR="008A4D92" w:rsidRDefault="00000000">
            <w:pPr>
              <w:spacing w:after="20" w:line="259" w:lineRule="auto"/>
            </w:pPr>
            <w:r>
              <w:rPr>
                <w:b/>
                <w:color w:val="B88A2E"/>
                <w:sz w:val="16"/>
              </w:rPr>
              <w:t xml:space="preserve">•  </w:t>
            </w:r>
            <w:r>
              <w:rPr>
                <w:color w:val="1F2937"/>
                <w:sz w:val="16"/>
              </w:rPr>
              <w:t>M4.2.3.x repeat-dose toxicology (the most rewritten doc class). Highest ROI, one report at a time.</w:t>
            </w:r>
          </w:p>
          <w:p w:rsidR="008A4D92" w:rsidRDefault="00000000">
            <w:pPr>
              <w:spacing w:after="20" w:line="259" w:lineRule="auto"/>
            </w:pPr>
            <w:r>
              <w:rPr>
                <w:b/>
                <w:color w:val="B88A2E"/>
                <w:sz w:val="16"/>
              </w:rPr>
              <w:t xml:space="preserve">•  </w:t>
            </w:r>
            <w:r>
              <w:rPr>
                <w:color w:val="1F2937"/>
                <w:sz w:val="16"/>
              </w:rPr>
              <w:t>Cover Letter + Letter of Authorization + IB templates. Low creative risk; demonstrates the platform on the easiest path first.</w:t>
            </w:r>
          </w:p>
          <w:p w:rsidR="008A4D92" w:rsidRDefault="00000000">
            <w:pPr>
              <w:spacing w:after="20" w:line="259" w:lineRule="auto"/>
            </w:pPr>
            <w:r>
              <w:rPr>
                <w:b/>
                <w:color w:val="B88A2E"/>
                <w:sz w:val="16"/>
              </w:rPr>
              <w:t xml:space="preserve">•  </w:t>
            </w:r>
            <w:r>
              <w:rPr>
                <w:color w:val="1F2937"/>
                <w:sz w:val="16"/>
              </w:rPr>
              <w:t>Ingestor + Entity Linker agents. Front-end data plumbing; once they work, every other module scales.</w:t>
            </w:r>
          </w:p>
          <w:p w:rsidR="008A4D92" w:rsidRDefault="00000000">
            <w:pPr>
              <w:spacing w:after="40" w:line="240" w:lineRule="auto"/>
            </w:pPr>
            <w:r>
              <w:rPr>
                <w:b/>
                <w:color w:val="B88A2E"/>
              </w:rPr>
              <w:t>MVP-DONE METRICS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2274"/>
            </w:tblGrid>
            <w:tr w:rsidR="008A4D92">
              <w:tc>
                <w:tcPr>
                  <w:tcW w:w="2551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0B2E4F"/>
                      <w:sz w:val="16"/>
                    </w:rPr>
                    <w:t>Time-to-IND</w:t>
                  </w:r>
                </w:p>
              </w:tc>
              <w:tc>
                <w:tcPr>
                  <w:tcW w:w="22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color w:val="1F2937"/>
                      <w:sz w:val="16"/>
                    </w:rPr>
                    <w:t>≥ 60 % reduction vs. baseline</w:t>
                  </w:r>
                </w:p>
              </w:tc>
            </w:tr>
            <w:tr w:rsidR="008A4D92">
              <w:tc>
                <w:tcPr>
                  <w:tcW w:w="2551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0B2E4F"/>
                      <w:sz w:val="16"/>
                    </w:rPr>
                    <w:t>Draft acceptance</w:t>
                  </w:r>
                </w:p>
              </w:tc>
              <w:tc>
                <w:tcPr>
                  <w:tcW w:w="22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color w:val="1F2937"/>
                      <w:sz w:val="16"/>
                    </w:rPr>
                    <w:t>≥ 70 % first-pass</w:t>
                  </w:r>
                </w:p>
              </w:tc>
            </w:tr>
            <w:tr w:rsidR="008A4D92">
              <w:tc>
                <w:tcPr>
                  <w:tcW w:w="2551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0B2E4F"/>
                      <w:sz w:val="16"/>
                    </w:rPr>
                    <w:t>Lineage precision</w:t>
                  </w:r>
                </w:p>
              </w:tc>
              <w:tc>
                <w:tcPr>
                  <w:tcW w:w="22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color w:val="1F2937"/>
                      <w:sz w:val="16"/>
                    </w:rPr>
                    <w:t>≥ 99 % audited</w:t>
                  </w:r>
                </w:p>
              </w:tc>
            </w:tr>
            <w:tr w:rsidR="008A4D92">
              <w:tc>
                <w:tcPr>
                  <w:tcW w:w="2551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0B2E4F"/>
                      <w:sz w:val="16"/>
                    </w:rPr>
                    <w:t>Lock quality</w:t>
                  </w:r>
                </w:p>
              </w:tc>
              <w:tc>
                <w:tcPr>
                  <w:tcW w:w="22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color w:val="1F2937"/>
                      <w:sz w:val="16"/>
                    </w:rPr>
                    <w:t>Zero critical findings</w:t>
                  </w:r>
                </w:p>
              </w:tc>
            </w:tr>
            <w:tr w:rsidR="008A4D92">
              <w:tc>
                <w:tcPr>
                  <w:tcW w:w="2551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0B2E4F"/>
                      <w:sz w:val="16"/>
                    </w:rPr>
                    <w:t>Compliance</w:t>
                  </w:r>
                </w:p>
              </w:tc>
              <w:tc>
                <w:tcPr>
                  <w:tcW w:w="22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20" w:type="dxa"/>
                    <w:left w:w="70" w:type="dxa"/>
                    <w:bottom w:w="20" w:type="dxa"/>
                    <w:right w:w="7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color w:val="1F2937"/>
                      <w:sz w:val="16"/>
                    </w:rPr>
                    <w:t>Form 1571 production; GAMP 5 c.4 gate</w:t>
                  </w:r>
                </w:p>
              </w:tc>
            </w:tr>
          </w:tbl>
          <w:p w:rsidR="008A4D92" w:rsidRDefault="008A4D92"/>
        </w:tc>
        <w:tc>
          <w:tcPr>
            <w:tcW w:w="5997" w:type="dxa"/>
            <w:tcBorders>
              <w:top w:val="single" w:sz="6" w:space="0" w:color="0B2E4F"/>
              <w:left w:val="single" w:sz="6" w:space="0" w:color="0B2E4F"/>
              <w:bottom w:val="single" w:sz="6" w:space="0" w:color="0B2E4F"/>
              <w:right w:val="single" w:sz="6" w:space="0" w:color="0B2E4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D92" w:rsidRDefault="008A4D92"/>
          <w:p w:rsidR="008A4D92" w:rsidRDefault="00000000">
            <w:pPr>
              <w:spacing w:after="20" w:line="240" w:lineRule="auto"/>
            </w:pPr>
            <w:r>
              <w:rPr>
                <w:b/>
                <w:color w:val="B88A2E"/>
              </w:rPr>
              <w:t>KEY MODULES — priority order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2099"/>
              <w:gridCol w:w="567"/>
              <w:gridCol w:w="1857"/>
            </w:tblGrid>
            <w:tr w:rsidR="008A4D92">
              <w:tc>
                <w:tcPr>
                  <w:tcW w:w="14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0B2E4F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FFFFFF"/>
                      <w:sz w:val="15"/>
                    </w:rPr>
                    <w:t>Module</w:t>
                  </w:r>
                </w:p>
              </w:tc>
              <w:tc>
                <w:tcPr>
                  <w:tcW w:w="2099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0B2E4F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FFFFFF"/>
                      <w:sz w:val="15"/>
                    </w:rPr>
                    <w:t>What it covers</w:t>
                  </w:r>
                </w:p>
              </w:tc>
              <w:tc>
                <w:tcPr>
                  <w:tcW w:w="56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0B2E4F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FFFFFF"/>
                      <w:sz w:val="15"/>
                    </w:rPr>
                    <w:t>Fit</w:t>
                  </w:r>
                </w:p>
              </w:tc>
              <w:tc>
                <w:tcPr>
                  <w:tcW w:w="185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0B2E4F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40" w:lineRule="auto"/>
                  </w:pPr>
                  <w:r>
                    <w:rPr>
                      <w:b/>
                      <w:color w:val="FFFFFF"/>
                      <w:sz w:val="15"/>
                    </w:rPr>
                    <w:t>When / why</w:t>
                  </w:r>
                </w:p>
              </w:tc>
            </w:tr>
            <w:tr w:rsidR="008A4D92">
              <w:tc>
                <w:tcPr>
                  <w:tcW w:w="14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M1 — Cover &amp; Forms</w:t>
                  </w:r>
                </w:p>
              </w:tc>
              <w:tc>
                <w:tcPr>
                  <w:tcW w:w="2099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4"/>
                    </w:rPr>
                    <w:t>Cover Letter, 1571, 1572, FD 3454/5, LoA, ToC.</w:t>
                  </w:r>
                </w:p>
              </w:tc>
              <w:tc>
                <w:tcPr>
                  <w:tcW w:w="56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★★★</w:t>
                  </w:r>
                </w:p>
              </w:tc>
              <w:tc>
                <w:tcPr>
                  <w:tcW w:w="185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5"/>
                    </w:rPr>
                    <w:t>Auto-fields from Sponsor / Protocol; sequenced sign-out.</w:t>
                  </w:r>
                </w:p>
              </w:tc>
            </w:tr>
            <w:tr w:rsidR="008A4D92">
              <w:tc>
                <w:tcPr>
                  <w:tcW w:w="14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M4 — Nonclinical (wedge)</w:t>
                  </w:r>
                </w:p>
              </w:tc>
              <w:tc>
                <w:tcPr>
                  <w:tcW w:w="2099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4"/>
                    </w:rPr>
                    <w:t>.2.1 Pharm · .2 ADME/PK · .3.1–.3.4 tox, genotox, safety pharma.</w:t>
                  </w:r>
                </w:p>
              </w:tc>
              <w:tc>
                <w:tcPr>
                  <w:tcW w:w="56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★★★</w:t>
                  </w:r>
                </w:p>
              </w:tc>
              <w:tc>
                <w:tcPr>
                  <w:tcW w:w="185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5"/>
                    </w:rPr>
                    <w:t>Our wedge: per-class agent, per-clause lineage, deterministic QA.</w:t>
                  </w:r>
                </w:p>
              </w:tc>
            </w:tr>
            <w:tr w:rsidR="008A4D92">
              <w:tc>
                <w:tcPr>
                  <w:tcW w:w="14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Investigator's Brochure</w:t>
                  </w:r>
                </w:p>
              </w:tc>
              <w:tc>
                <w:tcPr>
                  <w:tcW w:w="2099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4"/>
                    </w:rPr>
                    <w:t>Class narrative, M4 cross-refs, M5 background slot.</w:t>
                  </w:r>
                </w:p>
              </w:tc>
              <w:tc>
                <w:tcPr>
                  <w:tcW w:w="56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★★★</w:t>
                  </w:r>
                </w:p>
              </w:tc>
              <w:tc>
                <w:tcPr>
                  <w:tcW w:w="185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5"/>
                    </w:rPr>
                    <w:t>Reads as M4 by default; one section-author agent orchestrates.</w:t>
                  </w:r>
                </w:p>
              </w:tc>
            </w:tr>
            <w:tr w:rsidR="008A4D92">
              <w:tc>
                <w:tcPr>
                  <w:tcW w:w="14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M2.4 + M2.5 Overviews</w:t>
                  </w:r>
                </w:p>
              </w:tc>
              <w:tc>
                <w:tcPr>
                  <w:tcW w:w="2099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4"/>
                    </w:rPr>
                    <w:t>Nonclin + Clin Overviews from the same entity repo.</w:t>
                  </w:r>
                </w:p>
              </w:tc>
              <w:tc>
                <w:tcPr>
                  <w:tcW w:w="56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★★</w:t>
                  </w:r>
                </w:p>
              </w:tc>
              <w:tc>
                <w:tcPr>
                  <w:tcW w:w="185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5"/>
                    </w:rPr>
                    <w:t>Cross-links to M4 claim IDs; inexpensive after M4 lands.</w:t>
                  </w:r>
                </w:p>
              </w:tc>
            </w:tr>
            <w:tr w:rsidR="008A4D92">
              <w:tc>
                <w:tcPr>
                  <w:tcW w:w="14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M1 e-signature (Part 11)</w:t>
                  </w:r>
                </w:p>
              </w:tc>
              <w:tc>
                <w:tcPr>
                  <w:tcW w:w="2099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4"/>
                    </w:rPr>
                    <w:t>SME → RA Lead → Sponsor PI sequenced sign-out; identity binding.</w:t>
                  </w:r>
                </w:p>
              </w:tc>
              <w:tc>
                <w:tcPr>
                  <w:tcW w:w="56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★★★</w:t>
                  </w:r>
                </w:p>
              </w:tc>
              <w:tc>
                <w:tcPr>
                  <w:tcW w:w="185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5"/>
                    </w:rPr>
                    <w:t>GAMP 5 c.4 validation gate from day one.</w:t>
                  </w:r>
                </w:p>
              </w:tc>
            </w:tr>
            <w:tr w:rsidR="008A4D92">
              <w:tc>
                <w:tcPr>
                  <w:tcW w:w="1474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Module 3 / 5 (CMC, CSRs)</w:t>
                  </w:r>
                </w:p>
              </w:tc>
              <w:tc>
                <w:tcPr>
                  <w:tcW w:w="2099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4"/>
                    </w:rPr>
                    <w:t>Quality / manufacturing AND clinical study reports.</w:t>
                  </w:r>
                </w:p>
              </w:tc>
              <w:tc>
                <w:tcPr>
                  <w:tcW w:w="56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b/>
                      <w:color w:val="0B2E4F"/>
                      <w:sz w:val="15"/>
                    </w:rPr>
                    <w:t>—</w:t>
                  </w:r>
                </w:p>
              </w:tc>
              <w:tc>
                <w:tcPr>
                  <w:tcW w:w="1857" w:type="dxa"/>
                  <w:tcBorders>
                    <w:top w:val="single" w:sz="4" w:space="0" w:color="D7DCE3"/>
                    <w:left w:val="single" w:sz="4" w:space="0" w:color="D7DCE3"/>
                    <w:bottom w:val="single" w:sz="4" w:space="0" w:color="D7DCE3"/>
                    <w:right w:val="single" w:sz="4" w:space="0" w:color="D7DCE3"/>
                  </w:tcBorders>
                  <w:shd w:val="clear" w:color="auto" w:fill="F7F9FC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 w:rsidR="008A4D92" w:rsidRDefault="00000000">
                  <w:pPr>
                    <w:spacing w:after="0" w:line="250" w:lineRule="auto"/>
                  </w:pPr>
                  <w:r>
                    <w:rPr>
                      <w:color w:val="1F2937"/>
                      <w:sz w:val="15"/>
                    </w:rPr>
                    <w:t>DEFERRED — Phase 2 / Year 3. Own the wedge first.</w:t>
                  </w:r>
                </w:p>
              </w:tc>
            </w:tr>
          </w:tbl>
          <w:p w:rsidR="008A4D92" w:rsidRDefault="008A4D92"/>
          <w:p w:rsidR="008A4D92" w:rsidRDefault="008A4D92" w:rsidP="0026410E">
            <w:pPr>
              <w:spacing w:after="20" w:line="240" w:lineRule="auto"/>
            </w:pPr>
          </w:p>
        </w:tc>
      </w:tr>
    </w:tbl>
    <w:p w:rsidR="008A4D92" w:rsidRDefault="008A4D92">
      <w:pPr>
        <w:spacing w:after="0"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76"/>
        <w:gridCol w:w="2776"/>
        <w:gridCol w:w="2776"/>
        <w:gridCol w:w="2776"/>
      </w:tblGrid>
      <w:tr w:rsidR="008A4D92"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0B2E4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FDA &amp; ICH Primary Sources</w:t>
            </w:r>
          </w:p>
        </w:tc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0B2E4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Agentic AI &amp; Orchestration</w:t>
            </w:r>
          </w:p>
        </w:tc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0B2E4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Knowledge Graph / Governance</w:t>
            </w:r>
          </w:p>
        </w:tc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0B2E4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Reference IND Templates</w:t>
            </w:r>
          </w:p>
        </w:tc>
      </w:tr>
      <w:tr w:rsidR="008A4D92"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FDA IND contents &amp; format; ICH CTD M4 home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Form FDA 1571 / 1572 PDFs; eCTD TOC v4.0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ICH M4E(R2) Efficacy guidance</w:t>
            </w:r>
          </w:p>
        </w:tc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FDA Agentic AI Deployment announcement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IntuitionLabs — Agentic AI for Pharma Regulatory Docs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DIA Global Forum — Agentic AI in Reg Affairs (May 2026)</w:t>
            </w:r>
          </w:p>
        </w:tc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PharmaSUG 2026 RW-343 — 12-pt governance framework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Knowledge graphs for regulated pharma (flur.ee)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LangChain 2026 agent-framework review (LangGraph)</w:t>
            </w:r>
          </w:p>
        </w:tc>
        <w:tc>
          <w:tcPr>
            <w:tcW w:w="2776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U. Pitt IND/IDE templates (ecshsr.pitt.edu)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MCW SCGE IND library (scge.mcw.edu)</w:t>
            </w:r>
          </w:p>
          <w:p w:rsidR="008A4D92" w:rsidRDefault="00000000">
            <w:pPr>
              <w:spacing w:after="0" w:line="240" w:lineRule="auto"/>
            </w:pPr>
            <w:r>
              <w:rPr>
                <w:b/>
                <w:color w:val="B88A2E"/>
                <w:sz w:val="13"/>
              </w:rPr>
              <w:t xml:space="preserve">▸ </w:t>
            </w:r>
            <w:r>
              <w:rPr>
                <w:color w:val="1F2937"/>
                <w:sz w:val="13"/>
              </w:rPr>
              <w:t>UMD CERSI CDER Milstein lecture (PDF)</w:t>
            </w:r>
          </w:p>
        </w:tc>
      </w:tr>
    </w:tbl>
    <w:p w:rsidR="00A83C33" w:rsidRDefault="00A83C33"/>
    <w:sectPr w:rsidR="00A83C33" w:rsidSect="00034616">
      <w:pgSz w:w="12240" w:h="15840"/>
      <w:pgMar w:top="312" w:right="567" w:bottom="31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508045">
    <w:abstractNumId w:val="8"/>
  </w:num>
  <w:num w:numId="2" w16cid:durableId="2082635034">
    <w:abstractNumId w:val="6"/>
  </w:num>
  <w:num w:numId="3" w16cid:durableId="984630479">
    <w:abstractNumId w:val="5"/>
  </w:num>
  <w:num w:numId="4" w16cid:durableId="2145346869">
    <w:abstractNumId w:val="4"/>
  </w:num>
  <w:num w:numId="5" w16cid:durableId="1801872712">
    <w:abstractNumId w:val="7"/>
  </w:num>
  <w:num w:numId="6" w16cid:durableId="639113827">
    <w:abstractNumId w:val="3"/>
  </w:num>
  <w:num w:numId="7" w16cid:durableId="568466189">
    <w:abstractNumId w:val="2"/>
  </w:num>
  <w:num w:numId="8" w16cid:durableId="1652516472">
    <w:abstractNumId w:val="1"/>
  </w:num>
  <w:num w:numId="9" w16cid:durableId="6665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10E"/>
    <w:rsid w:val="0029639D"/>
    <w:rsid w:val="002F71C0"/>
    <w:rsid w:val="00326F90"/>
    <w:rsid w:val="008A4D92"/>
    <w:rsid w:val="00A83C33"/>
    <w:rsid w:val="00AA1D8D"/>
    <w:rsid w:val="00B47730"/>
    <w:rsid w:val="00CB0664"/>
    <w:rsid w:val="00F17AF1"/>
    <w:rsid w:val="00FB50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9A1CB"/>
  <w14:defaultImageDpi w14:val="300"/>
  <w15:docId w15:val="{C81E21D6-C2DD-CC41-9078-1BC1127E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 Liu</cp:lastModifiedBy>
  <cp:revision>3</cp:revision>
  <dcterms:created xsi:type="dcterms:W3CDTF">2026-08-16T17:53:00Z</dcterms:created>
  <dcterms:modified xsi:type="dcterms:W3CDTF">2026-08-16T17:55:00Z</dcterms:modified>
  <cp:category/>
</cp:coreProperties>
</file>