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6283" w14:textId="77777777" w:rsidR="006C786C" w:rsidRPr="006C786C" w:rsidRDefault="006C786C" w:rsidP="006C786C">
      <w:pPr>
        <w:spacing w:line="278" w:lineRule="auto"/>
        <w:rPr>
          <w:b/>
          <w:bCs/>
        </w:rPr>
      </w:pPr>
      <w:r w:rsidRPr="006C786C">
        <w:rPr>
          <w:b/>
          <w:bCs/>
        </w:rPr>
        <w:t>India-Specific Post-Independence Freedom Struggles (System-Origin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599"/>
        <w:gridCol w:w="2932"/>
      </w:tblGrid>
      <w:tr w:rsidR="006C786C" w:rsidRPr="006C786C" w14:paraId="39390F78" w14:textId="77777777" w:rsidTr="006C78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A18A7" w14:textId="77777777" w:rsidR="006C786C" w:rsidRPr="006C786C" w:rsidRDefault="006C786C" w:rsidP="006C786C">
            <w:pPr>
              <w:spacing w:line="278" w:lineRule="auto"/>
              <w:rPr>
                <w:b/>
                <w:bCs/>
              </w:rPr>
            </w:pPr>
            <w:r w:rsidRPr="006C786C">
              <w:rPr>
                <w:b/>
                <w:bCs/>
              </w:rPr>
              <w:t>Region / Group</w:t>
            </w:r>
          </w:p>
        </w:tc>
        <w:tc>
          <w:tcPr>
            <w:tcW w:w="0" w:type="auto"/>
            <w:vAlign w:val="center"/>
            <w:hideMark/>
          </w:tcPr>
          <w:p w14:paraId="7C008912" w14:textId="77777777" w:rsidR="006C786C" w:rsidRPr="006C786C" w:rsidRDefault="006C786C" w:rsidP="006C786C">
            <w:pPr>
              <w:spacing w:line="278" w:lineRule="auto"/>
              <w:rPr>
                <w:b/>
                <w:bCs/>
              </w:rPr>
            </w:pPr>
            <w:r w:rsidRPr="006C786C">
              <w:rPr>
                <w:b/>
                <w:bCs/>
              </w:rPr>
              <w:t>Systemic Root Cause</w:t>
            </w:r>
          </w:p>
        </w:tc>
        <w:tc>
          <w:tcPr>
            <w:tcW w:w="0" w:type="auto"/>
            <w:vAlign w:val="center"/>
            <w:hideMark/>
          </w:tcPr>
          <w:p w14:paraId="3B975F8A" w14:textId="77777777" w:rsidR="006C786C" w:rsidRPr="006C786C" w:rsidRDefault="006C786C" w:rsidP="006C786C">
            <w:pPr>
              <w:spacing w:line="278" w:lineRule="auto"/>
              <w:rPr>
                <w:b/>
                <w:bCs/>
              </w:rPr>
            </w:pPr>
            <w:r w:rsidRPr="006C786C">
              <w:rPr>
                <w:b/>
                <w:bCs/>
              </w:rPr>
              <w:t>Manifested Freedom Struggle</w:t>
            </w:r>
          </w:p>
        </w:tc>
      </w:tr>
      <w:tr w:rsidR="006C786C" w:rsidRPr="006C786C" w14:paraId="0CA2ED20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3C5E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Kashmir (Valley-centric)</w:t>
            </w:r>
          </w:p>
        </w:tc>
        <w:tc>
          <w:tcPr>
            <w:tcW w:w="0" w:type="auto"/>
            <w:vAlign w:val="center"/>
            <w:hideMark/>
          </w:tcPr>
          <w:p w14:paraId="45FFD0D1" w14:textId="77777777" w:rsidR="006C786C" w:rsidRPr="006C786C" w:rsidRDefault="006C786C" w:rsidP="006C786C">
            <w:pPr>
              <w:spacing w:line="278" w:lineRule="auto"/>
            </w:pPr>
            <w:r w:rsidRPr="006C786C">
              <w:t>Instrumentalization of accession; denial of plebiscite; demographic, political suppression; AFSPA &amp; militarization</w:t>
            </w:r>
          </w:p>
        </w:tc>
        <w:tc>
          <w:tcPr>
            <w:tcW w:w="0" w:type="auto"/>
            <w:vAlign w:val="center"/>
            <w:hideMark/>
          </w:tcPr>
          <w:p w14:paraId="01FAC6A2" w14:textId="77777777" w:rsidR="006C786C" w:rsidRPr="006C786C" w:rsidRDefault="006C786C" w:rsidP="006C786C">
            <w:pPr>
              <w:spacing w:line="278" w:lineRule="auto"/>
            </w:pPr>
            <w:r w:rsidRPr="006C786C">
              <w:t>Kashmiri separatism (multiple factions)</w:t>
            </w:r>
          </w:p>
        </w:tc>
      </w:tr>
      <w:tr w:rsidR="006C786C" w:rsidRPr="006C786C" w14:paraId="6A2ABA23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A7E9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Punjab (Khalistan movement)</w:t>
            </w:r>
          </w:p>
        </w:tc>
        <w:tc>
          <w:tcPr>
            <w:tcW w:w="0" w:type="auto"/>
            <w:vAlign w:val="center"/>
            <w:hideMark/>
          </w:tcPr>
          <w:p w14:paraId="13898AD3" w14:textId="77777777" w:rsidR="006C786C" w:rsidRPr="006C786C" w:rsidRDefault="006C786C" w:rsidP="006C786C">
            <w:pPr>
              <w:spacing w:line="278" w:lineRule="auto"/>
            </w:pPr>
            <w:r w:rsidRPr="006C786C">
              <w:t>Post-independence centralization; linguistic reorganization delays; perceived marginalization; Operation Blue Star</w:t>
            </w:r>
          </w:p>
        </w:tc>
        <w:tc>
          <w:tcPr>
            <w:tcW w:w="0" w:type="auto"/>
            <w:vAlign w:val="center"/>
            <w:hideMark/>
          </w:tcPr>
          <w:p w14:paraId="1E9F8E81" w14:textId="77777777" w:rsidR="006C786C" w:rsidRPr="006C786C" w:rsidRDefault="006C786C" w:rsidP="006C786C">
            <w:pPr>
              <w:spacing w:line="278" w:lineRule="auto"/>
            </w:pPr>
            <w:r w:rsidRPr="006C786C">
              <w:t>Khalistan armed movement (1980s-1990s)</w:t>
            </w:r>
          </w:p>
        </w:tc>
      </w:tr>
      <w:tr w:rsidR="006C786C" w:rsidRPr="006C786C" w14:paraId="2C4CB2A0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B14D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Northeast (Nagaland, Manipur, Assam, Mizoram, Tripura, Meghalaya)</w:t>
            </w:r>
          </w:p>
        </w:tc>
        <w:tc>
          <w:tcPr>
            <w:tcW w:w="0" w:type="auto"/>
            <w:vAlign w:val="center"/>
            <w:hideMark/>
          </w:tcPr>
          <w:p w14:paraId="4E258F9E" w14:textId="77777777" w:rsidR="006C786C" w:rsidRPr="006C786C" w:rsidRDefault="006C786C" w:rsidP="006C786C">
            <w:pPr>
              <w:spacing w:line="278" w:lineRule="auto"/>
            </w:pPr>
            <w:r w:rsidRPr="006C786C">
              <w:t>Forced integration post-1947; ethnic marginalization; cultural suppression; economic extraction</w:t>
            </w:r>
          </w:p>
        </w:tc>
        <w:tc>
          <w:tcPr>
            <w:tcW w:w="0" w:type="auto"/>
            <w:vAlign w:val="center"/>
            <w:hideMark/>
          </w:tcPr>
          <w:p w14:paraId="12038687" w14:textId="77777777" w:rsidR="006C786C" w:rsidRPr="006C786C" w:rsidRDefault="006C786C" w:rsidP="006C786C">
            <w:pPr>
              <w:spacing w:line="278" w:lineRule="auto"/>
            </w:pPr>
            <w:r w:rsidRPr="006C786C">
              <w:t>Multiple separatist and insurgent movements: NSCN, ULFA, MNF, etc.</w:t>
            </w:r>
          </w:p>
        </w:tc>
      </w:tr>
      <w:tr w:rsidR="006C786C" w:rsidRPr="006C786C" w14:paraId="0C51C823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65D7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Naxalite / Maoist belt (Central-East India)</w:t>
            </w:r>
          </w:p>
        </w:tc>
        <w:tc>
          <w:tcPr>
            <w:tcW w:w="0" w:type="auto"/>
            <w:vAlign w:val="center"/>
            <w:hideMark/>
          </w:tcPr>
          <w:p w14:paraId="20E8A80C" w14:textId="77777777" w:rsidR="006C786C" w:rsidRPr="006C786C" w:rsidRDefault="006C786C" w:rsidP="006C786C">
            <w:pPr>
              <w:spacing w:line="278" w:lineRule="auto"/>
            </w:pPr>
            <w:r w:rsidRPr="006C786C">
              <w:t>Exploitation of tribals (Adivasis); land dispossession; resource extraction; systemic socio-economic exclusion</w:t>
            </w:r>
          </w:p>
        </w:tc>
        <w:tc>
          <w:tcPr>
            <w:tcW w:w="0" w:type="auto"/>
            <w:vAlign w:val="center"/>
            <w:hideMark/>
          </w:tcPr>
          <w:p w14:paraId="18839E04" w14:textId="77777777" w:rsidR="006C786C" w:rsidRPr="006C786C" w:rsidRDefault="006C786C" w:rsidP="006C786C">
            <w:pPr>
              <w:spacing w:line="278" w:lineRule="auto"/>
            </w:pPr>
            <w:r w:rsidRPr="006C786C">
              <w:t>Naxalite-Maoist armed insurgency</w:t>
            </w:r>
          </w:p>
        </w:tc>
      </w:tr>
      <w:tr w:rsidR="006C786C" w:rsidRPr="006C786C" w14:paraId="06933A6F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A189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Bodo and other indigenous tribes (Assam region)</w:t>
            </w:r>
          </w:p>
        </w:tc>
        <w:tc>
          <w:tcPr>
            <w:tcW w:w="0" w:type="auto"/>
            <w:vAlign w:val="center"/>
            <w:hideMark/>
          </w:tcPr>
          <w:p w14:paraId="607CCECC" w14:textId="77777777" w:rsidR="006C786C" w:rsidRPr="006C786C" w:rsidRDefault="006C786C" w:rsidP="006C786C">
            <w:pPr>
              <w:spacing w:line="278" w:lineRule="auto"/>
            </w:pPr>
            <w:r w:rsidRPr="006C786C">
              <w:t>Ethnic identity suppression; demographic engineering; neglect of cultural rights</w:t>
            </w:r>
          </w:p>
        </w:tc>
        <w:tc>
          <w:tcPr>
            <w:tcW w:w="0" w:type="auto"/>
            <w:vAlign w:val="center"/>
            <w:hideMark/>
          </w:tcPr>
          <w:p w14:paraId="2F1653A2" w14:textId="77777777" w:rsidR="006C786C" w:rsidRPr="006C786C" w:rsidRDefault="006C786C" w:rsidP="006C786C">
            <w:pPr>
              <w:spacing w:line="278" w:lineRule="auto"/>
            </w:pPr>
            <w:r w:rsidRPr="006C786C">
              <w:t>Bodo insurgency and demands for autonomy</w:t>
            </w:r>
          </w:p>
        </w:tc>
      </w:tr>
      <w:tr w:rsidR="006C786C" w:rsidRPr="006C786C" w14:paraId="11D524F8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59DD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Telangana (pre-2014 bifurcation)</w:t>
            </w:r>
          </w:p>
        </w:tc>
        <w:tc>
          <w:tcPr>
            <w:tcW w:w="0" w:type="auto"/>
            <w:vAlign w:val="center"/>
            <w:hideMark/>
          </w:tcPr>
          <w:p w14:paraId="6EC54D32" w14:textId="77777777" w:rsidR="006C786C" w:rsidRPr="006C786C" w:rsidRDefault="006C786C" w:rsidP="006C786C">
            <w:pPr>
              <w:spacing w:line="278" w:lineRule="auto"/>
            </w:pPr>
            <w:r w:rsidRPr="006C786C">
              <w:t>Resource control by Andhra elites; cultural-linguistic marginalization; economic deprivation</w:t>
            </w:r>
          </w:p>
        </w:tc>
        <w:tc>
          <w:tcPr>
            <w:tcW w:w="0" w:type="auto"/>
            <w:vAlign w:val="center"/>
            <w:hideMark/>
          </w:tcPr>
          <w:p w14:paraId="222F762B" w14:textId="77777777" w:rsidR="006C786C" w:rsidRPr="006C786C" w:rsidRDefault="006C786C" w:rsidP="006C786C">
            <w:pPr>
              <w:spacing w:line="278" w:lineRule="auto"/>
            </w:pPr>
            <w:r w:rsidRPr="006C786C">
              <w:t>Telangana statehood movement</w:t>
            </w:r>
          </w:p>
        </w:tc>
      </w:tr>
      <w:tr w:rsidR="006C786C" w:rsidRPr="006C786C" w14:paraId="5F1727E4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ED4D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Tamil Nadu (Dravidian roots; earlier phases)</w:t>
            </w:r>
          </w:p>
        </w:tc>
        <w:tc>
          <w:tcPr>
            <w:tcW w:w="0" w:type="auto"/>
            <w:vAlign w:val="center"/>
            <w:hideMark/>
          </w:tcPr>
          <w:p w14:paraId="1A576716" w14:textId="77777777" w:rsidR="006C786C" w:rsidRPr="006C786C" w:rsidRDefault="006C786C" w:rsidP="006C786C">
            <w:pPr>
              <w:spacing w:line="278" w:lineRule="auto"/>
            </w:pPr>
            <w:r w:rsidRPr="006C786C">
              <w:t>North-centric cultural imposition; Hindi imperialism; perceived Aryanization</w:t>
            </w:r>
          </w:p>
        </w:tc>
        <w:tc>
          <w:tcPr>
            <w:tcW w:w="0" w:type="auto"/>
            <w:vAlign w:val="center"/>
            <w:hideMark/>
          </w:tcPr>
          <w:p w14:paraId="261A6EBE" w14:textId="77777777" w:rsidR="006C786C" w:rsidRPr="006C786C" w:rsidRDefault="006C786C" w:rsidP="006C786C">
            <w:pPr>
              <w:spacing w:line="278" w:lineRule="auto"/>
            </w:pPr>
            <w:r w:rsidRPr="006C786C">
              <w:t>Dravidian secessionist discourse (largely political, less armed)</w:t>
            </w:r>
          </w:p>
        </w:tc>
      </w:tr>
      <w:tr w:rsidR="006C786C" w:rsidRPr="006C786C" w14:paraId="7E558BC3" w14:textId="77777777" w:rsidTr="006C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50DD" w14:textId="77777777" w:rsidR="006C786C" w:rsidRPr="006C786C" w:rsidRDefault="006C786C" w:rsidP="006C786C">
            <w:pPr>
              <w:spacing w:line="278" w:lineRule="auto"/>
            </w:pPr>
            <w:r w:rsidRPr="006C786C">
              <w:rPr>
                <w:b/>
                <w:bCs/>
              </w:rPr>
              <w:t>Dalit-Bahujan emancipation struggles (national spread)</w:t>
            </w:r>
          </w:p>
        </w:tc>
        <w:tc>
          <w:tcPr>
            <w:tcW w:w="0" w:type="auto"/>
            <w:vAlign w:val="center"/>
            <w:hideMark/>
          </w:tcPr>
          <w:p w14:paraId="54C4EB80" w14:textId="77777777" w:rsidR="006C786C" w:rsidRPr="006C786C" w:rsidRDefault="006C786C" w:rsidP="006C786C">
            <w:pPr>
              <w:spacing w:line="278" w:lineRule="auto"/>
            </w:pPr>
            <w:r w:rsidRPr="006C786C">
              <w:t>Continuation of caste-based systemic subordination despite formal abolition</w:t>
            </w:r>
          </w:p>
        </w:tc>
        <w:tc>
          <w:tcPr>
            <w:tcW w:w="0" w:type="auto"/>
            <w:vAlign w:val="center"/>
            <w:hideMark/>
          </w:tcPr>
          <w:p w14:paraId="218B76B4" w14:textId="77777777" w:rsidR="006C786C" w:rsidRPr="006C786C" w:rsidRDefault="006C786C" w:rsidP="006C786C">
            <w:pPr>
              <w:spacing w:line="278" w:lineRule="auto"/>
            </w:pPr>
            <w:r w:rsidRPr="006C786C">
              <w:t>Ambedkarite and Dalit assertion movements (political, social, nonviolent but existential in identity terms)</w:t>
            </w:r>
          </w:p>
        </w:tc>
      </w:tr>
    </w:tbl>
    <w:p w14:paraId="32DFB6C5" w14:textId="3B5DEBA6" w:rsidR="006C786C" w:rsidRPr="006C786C" w:rsidRDefault="006C786C" w:rsidP="006C786C">
      <w:pPr>
        <w:spacing w:line="278" w:lineRule="auto"/>
      </w:pPr>
    </w:p>
    <w:p w14:paraId="4B737204" w14:textId="77777777" w:rsidR="006C786C" w:rsidRPr="006C786C" w:rsidRDefault="006C786C" w:rsidP="006C786C">
      <w:pPr>
        <w:spacing w:line="278" w:lineRule="auto"/>
        <w:rPr>
          <w:b/>
          <w:bCs/>
        </w:rPr>
      </w:pPr>
      <w:r w:rsidRPr="006C786C">
        <w:rPr>
          <w:b/>
          <w:bCs/>
        </w:rPr>
        <w:lastRenderedPageBreak/>
        <w:t>Key Observations</w:t>
      </w:r>
    </w:p>
    <w:p w14:paraId="26E9E41D" w14:textId="77777777" w:rsidR="006C786C" w:rsidRPr="006C786C" w:rsidRDefault="006C786C" w:rsidP="006C786C">
      <w:pPr>
        <w:numPr>
          <w:ilvl w:val="0"/>
          <w:numId w:val="1"/>
        </w:numPr>
        <w:spacing w:line="278" w:lineRule="auto"/>
      </w:pPr>
      <w:r w:rsidRPr="006C786C">
        <w:t xml:space="preserve">Each of these conflicts is rooted not in random rebellion but in the </w:t>
      </w:r>
      <w:r w:rsidRPr="006C786C">
        <w:rPr>
          <w:b/>
          <w:bCs/>
        </w:rPr>
        <w:t>structural characteristics of the Indian system itself</w:t>
      </w:r>
      <w:r w:rsidRPr="006C786C">
        <w:t>:</w:t>
      </w:r>
    </w:p>
    <w:p w14:paraId="75E0EC25" w14:textId="77777777" w:rsidR="006C786C" w:rsidRPr="006C786C" w:rsidRDefault="006C786C" w:rsidP="006C786C">
      <w:pPr>
        <w:numPr>
          <w:ilvl w:val="1"/>
          <w:numId w:val="1"/>
        </w:numPr>
        <w:spacing w:line="278" w:lineRule="auto"/>
      </w:pPr>
      <w:r w:rsidRPr="006C786C">
        <w:t>Excessive centralization</w:t>
      </w:r>
    </w:p>
    <w:p w14:paraId="50D04FCF" w14:textId="77777777" w:rsidR="006C786C" w:rsidRPr="006C786C" w:rsidRDefault="006C786C" w:rsidP="006C786C">
      <w:pPr>
        <w:numPr>
          <w:ilvl w:val="1"/>
          <w:numId w:val="1"/>
        </w:numPr>
        <w:spacing w:line="278" w:lineRule="auto"/>
      </w:pPr>
      <w:r w:rsidRPr="006C786C">
        <w:t>Top-down governance models</w:t>
      </w:r>
    </w:p>
    <w:p w14:paraId="6292A884" w14:textId="77777777" w:rsidR="006C786C" w:rsidRPr="006C786C" w:rsidRDefault="006C786C" w:rsidP="006C786C">
      <w:pPr>
        <w:numPr>
          <w:ilvl w:val="1"/>
          <w:numId w:val="1"/>
        </w:numPr>
        <w:spacing w:line="278" w:lineRule="auto"/>
      </w:pPr>
      <w:r w:rsidRPr="006C786C">
        <w:t>Suppression or dilution of subnational identities</w:t>
      </w:r>
    </w:p>
    <w:p w14:paraId="2F57B482" w14:textId="77777777" w:rsidR="006C786C" w:rsidRPr="006C786C" w:rsidRDefault="006C786C" w:rsidP="006C786C">
      <w:pPr>
        <w:numPr>
          <w:ilvl w:val="1"/>
          <w:numId w:val="1"/>
        </w:numPr>
        <w:spacing w:line="278" w:lineRule="auto"/>
      </w:pPr>
      <w:r w:rsidRPr="006C786C">
        <w:t>Unequal distribution of political and economic power</w:t>
      </w:r>
    </w:p>
    <w:p w14:paraId="52B4AFEC" w14:textId="77777777" w:rsidR="006C786C" w:rsidRPr="006C786C" w:rsidRDefault="006C786C" w:rsidP="006C786C">
      <w:pPr>
        <w:numPr>
          <w:ilvl w:val="1"/>
          <w:numId w:val="1"/>
        </w:numPr>
        <w:spacing w:line="278" w:lineRule="auto"/>
      </w:pPr>
      <w:r w:rsidRPr="006C786C">
        <w:t>Strategic deployment of legal, military, and narrative control</w:t>
      </w:r>
    </w:p>
    <w:p w14:paraId="78CDE29F" w14:textId="77777777" w:rsidR="006C786C" w:rsidRPr="006C786C" w:rsidRDefault="006C786C" w:rsidP="006C786C">
      <w:pPr>
        <w:numPr>
          <w:ilvl w:val="0"/>
          <w:numId w:val="1"/>
        </w:numPr>
        <w:spacing w:line="278" w:lineRule="auto"/>
      </w:pPr>
      <w:r w:rsidRPr="006C786C">
        <w:t xml:space="preserve">The Indian system — while operating under a constitutional framework — embeds a </w:t>
      </w:r>
      <w:r w:rsidRPr="006C786C">
        <w:rPr>
          <w:b/>
          <w:bCs/>
        </w:rPr>
        <w:t>unitary impulse under federal disguise</w:t>
      </w:r>
      <w:r w:rsidRPr="006C786C">
        <w:t>.</w:t>
      </w:r>
    </w:p>
    <w:p w14:paraId="0D7BF190" w14:textId="77777777" w:rsidR="006C786C" w:rsidRPr="006C786C" w:rsidRDefault="006C786C" w:rsidP="006C786C">
      <w:pPr>
        <w:numPr>
          <w:ilvl w:val="1"/>
          <w:numId w:val="1"/>
        </w:numPr>
        <w:spacing w:line="278" w:lineRule="auto"/>
      </w:pPr>
      <w:r w:rsidRPr="006C786C">
        <w:t>This produces permanent friction with multiple subnational identities.</w:t>
      </w:r>
    </w:p>
    <w:p w14:paraId="66EEE844" w14:textId="77777777" w:rsidR="006C786C" w:rsidRPr="006C786C" w:rsidRDefault="006C786C" w:rsidP="006C786C">
      <w:pPr>
        <w:numPr>
          <w:ilvl w:val="1"/>
          <w:numId w:val="1"/>
        </w:numPr>
        <w:spacing w:line="278" w:lineRule="auto"/>
      </w:pPr>
      <w:r w:rsidRPr="006C786C">
        <w:t>The state systematically criminalizes dissent as “anti-national.”</w:t>
      </w:r>
    </w:p>
    <w:p w14:paraId="7651796D" w14:textId="77777777" w:rsidR="006C786C" w:rsidRPr="006C786C" w:rsidRDefault="00000000" w:rsidP="006C786C">
      <w:pPr>
        <w:spacing w:line="278" w:lineRule="auto"/>
      </w:pPr>
      <w:r>
        <w:pict w14:anchorId="07A2FC0B">
          <v:rect id="_x0000_i1025" style="width:0;height:1.5pt" o:hralign="center" o:hrstd="t" o:hr="t" fillcolor="#a0a0a0" stroked="f"/>
        </w:pict>
      </w:r>
    </w:p>
    <w:p w14:paraId="2EAC4D0D" w14:textId="77777777" w:rsidR="006C786C" w:rsidRPr="006C786C" w:rsidRDefault="006C786C" w:rsidP="006C786C">
      <w:pPr>
        <w:spacing w:line="278" w:lineRule="auto"/>
        <w:rPr>
          <w:b/>
          <w:bCs/>
        </w:rPr>
      </w:pPr>
      <w:r w:rsidRPr="006C786C">
        <w:rPr>
          <w:b/>
          <w:bCs/>
        </w:rPr>
        <w:t>Crucial Clarification</w:t>
      </w:r>
    </w:p>
    <w:p w14:paraId="2314A857" w14:textId="77777777" w:rsidR="006C786C" w:rsidRPr="006C786C" w:rsidRDefault="006C786C" w:rsidP="006C786C">
      <w:pPr>
        <w:numPr>
          <w:ilvl w:val="0"/>
          <w:numId w:val="2"/>
        </w:numPr>
        <w:spacing w:line="278" w:lineRule="auto"/>
      </w:pPr>
      <w:r w:rsidRPr="006C786C">
        <w:t xml:space="preserve">Many of these movements </w:t>
      </w:r>
      <w:r w:rsidRPr="006C786C">
        <w:rPr>
          <w:b/>
          <w:bCs/>
        </w:rPr>
        <w:t>integrate cultural and religious identity</w:t>
      </w:r>
      <w:r w:rsidRPr="006C786C">
        <w:t xml:space="preserve"> as part of their mobilization.</w:t>
      </w:r>
    </w:p>
    <w:p w14:paraId="6A8AE96B" w14:textId="77777777" w:rsidR="006C786C" w:rsidRPr="006C786C" w:rsidRDefault="006C786C" w:rsidP="006C786C">
      <w:pPr>
        <w:numPr>
          <w:ilvl w:val="0"/>
          <w:numId w:val="2"/>
        </w:numPr>
        <w:spacing w:line="278" w:lineRule="auto"/>
      </w:pPr>
      <w:r w:rsidRPr="006C786C">
        <w:t xml:space="preserve">None of these (except certain peripheral cross-border manipulated factions) conform to </w:t>
      </w:r>
      <w:r w:rsidRPr="006C786C">
        <w:rPr>
          <w:i/>
          <w:iCs/>
        </w:rPr>
        <w:t>theological absolutist terrorism</w:t>
      </w:r>
      <w:r w:rsidRPr="006C786C">
        <w:t>.</w:t>
      </w:r>
    </w:p>
    <w:p w14:paraId="6E29A993" w14:textId="77777777" w:rsidR="006C786C" w:rsidRPr="006C786C" w:rsidRDefault="006C786C" w:rsidP="006C786C">
      <w:pPr>
        <w:numPr>
          <w:ilvl w:val="0"/>
          <w:numId w:val="2"/>
        </w:numPr>
        <w:spacing w:line="278" w:lineRule="auto"/>
      </w:pPr>
      <w:r w:rsidRPr="006C786C">
        <w:t xml:space="preserve">They remain </w:t>
      </w:r>
      <w:r w:rsidRPr="006C786C">
        <w:rPr>
          <w:b/>
          <w:bCs/>
        </w:rPr>
        <w:t>primarily political-theological freedom struggles</w:t>
      </w:r>
      <w:r w:rsidRPr="006C786C">
        <w:t xml:space="preserve"> within the framework you are developing.</w:t>
      </w:r>
    </w:p>
    <w:p w14:paraId="4F5B6855" w14:textId="77777777" w:rsidR="006C786C" w:rsidRPr="006C786C" w:rsidRDefault="00000000" w:rsidP="006C786C">
      <w:pPr>
        <w:spacing w:line="278" w:lineRule="auto"/>
      </w:pPr>
      <w:r>
        <w:pict w14:anchorId="12ABF416">
          <v:rect id="_x0000_i1026" style="width:0;height:1.5pt" o:hralign="center" o:hrstd="t" o:hr="t" fillcolor="#a0a0a0" stroked="f"/>
        </w:pict>
      </w:r>
    </w:p>
    <w:p w14:paraId="00BE6F82" w14:textId="77777777" w:rsidR="006C786C" w:rsidRPr="006C786C" w:rsidRDefault="006C786C" w:rsidP="006C786C">
      <w:pPr>
        <w:spacing w:line="278" w:lineRule="auto"/>
      </w:pPr>
      <w:r w:rsidRPr="006C786C">
        <w:rPr>
          <w:rFonts w:ascii="Segoe UI Emoji" w:hAnsi="Segoe UI Emoji" w:cs="Segoe UI Emoji"/>
        </w:rPr>
        <w:t>✅</w:t>
      </w:r>
      <w:r w:rsidRPr="006C786C">
        <w:br/>
        <w:t xml:space="preserve">This completes the </w:t>
      </w:r>
      <w:r w:rsidRPr="006C786C">
        <w:rPr>
          <w:b/>
          <w:bCs/>
        </w:rPr>
        <w:t>India-Specific Post-Independence Application of the System-Origin Model</w:t>
      </w:r>
      <w:r w:rsidRPr="006C786C">
        <w:t>.</w:t>
      </w:r>
    </w:p>
    <w:p w14:paraId="24C86D8C" w14:textId="77777777" w:rsidR="006C786C" w:rsidRPr="006C786C" w:rsidRDefault="00000000" w:rsidP="006C786C">
      <w:pPr>
        <w:spacing w:line="278" w:lineRule="auto"/>
      </w:pPr>
      <w:r>
        <w:pict w14:anchorId="69BFAB68">
          <v:rect id="_x0000_i1027" style="width:0;height:1.5pt" o:hralign="center" o:hrstd="t" o:hr="t" fillcolor="#a0a0a0" stroked="f"/>
        </w:pict>
      </w:r>
    </w:p>
    <w:p w14:paraId="381F6ADA" w14:textId="77777777" w:rsidR="006C786C" w:rsidRPr="006C786C" w:rsidRDefault="006C786C" w:rsidP="006C786C">
      <w:pPr>
        <w:spacing w:line="278" w:lineRule="auto"/>
      </w:pPr>
      <w:r w:rsidRPr="006C786C">
        <w:rPr>
          <w:rFonts w:ascii="Segoe UI Emoji" w:hAnsi="Segoe UI Emoji" w:cs="Segoe UI Emoji"/>
        </w:rPr>
        <w:t>👉</w:t>
      </w:r>
      <w:r w:rsidRPr="006C786C">
        <w:br/>
        <w:t>If you approve, I can now:</w:t>
      </w:r>
    </w:p>
    <w:p w14:paraId="28530E1E" w14:textId="77777777" w:rsidR="006C786C" w:rsidRPr="006C786C" w:rsidRDefault="006C786C" w:rsidP="006C786C">
      <w:pPr>
        <w:numPr>
          <w:ilvl w:val="0"/>
          <w:numId w:val="3"/>
        </w:numPr>
        <w:spacing w:line="278" w:lineRule="auto"/>
      </w:pPr>
      <w:r w:rsidRPr="006C786C">
        <w:rPr>
          <w:b/>
          <w:bCs/>
        </w:rPr>
        <w:t>Incorporate this table as Section IX-A into your Internal Model Note v2.0</w:t>
      </w:r>
    </w:p>
    <w:p w14:paraId="155159AF" w14:textId="77777777" w:rsidR="006C786C" w:rsidRPr="006C786C" w:rsidRDefault="006C786C" w:rsidP="006C786C">
      <w:pPr>
        <w:numPr>
          <w:ilvl w:val="0"/>
          <w:numId w:val="3"/>
        </w:numPr>
        <w:spacing w:line="278" w:lineRule="auto"/>
      </w:pPr>
      <w:r w:rsidRPr="006C786C">
        <w:t>Maintain its purpose as your internal analytic primer, structurally robust for future reference.</w:t>
      </w:r>
    </w:p>
    <w:p w14:paraId="6CEA5EAC" w14:textId="77777777" w:rsidR="006C786C" w:rsidRPr="006C786C" w:rsidRDefault="006C786C" w:rsidP="006C786C">
      <w:pPr>
        <w:spacing w:line="278" w:lineRule="auto"/>
      </w:pPr>
      <w:r w:rsidRPr="006C786C">
        <w:t>Shall I proceed with full integration?</w:t>
      </w:r>
    </w:p>
    <w:p w14:paraId="3AF334B5" w14:textId="77777777" w:rsidR="006C786C" w:rsidRDefault="006C786C"/>
    <w:sectPr w:rsidR="006C786C" w:rsidSect="000A75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9FDED" w14:textId="77777777" w:rsidR="00BA7CE4" w:rsidRDefault="00BA7CE4" w:rsidP="006C786C">
      <w:pPr>
        <w:spacing w:after="0" w:line="240" w:lineRule="auto"/>
      </w:pPr>
      <w:r>
        <w:separator/>
      </w:r>
    </w:p>
  </w:endnote>
  <w:endnote w:type="continuationSeparator" w:id="0">
    <w:p w14:paraId="11F97961" w14:textId="77777777" w:rsidR="00BA7CE4" w:rsidRDefault="00BA7CE4" w:rsidP="006C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DED1" w14:textId="77777777" w:rsidR="006C786C" w:rsidRDefault="006C78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84B83" w14:textId="77777777" w:rsidR="006C786C" w:rsidRDefault="006C78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342C" w14:textId="77777777" w:rsidR="006C786C" w:rsidRDefault="006C7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4AC6D" w14:textId="77777777" w:rsidR="00BA7CE4" w:rsidRDefault="00BA7CE4" w:rsidP="006C786C">
      <w:pPr>
        <w:spacing w:after="0" w:line="240" w:lineRule="auto"/>
      </w:pPr>
      <w:r>
        <w:separator/>
      </w:r>
    </w:p>
  </w:footnote>
  <w:footnote w:type="continuationSeparator" w:id="0">
    <w:p w14:paraId="289E1994" w14:textId="77777777" w:rsidR="00BA7CE4" w:rsidRDefault="00BA7CE4" w:rsidP="006C7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24A3" w14:textId="77777777" w:rsidR="006C786C" w:rsidRDefault="006C78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5BBA" w14:textId="497F1BBF" w:rsidR="006C786C" w:rsidRDefault="00000000" w:rsidP="00F05658">
    <w:pPr>
      <w:pStyle w:val="Title"/>
    </w:pPr>
    <w:sdt>
      <w:sdtPr>
        <w:id w:val="1487971976"/>
        <w:docPartObj>
          <w:docPartGallery w:val="Page Numbers (Margins)"/>
          <w:docPartUnique/>
        </w:docPartObj>
      </w:sdtPr>
      <w:sdtContent>
        <w:r w:rsidR="007218FB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B4FC153" wp14:editId="1930BABF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59625845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85277" w14:textId="77777777" w:rsidR="007218FB" w:rsidRDefault="007218FB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B4FC153"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0DB85277" w14:textId="77777777" w:rsidR="007218FB" w:rsidRDefault="007218FB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6C786C">
      <w:t>Insurgency In India</w:t>
    </w:r>
  </w:p>
  <w:p w14:paraId="4EDA0515" w14:textId="60CAB469" w:rsidR="006C786C" w:rsidRDefault="00F7056C" w:rsidP="00F05658">
    <w:pPr>
      <w:pStyle w:val="Subtitle"/>
    </w:pPr>
    <w:r>
      <w:t>World View</w:t>
    </w:r>
    <w:r w:rsidR="004B46B4">
      <w:t xml:space="preserve"> - India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F7056C" w14:paraId="48606006" w14:textId="77777777">
      <w:tc>
        <w:tcPr>
          <w:tcW w:w="4508" w:type="dxa"/>
        </w:tcPr>
        <w:p w14:paraId="7B27C65F" w14:textId="313AD028" w:rsidR="00F7056C" w:rsidRDefault="00F7056C" w:rsidP="00F7056C">
          <w:r>
            <w:t>Chat GPT  4O</w:t>
          </w:r>
        </w:p>
      </w:tc>
      <w:tc>
        <w:tcPr>
          <w:tcW w:w="4508" w:type="dxa"/>
        </w:tcPr>
        <w:p w14:paraId="3FF22ACA" w14:textId="6FA0920D" w:rsidR="00F7056C" w:rsidRDefault="00F7056C" w:rsidP="00F7056C">
          <w:r>
            <w:t>11-06-2025 21:14</w:t>
          </w:r>
        </w:p>
      </w:tc>
    </w:tr>
  </w:tbl>
  <w:p w14:paraId="4EF225DC" w14:textId="670B9124" w:rsidR="00F7056C" w:rsidRPr="00F7056C" w:rsidRDefault="000A75E8" w:rsidP="000A75E8">
    <w:pPr>
      <w:tabs>
        <w:tab w:val="left" w:pos="2340"/>
        <w:tab w:val="right" w:pos="9026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6F138" w14:textId="77777777" w:rsidR="006C786C" w:rsidRDefault="006C78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8D6"/>
    <w:multiLevelType w:val="multilevel"/>
    <w:tmpl w:val="FCF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C87AD5"/>
    <w:multiLevelType w:val="multilevel"/>
    <w:tmpl w:val="044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237FE"/>
    <w:multiLevelType w:val="multilevel"/>
    <w:tmpl w:val="9B9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49992">
    <w:abstractNumId w:val="2"/>
  </w:num>
  <w:num w:numId="2" w16cid:durableId="864169339">
    <w:abstractNumId w:val="3"/>
  </w:num>
  <w:num w:numId="3" w16cid:durableId="698556303">
    <w:abstractNumId w:val="0"/>
  </w:num>
  <w:num w:numId="4" w16cid:durableId="76286815">
    <w:abstractNumId w:val="1"/>
  </w:num>
  <w:num w:numId="5" w16cid:durableId="1902060353">
    <w:abstractNumId w:val="1"/>
  </w:num>
  <w:num w:numId="6" w16cid:durableId="688483188">
    <w:abstractNumId w:val="1"/>
  </w:num>
  <w:num w:numId="7" w16cid:durableId="337121484">
    <w:abstractNumId w:val="1"/>
  </w:num>
  <w:num w:numId="8" w16cid:durableId="285816099">
    <w:abstractNumId w:val="1"/>
  </w:num>
  <w:num w:numId="9" w16cid:durableId="920144965">
    <w:abstractNumId w:val="1"/>
  </w:num>
  <w:num w:numId="10" w16cid:durableId="1144351246">
    <w:abstractNumId w:val="1"/>
  </w:num>
  <w:num w:numId="11" w16cid:durableId="1714115773">
    <w:abstractNumId w:val="1"/>
  </w:num>
  <w:num w:numId="12" w16cid:durableId="588465825">
    <w:abstractNumId w:val="1"/>
  </w:num>
  <w:num w:numId="13" w16cid:durableId="123732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6C"/>
    <w:rsid w:val="000A75E8"/>
    <w:rsid w:val="004B46B4"/>
    <w:rsid w:val="006C786C"/>
    <w:rsid w:val="007218FB"/>
    <w:rsid w:val="00757293"/>
    <w:rsid w:val="009D6691"/>
    <w:rsid w:val="00BA7CE4"/>
    <w:rsid w:val="00F05658"/>
    <w:rsid w:val="00F7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78E16"/>
  <w15:chartTrackingRefBased/>
  <w15:docId w15:val="{C83D6F68-B0FC-4D18-904A-33AC9C78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E8"/>
  </w:style>
  <w:style w:type="paragraph" w:styleId="Heading1">
    <w:name w:val="heading 1"/>
    <w:basedOn w:val="Normal"/>
    <w:next w:val="Normal"/>
    <w:link w:val="Heading1Char"/>
    <w:uiPriority w:val="9"/>
    <w:qFormat/>
    <w:rsid w:val="000A75E8"/>
    <w:pPr>
      <w:keepNext/>
      <w:keepLines/>
      <w:numPr>
        <w:numId w:val="1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5E8"/>
    <w:pPr>
      <w:keepNext/>
      <w:keepLines/>
      <w:numPr>
        <w:ilvl w:val="1"/>
        <w:numId w:val="1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E8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E8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E8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E8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E8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E8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E8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E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5E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E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E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E8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E8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E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A75E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E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E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A75E8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0A75E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A75E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C786C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0A75E8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E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E8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0A75E8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6C7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86C"/>
  </w:style>
  <w:style w:type="paragraph" w:styleId="Footer">
    <w:name w:val="footer"/>
    <w:basedOn w:val="Normal"/>
    <w:link w:val="FooterChar"/>
    <w:uiPriority w:val="99"/>
    <w:unhideWhenUsed/>
    <w:rsid w:val="006C7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86C"/>
  </w:style>
  <w:style w:type="table" w:styleId="TableGrid">
    <w:name w:val="Table Grid"/>
    <w:basedOn w:val="TableNormal"/>
    <w:uiPriority w:val="39"/>
    <w:rsid w:val="00F70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0A75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A75E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A75E8"/>
    <w:rPr>
      <w:i/>
      <w:iCs/>
      <w:color w:val="auto"/>
    </w:rPr>
  </w:style>
  <w:style w:type="paragraph" w:styleId="NoSpacing">
    <w:name w:val="No Spacing"/>
    <w:uiPriority w:val="1"/>
    <w:qFormat/>
    <w:rsid w:val="000A75E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A75E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A75E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A75E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75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2</cp:revision>
  <dcterms:created xsi:type="dcterms:W3CDTF">2025-06-11T15:38:00Z</dcterms:created>
  <dcterms:modified xsi:type="dcterms:W3CDTF">2025-06-11T15:57:00Z</dcterms:modified>
</cp:coreProperties>
</file>