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031EA" w14:textId="3796008B" w:rsidR="00227ADB" w:rsidRDefault="00227ADB" w:rsidP="00227ADB">
      <w:pPr>
        <w:rPr>
          <w:b/>
          <w:bCs/>
        </w:rPr>
      </w:pPr>
      <w:r>
        <w:rPr>
          <w:b/>
          <w:bCs/>
        </w:rPr>
        <w:t>Sagar Rajen Kapadia</w:t>
      </w:r>
      <w:r w:rsidR="00166EBF">
        <w:rPr>
          <w:b/>
          <w:bCs/>
        </w:rPr>
        <w:t xml:space="preserve"> / Drafted by Gemini</w:t>
      </w:r>
    </w:p>
    <w:p w14:paraId="22CEEA72" w14:textId="4DDCEEC1" w:rsidR="00227ADB" w:rsidRDefault="00227ADB" w:rsidP="00227ADB">
      <w:pPr>
        <w:rPr>
          <w:b/>
          <w:bCs/>
        </w:rPr>
      </w:pPr>
      <w:r>
        <w:rPr>
          <w:b/>
          <w:bCs/>
        </w:rPr>
        <w:t>Date: 16-06-2026</w:t>
      </w:r>
    </w:p>
    <w:p w14:paraId="1E72E4E0" w14:textId="2F07FA0B" w:rsidR="00227ADB" w:rsidRPr="00227ADB" w:rsidRDefault="00227ADB" w:rsidP="00227ADB">
      <w:pPr>
        <w:rPr>
          <w:b/>
          <w:bCs/>
        </w:rPr>
      </w:pPr>
      <w:r w:rsidRPr="00227ADB">
        <w:rPr>
          <w:b/>
          <w:bCs/>
        </w:rPr>
        <w:t>Introduction: The Anatomy of Cosmogenesis</w:t>
      </w:r>
    </w:p>
    <w:p w14:paraId="38C31F13" w14:textId="77777777" w:rsidR="00227ADB" w:rsidRPr="00227ADB" w:rsidRDefault="00227ADB" w:rsidP="00227ADB">
      <w:r w:rsidRPr="00227ADB">
        <w:t>For millennia, the social, legal, and psychological architecture of Greater South Asia—</w:t>
      </w:r>
      <w:r w:rsidRPr="00227ADB">
        <w:rPr>
          <w:i/>
          <w:iCs/>
        </w:rPr>
        <w:t>Bharat Varsha</w:t>
      </w:r>
      <w:r w:rsidRPr="00227ADB">
        <w:t xml:space="preserve">—has been governed by a hidden operating system. While modern nations like India run on democratic constitutions on paper, the everyday reality for millions remains deeply tethered to an older, ancestral code: the </w:t>
      </w:r>
      <w:r w:rsidRPr="00227ADB">
        <w:rPr>
          <w:i/>
          <w:iCs/>
        </w:rPr>
        <w:t>Manusmriti</w:t>
      </w:r>
      <w:r w:rsidRPr="00227ADB">
        <w:t xml:space="preserve"> (The Laws of Manu).</w:t>
      </w:r>
    </w:p>
    <w:p w14:paraId="308BE123" w14:textId="77777777" w:rsidR="00227ADB" w:rsidRPr="00227ADB" w:rsidRDefault="00227ADB" w:rsidP="00227ADB">
      <w:r w:rsidRPr="00227ADB">
        <w:t>To understand why this system has rendered life an engineered hierarchy for non-Brahmin communities, one does not need to read the text in its entirety. The foundational deception is executed immediately in the very first chapter.</w:t>
      </w:r>
    </w:p>
    <w:p w14:paraId="0148CF44" w14:textId="77777777" w:rsidR="00227ADB" w:rsidRPr="00227ADB" w:rsidRDefault="00227ADB" w:rsidP="00227ADB">
      <w:r w:rsidRPr="00227ADB">
        <w:t xml:space="preserve">In </w:t>
      </w:r>
      <w:r w:rsidRPr="00227ADB">
        <w:rPr>
          <w:b/>
          <w:bCs/>
        </w:rPr>
        <w:t>Manusmriti, Chapter 1, Verse 31</w:t>
      </w:r>
      <w:r w:rsidRPr="00227ADB">
        <w:t>, the text lays down its cosmic blueprint:</w:t>
      </w:r>
    </w:p>
    <w:p w14:paraId="6144051F" w14:textId="77777777" w:rsidR="00227ADB" w:rsidRPr="00227ADB" w:rsidRDefault="00227ADB" w:rsidP="00227ADB">
      <w:proofErr w:type="spellStart"/>
      <w:r w:rsidRPr="00227ADB">
        <w:rPr>
          <w:rFonts w:ascii="Nirmala UI" w:hAnsi="Nirmala UI" w:cs="Nirmala UI"/>
          <w:b/>
          <w:bCs/>
        </w:rPr>
        <w:t>लोकानां</w:t>
      </w:r>
      <w:proofErr w:type="spellEnd"/>
      <w:r w:rsidRPr="00227ADB">
        <w:rPr>
          <w:b/>
          <w:bCs/>
        </w:rPr>
        <w:t xml:space="preserve"> </w:t>
      </w:r>
      <w:proofErr w:type="spellStart"/>
      <w:r w:rsidRPr="00227ADB">
        <w:rPr>
          <w:rFonts w:ascii="Nirmala UI" w:hAnsi="Nirmala UI" w:cs="Nirmala UI"/>
          <w:b/>
          <w:bCs/>
        </w:rPr>
        <w:t>तु</w:t>
      </w:r>
      <w:proofErr w:type="spellEnd"/>
      <w:r w:rsidRPr="00227ADB">
        <w:rPr>
          <w:b/>
          <w:bCs/>
        </w:rPr>
        <w:t xml:space="preserve"> </w:t>
      </w:r>
      <w:proofErr w:type="spellStart"/>
      <w:r w:rsidRPr="00227ADB">
        <w:rPr>
          <w:rFonts w:ascii="Nirmala UI" w:hAnsi="Nirmala UI" w:cs="Nirmala UI"/>
          <w:b/>
          <w:bCs/>
        </w:rPr>
        <w:t>विवृद्ध्यर्थं</w:t>
      </w:r>
      <w:proofErr w:type="spellEnd"/>
      <w:r w:rsidRPr="00227ADB">
        <w:rPr>
          <w:b/>
          <w:bCs/>
        </w:rPr>
        <w:t xml:space="preserve"> </w:t>
      </w:r>
      <w:proofErr w:type="spellStart"/>
      <w:r w:rsidRPr="00227ADB">
        <w:rPr>
          <w:rFonts w:ascii="Nirmala UI" w:hAnsi="Nirmala UI" w:cs="Nirmala UI"/>
          <w:b/>
          <w:bCs/>
        </w:rPr>
        <w:t>मुखबाहूरुपादतः</w:t>
      </w:r>
      <w:proofErr w:type="spellEnd"/>
      <w:r w:rsidRPr="00227ADB">
        <w:rPr>
          <w:b/>
          <w:bCs/>
        </w:rPr>
        <w:t xml:space="preserve"> </w:t>
      </w:r>
      <w:r w:rsidRPr="00227ADB">
        <w:rPr>
          <w:rFonts w:ascii="Nirmala UI" w:hAnsi="Nirmala UI" w:cs="Nirmala UI"/>
          <w:b/>
          <w:bCs/>
        </w:rPr>
        <w:t>।</w:t>
      </w:r>
      <w:r w:rsidRPr="00227ADB">
        <w:t xml:space="preserve"> </w:t>
      </w:r>
      <w:proofErr w:type="spellStart"/>
      <w:r w:rsidRPr="00227ADB">
        <w:rPr>
          <w:rFonts w:ascii="Nirmala UI" w:hAnsi="Nirmala UI" w:cs="Nirmala UI"/>
          <w:b/>
          <w:bCs/>
        </w:rPr>
        <w:t>ब्राह्मणं</w:t>
      </w:r>
      <w:proofErr w:type="spellEnd"/>
      <w:r w:rsidRPr="00227ADB">
        <w:rPr>
          <w:b/>
          <w:bCs/>
        </w:rPr>
        <w:t xml:space="preserve"> </w:t>
      </w:r>
      <w:proofErr w:type="spellStart"/>
      <w:r w:rsidRPr="00227ADB">
        <w:rPr>
          <w:rFonts w:ascii="Nirmala UI" w:hAnsi="Nirmala UI" w:cs="Nirmala UI"/>
          <w:b/>
          <w:bCs/>
        </w:rPr>
        <w:t>क्षत्रियं</w:t>
      </w:r>
      <w:proofErr w:type="spellEnd"/>
      <w:r w:rsidRPr="00227ADB">
        <w:rPr>
          <w:b/>
          <w:bCs/>
        </w:rPr>
        <w:t xml:space="preserve"> </w:t>
      </w:r>
      <w:proofErr w:type="spellStart"/>
      <w:r w:rsidRPr="00227ADB">
        <w:rPr>
          <w:rFonts w:ascii="Nirmala UI" w:hAnsi="Nirmala UI" w:cs="Nirmala UI"/>
          <w:b/>
          <w:bCs/>
        </w:rPr>
        <w:t>वैश्यं</w:t>
      </w:r>
      <w:proofErr w:type="spellEnd"/>
      <w:r w:rsidRPr="00227ADB">
        <w:rPr>
          <w:b/>
          <w:bCs/>
        </w:rPr>
        <w:t xml:space="preserve"> </w:t>
      </w:r>
      <w:proofErr w:type="spellStart"/>
      <w:r w:rsidRPr="00227ADB">
        <w:rPr>
          <w:rFonts w:ascii="Nirmala UI" w:hAnsi="Nirmala UI" w:cs="Nirmala UI"/>
          <w:b/>
          <w:bCs/>
        </w:rPr>
        <w:t>शूद्रं</w:t>
      </w:r>
      <w:proofErr w:type="spellEnd"/>
      <w:r w:rsidRPr="00227ADB">
        <w:rPr>
          <w:b/>
          <w:bCs/>
        </w:rPr>
        <w:t xml:space="preserve"> </w:t>
      </w:r>
      <w:r w:rsidRPr="00227ADB">
        <w:rPr>
          <w:rFonts w:ascii="Nirmala UI" w:hAnsi="Nirmala UI" w:cs="Nirmala UI"/>
          <w:b/>
          <w:bCs/>
        </w:rPr>
        <w:t>च</w:t>
      </w:r>
      <w:r w:rsidRPr="00227ADB">
        <w:rPr>
          <w:b/>
          <w:bCs/>
        </w:rPr>
        <w:t xml:space="preserve"> </w:t>
      </w:r>
      <w:proofErr w:type="spellStart"/>
      <w:r w:rsidRPr="00227ADB">
        <w:rPr>
          <w:rFonts w:ascii="Nirmala UI" w:hAnsi="Nirmala UI" w:cs="Nirmala UI"/>
          <w:b/>
          <w:bCs/>
        </w:rPr>
        <w:t>निरवर्तयत्</w:t>
      </w:r>
      <w:proofErr w:type="spellEnd"/>
      <w:r w:rsidRPr="00227ADB">
        <w:rPr>
          <w:b/>
          <w:bCs/>
        </w:rPr>
        <w:t xml:space="preserve"> </w:t>
      </w:r>
      <w:r w:rsidRPr="00227ADB">
        <w:rPr>
          <w:rFonts w:ascii="Nirmala UI" w:hAnsi="Nirmala UI" w:cs="Nirmala UI"/>
          <w:b/>
          <w:bCs/>
        </w:rPr>
        <w:t>॥</w:t>
      </w:r>
      <w:r w:rsidRPr="00227ADB">
        <w:rPr>
          <w:b/>
          <w:bCs/>
        </w:rPr>
        <w:t xml:space="preserve"> </w:t>
      </w:r>
      <w:r w:rsidRPr="00227ADB">
        <w:rPr>
          <w:rFonts w:ascii="Nirmala UI" w:hAnsi="Nirmala UI" w:cs="Nirmala UI"/>
          <w:b/>
          <w:bCs/>
        </w:rPr>
        <w:t>३१</w:t>
      </w:r>
      <w:r w:rsidRPr="00227ADB">
        <w:rPr>
          <w:b/>
          <w:bCs/>
        </w:rPr>
        <w:t xml:space="preserve"> </w:t>
      </w:r>
      <w:r w:rsidRPr="00227ADB">
        <w:rPr>
          <w:rFonts w:ascii="Nirmala UI" w:hAnsi="Nirmala UI" w:cs="Nirmala UI"/>
          <w:b/>
          <w:bCs/>
        </w:rPr>
        <w:t>॥</w:t>
      </w:r>
    </w:p>
    <w:p w14:paraId="0985508E" w14:textId="77777777" w:rsidR="00227ADB" w:rsidRPr="00227ADB" w:rsidRDefault="00227ADB" w:rsidP="00227ADB">
      <w:r w:rsidRPr="00227ADB">
        <w:rPr>
          <w:i/>
          <w:iCs/>
        </w:rPr>
        <w:t>“But for the sake of the prosperity of the worlds, he [the Creator] caused the Brahmana, the Kshatriya, the Vaisya, and the Sudra to proceed from his mouth, his arms, his thighs, and his feet, respectively.”</w:t>
      </w:r>
    </w:p>
    <w:p w14:paraId="5A7011CE" w14:textId="77777777" w:rsidR="00227ADB" w:rsidRPr="00227ADB" w:rsidRDefault="00227ADB" w:rsidP="00227ADB">
      <w:r w:rsidRPr="00227ADB">
        <w:t>This text pulls off a profound cognitive trick. By mapping social hierarchy onto the physical anatomy of the Creator at the exact moment of cosmogenesis, it naturalizes human inequality. It implies that a Shudra being at the bottom of society is as immutable a law of nature as gravity or the orbit of the stars.</w:t>
      </w:r>
    </w:p>
    <w:p w14:paraId="1867EAD9" w14:textId="77777777" w:rsidR="00227ADB" w:rsidRPr="00227ADB" w:rsidRDefault="00227ADB" w:rsidP="00227ADB">
      <w:r w:rsidRPr="00227ADB">
        <w:t>Furthermore, this anatomical mapping introduces a rigid hierarchy of ritual purity. The upper parts of the body—specifically the mouth, from which the Brahmins emerge—are codified as inherently pure, while the parts below the navel, culminating in the feet from which the Shudras emerge, are deemed inherently impure.</w:t>
      </w:r>
    </w:p>
    <w:p w14:paraId="65A94698" w14:textId="77777777" w:rsidR="00227ADB" w:rsidRPr="00227ADB" w:rsidRDefault="00227ADB" w:rsidP="00227ADB">
      <w:r w:rsidRPr="00227ADB">
        <w:t>However, when evaluated through the objective lens of modern systems engineering and topology, this foundational premise reveals a fatal logical and structural flaw.</w:t>
      </w:r>
    </w:p>
    <w:p w14:paraId="2A06252A" w14:textId="77777777" w:rsidR="00227ADB" w:rsidRPr="00227ADB" w:rsidRDefault="00227ADB" w:rsidP="00227ADB">
      <w:pPr>
        <w:rPr>
          <w:b/>
          <w:bCs/>
        </w:rPr>
      </w:pPr>
      <w:r w:rsidRPr="00227ADB">
        <w:rPr>
          <w:b/>
          <w:bCs/>
        </w:rPr>
        <w:t>The Piped Architecture: Fuel and Exhaust</w:t>
      </w:r>
    </w:p>
    <w:p w14:paraId="48CC7DF8" w14:textId="77777777" w:rsidR="00227ADB" w:rsidRPr="00227ADB" w:rsidRDefault="00227ADB" w:rsidP="00227ADB">
      <w:r w:rsidRPr="00227ADB">
        <w:t>Let us strip away the cosmic mysticism and evaluate the human body for what it physically is: a highly integrated, biological piped architecture.</w:t>
      </w:r>
    </w:p>
    <w:p w14:paraId="68097865" w14:textId="77777777" w:rsidR="00227ADB" w:rsidRPr="00227ADB" w:rsidRDefault="00227ADB" w:rsidP="00227ADB">
      <w:r w:rsidRPr="00227ADB">
        <w:t xml:space="preserve">In any functional piped system, there is an intake mechanism and an exhaust mechanism. The mouth serves as the intake valve; it introduces the external material (fuel) into the system. The gastrointestinal tract processes this fuel, extracts </w:t>
      </w:r>
      <w:r w:rsidRPr="00227ADB">
        <w:lastRenderedPageBreak/>
        <w:t>thermodynamic energy, and pushes the spent material down toward the lower apertures—the colon, rectum, and anus—where it is excreted as waste.</w:t>
      </w:r>
    </w:p>
    <w:p w14:paraId="4E5CAAB5" w14:textId="77777777" w:rsidR="00227ADB" w:rsidRPr="00227ADB" w:rsidRDefault="00227ADB" w:rsidP="00227ADB">
      <w:r w:rsidRPr="00227ADB">
        <w:t xml:space="preserve">The </w:t>
      </w:r>
      <w:r w:rsidRPr="00227ADB">
        <w:rPr>
          <w:i/>
          <w:iCs/>
        </w:rPr>
        <w:t>Manusmriti</w:t>
      </w:r>
      <w:r w:rsidRPr="00227ADB">
        <w:t xml:space="preserve"> attempts to engineer a system where the intake (the mouth/Brahmin) is held to be divinely pure, while the lower segments (the feet and by extension the reproductive and excretory regions/Shudra) are degraded as permanently defiled.</w:t>
      </w:r>
    </w:p>
    <w:p w14:paraId="540DD0CC" w14:textId="77777777" w:rsidR="00227ADB" w:rsidRPr="00227ADB" w:rsidRDefault="00227ADB" w:rsidP="00227ADB">
      <w:r w:rsidRPr="00227ADB">
        <w:t>From an engineering perspective, this is an absolute absurdity. Think of a vehicle: how can one argue that the mouth of a petrol tank is inherently "pure" while the exhaust pipe is inherently "dirty"? They are part of the exact same continuous mechanical loop. If the exhaust system fails, if the rectum or anus experiences a total blockage, the physical retention capacity of the machine is breached, internal pressure spikes, toxicity spreads, and the entire system grinds to a catastrophic halt.</w:t>
      </w:r>
    </w:p>
    <w:p w14:paraId="3110034B" w14:textId="77777777" w:rsidR="00227ADB" w:rsidRPr="00227ADB" w:rsidRDefault="00227ADB" w:rsidP="00227ADB">
      <w:r w:rsidRPr="00227ADB">
        <w:t>The intake cannot exist without the exhaust. To degrade the exhaust while worshipping the intake is a fundamental misunderstanding of systemic architecture.</w:t>
      </w:r>
    </w:p>
    <w:p w14:paraId="4E5B1E46" w14:textId="77777777" w:rsidR="00227ADB" w:rsidRPr="00227ADB" w:rsidRDefault="00227ADB" w:rsidP="00227ADB">
      <w:pPr>
        <w:rPr>
          <w:b/>
          <w:bCs/>
        </w:rPr>
      </w:pPr>
      <w:r w:rsidRPr="00227ADB">
        <w:rPr>
          <w:b/>
          <w:bCs/>
        </w:rPr>
        <w:t>From "Two Sides of a Coin" to the Möbius Strip</w:t>
      </w:r>
    </w:p>
    <w:p w14:paraId="18A54EF4" w14:textId="77777777" w:rsidR="00227ADB" w:rsidRPr="00227ADB" w:rsidRDefault="00227ADB" w:rsidP="00227ADB">
      <w:r w:rsidRPr="00227ADB">
        <w:t xml:space="preserve">When trying to describe interconnected systems, we often rely on the colloquial phrase </w:t>
      </w:r>
      <w:r w:rsidRPr="00227ADB">
        <w:rPr>
          <w:b/>
          <w:bCs/>
        </w:rPr>
        <w:t>"two sides of the same coin."</w:t>
      </w:r>
      <w:r w:rsidRPr="00227ADB">
        <w:t xml:space="preserve"> We use it to imply that two things are distinct but fundamentally inseparable. However, when applied to a piped biological or social architecture, this phrase falls short. A coin still possesses two completely separate, parallel surfaces that never meet. It implies a true top and a true bottom—a separation that allows the top to look down upon the bottom.</w:t>
      </w:r>
    </w:p>
    <w:p w14:paraId="18D2B338" w14:textId="77777777" w:rsidR="00227ADB" w:rsidRPr="00227ADB" w:rsidRDefault="00227ADB" w:rsidP="00227ADB">
      <w:r w:rsidRPr="00227ADB">
        <w:t xml:space="preserve">To accurately challenge the </w:t>
      </w:r>
      <w:r w:rsidRPr="00227ADB">
        <w:rPr>
          <w:i/>
          <w:iCs/>
        </w:rPr>
        <w:t>Manusmriti</w:t>
      </w:r>
      <w:r w:rsidRPr="00227ADB">
        <w:t xml:space="preserve">, we must upgrade our conceptual language from basic currency to advanced topology: we must look at the </w:t>
      </w:r>
      <w:r w:rsidRPr="00227ADB">
        <w:rPr>
          <w:b/>
          <w:bCs/>
        </w:rPr>
        <w:t>Möbius strip</w:t>
      </w:r>
      <w:r w:rsidRPr="00227ADB">
        <w:t>.</w:t>
      </w:r>
    </w:p>
    <w:p w14:paraId="6632373E" w14:textId="77777777" w:rsidR="00227ADB" w:rsidRPr="00227ADB" w:rsidRDefault="00227ADB" w:rsidP="00227ADB">
      <w:r w:rsidRPr="00227ADB">
        <w:t xml:space="preserve">A Möbius strip is a surface with only </w:t>
      </w:r>
      <w:r w:rsidRPr="00227ADB">
        <w:rPr>
          <w:i/>
          <w:iCs/>
        </w:rPr>
        <w:t>one</w:t>
      </w:r>
      <w:r w:rsidRPr="00227ADB">
        <w:t xml:space="preserve"> side and only </w:t>
      </w:r>
      <w:r w:rsidRPr="00227ADB">
        <w:rPr>
          <w:i/>
          <w:iCs/>
        </w:rPr>
        <w:t>one</w:t>
      </w:r>
      <w:r w:rsidRPr="00227ADB">
        <w:t xml:space="preserve"> boundary component. If you take a strip of paper, give it a half-twist, and paste the ends together, you create a structure where the "inside" seamlessly flows into the "outside." If you take a pen and draw a continuous line down the center of a Möbius strip, you will eventually cover both the "front" and the "back" without ever lifting your pen or crossing an edge.</w:t>
      </w:r>
    </w:p>
    <w:p w14:paraId="370FC9CD" w14:textId="4B208CB5" w:rsidR="00131EBC" w:rsidRDefault="00131EBC" w:rsidP="00227ADB">
      <w:r>
        <w:rPr>
          <w:noProof/>
        </w:rPr>
        <w:lastRenderedPageBreak/>
        <w:drawing>
          <wp:inline distT="0" distB="0" distL="0" distR="0" wp14:anchorId="3AC2E747" wp14:editId="08F6277D">
            <wp:extent cx="5731510" cy="3553460"/>
            <wp:effectExtent l="0" t="0" r="2540" b="8890"/>
            <wp:docPr id="162361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13253" name="Picture 16236132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53460"/>
                    </a:xfrm>
                    <a:prstGeom prst="rect">
                      <a:avLst/>
                    </a:prstGeom>
                  </pic:spPr>
                </pic:pic>
              </a:graphicData>
            </a:graphic>
          </wp:inline>
        </w:drawing>
      </w:r>
    </w:p>
    <w:p w14:paraId="2C2C48DE" w14:textId="543B6017" w:rsidR="00227ADB" w:rsidRDefault="00227ADB" w:rsidP="00227ADB">
      <w:r w:rsidRPr="00227ADB">
        <w:t xml:space="preserve">  (A Continuous Topological Loop)</w:t>
      </w:r>
    </w:p>
    <w:p w14:paraId="76167131" w14:textId="7093BDB0" w:rsidR="00131EBC" w:rsidRDefault="00131EBC" w:rsidP="00227ADB">
      <w:r w:rsidRPr="00131EBC">
        <w:t xml:space="preserve">By David Benbennick - Möbius strip.jpg, CC BY-SA 2.0, </w:t>
      </w:r>
      <w:hyperlink r:id="rId7" w:history="1">
        <w:r w:rsidRPr="00497C7B">
          <w:rPr>
            <w:rStyle w:val="Hyperlink"/>
          </w:rPr>
          <w:t>https://commons.wikimedia.org/w/index.php?curid=142071794</w:t>
        </w:r>
      </w:hyperlink>
    </w:p>
    <w:p w14:paraId="541BA1BB" w14:textId="77777777" w:rsidR="00131EBC" w:rsidRPr="00227ADB" w:rsidRDefault="00131EBC" w:rsidP="00227ADB"/>
    <w:p w14:paraId="39F42B70" w14:textId="77777777" w:rsidR="00227ADB" w:rsidRPr="00227ADB" w:rsidRDefault="00227ADB" w:rsidP="00227ADB">
      <w:r w:rsidRPr="00227ADB">
        <w:t>This is the true reality of a piped architecture. The mouth and the anus are not two separate, hierarchical entities; they are conjugates. They are the same continuous, single-surface tube wrapped in a topological loop. Matter enters the surface at one point, transforms, and exits the same continuous surface at another.</w:t>
      </w:r>
    </w:p>
    <w:p w14:paraId="673349C4" w14:textId="77777777" w:rsidR="00227ADB" w:rsidRPr="00227ADB" w:rsidRDefault="00227ADB" w:rsidP="00227ADB">
      <w:r w:rsidRPr="00227ADB">
        <w:t>By utilizing the Möbius strip anomaly, the artificial boundary between "pure upper parts" and "impure lower parts" completely evaporates. There is no true "top" or "bottom" on a single-surface loop. The mouth and the feet are completely interlocked, interdependent components of a singular, undivided machine.</w:t>
      </w:r>
    </w:p>
    <w:p w14:paraId="35A1DB7D" w14:textId="77777777" w:rsidR="00227ADB" w:rsidRPr="00227ADB" w:rsidRDefault="00227ADB" w:rsidP="00227ADB">
      <w:pPr>
        <w:rPr>
          <w:b/>
          <w:bCs/>
        </w:rPr>
      </w:pPr>
      <w:r w:rsidRPr="00227ADB">
        <w:rPr>
          <w:b/>
          <w:bCs/>
        </w:rPr>
        <w:t>Conclusion: Deconstructing the Cosmic Deception</w:t>
      </w:r>
    </w:p>
    <w:p w14:paraId="1D6E2AD8" w14:textId="77777777" w:rsidR="00227ADB" w:rsidRPr="00227ADB" w:rsidRDefault="00227ADB" w:rsidP="00227ADB">
      <w:r w:rsidRPr="00227ADB">
        <w:t xml:space="preserve">The concept of ritual purity and pollution within the </w:t>
      </w:r>
      <w:r w:rsidRPr="00227ADB">
        <w:rPr>
          <w:i/>
          <w:iCs/>
        </w:rPr>
        <w:t>Manusmriti</w:t>
      </w:r>
      <w:r w:rsidRPr="00227ADB">
        <w:t xml:space="preserve"> is not an objective spiritual law; it is a structural and engineering fallacy. Its ancient compilers weaponized a deeply flawed biological analogy to sanitize, deify, and perpetuate an exploitative division of human beings. By convincing the masses that their structural place at the "feet" of society was a divine design, they neutralized the threat of rebellion and coerced the foundational laborers of society into accepting their own subjugation.</w:t>
      </w:r>
    </w:p>
    <w:p w14:paraId="266E718B" w14:textId="77777777" w:rsidR="00227ADB" w:rsidRPr="00227ADB" w:rsidRDefault="00227ADB" w:rsidP="00227ADB">
      <w:r w:rsidRPr="00227ADB">
        <w:lastRenderedPageBreak/>
        <w:t>When we look at the historical and modern suffering of marginalized communities across South Asia, we are looking at the catastrophic consequences of running a civilization on bad engineering logic. A machine that systematically starves, abuses, and humiliates its own foundational supports and exhaust systems is a machine designed to rust from within.</w:t>
      </w:r>
    </w:p>
    <w:p w14:paraId="7606A980" w14:textId="77777777" w:rsidR="00227ADB" w:rsidRPr="00227ADB" w:rsidRDefault="00227ADB" w:rsidP="00227ADB">
      <w:r w:rsidRPr="00227ADB">
        <w:t xml:space="preserve">The spell of the </w:t>
      </w:r>
      <w:r w:rsidRPr="00227ADB">
        <w:rPr>
          <w:i/>
          <w:iCs/>
        </w:rPr>
        <w:t>Manusmriti</w:t>
      </w:r>
      <w:r w:rsidRPr="00227ADB">
        <w:t xml:space="preserve"> relies entirely on enforced ignorance, mystery, and taboo. For centuries, non-Brahmins were violently barred from accessing these texts under penalty of physical torture, ensuring the source code could never be audited.</w:t>
      </w:r>
    </w:p>
    <w:p w14:paraId="78A182B1" w14:textId="77777777" w:rsidR="00227ADB" w:rsidRPr="00227ADB" w:rsidRDefault="00227ADB" w:rsidP="00227ADB">
      <w:r w:rsidRPr="00227ADB">
        <w:t xml:space="preserve">But the taboo has been broken. By looking directly at the code of Chapter 1 with a rational, systemic mind, the illusion vanishes. It is time we introduce the </w:t>
      </w:r>
      <w:r w:rsidRPr="00227ADB">
        <w:rPr>
          <w:i/>
          <w:iCs/>
        </w:rPr>
        <w:t>Manusmriti</w:t>
      </w:r>
      <w:r w:rsidRPr="00227ADB">
        <w:t xml:space="preserve"> and the Vedas to the civilized world—not as sacred books of cosmic wisdom, but as historical case studies in the weaponization of flawed logic to legitimize inequality at cosmogenesis. Once the code is exposed to clear, scientific analysis, the spell is permanently broken.</w:t>
      </w:r>
    </w:p>
    <w:p w14:paraId="2DB6BEDA" w14:textId="77777777" w:rsidR="00461137" w:rsidRDefault="00461137"/>
    <w:sectPr w:rsidR="00461137">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63C65" w14:textId="77777777" w:rsidR="00F35E07" w:rsidRDefault="00F35E07" w:rsidP="00227ADB">
      <w:pPr>
        <w:spacing w:after="0" w:line="240" w:lineRule="auto"/>
      </w:pPr>
      <w:r>
        <w:separator/>
      </w:r>
    </w:p>
  </w:endnote>
  <w:endnote w:type="continuationSeparator" w:id="0">
    <w:p w14:paraId="22F5C52F" w14:textId="77777777" w:rsidR="00F35E07" w:rsidRDefault="00F35E07" w:rsidP="00227A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90BC5" w14:textId="77777777" w:rsidR="00F35E07" w:rsidRDefault="00F35E07" w:rsidP="00227ADB">
      <w:pPr>
        <w:spacing w:after="0" w:line="240" w:lineRule="auto"/>
      </w:pPr>
      <w:r>
        <w:separator/>
      </w:r>
    </w:p>
  </w:footnote>
  <w:footnote w:type="continuationSeparator" w:id="0">
    <w:p w14:paraId="7F6BB4EF" w14:textId="77777777" w:rsidR="00F35E07" w:rsidRDefault="00F35E07" w:rsidP="00227A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AF081" w14:textId="5C4A25F0" w:rsidR="00227ADB" w:rsidRDefault="00227ADB" w:rsidP="00227ADB">
    <w:pPr>
      <w:pStyle w:val="Title"/>
    </w:pPr>
    <w:r w:rsidRPr="00227ADB">
      <w:t>The Primal Fallacy in the Manu Smruti</w:t>
    </w:r>
  </w:p>
  <w:p w14:paraId="208721FC" w14:textId="5078F8BB" w:rsidR="00227ADB" w:rsidRPr="00227ADB" w:rsidRDefault="00227ADB" w:rsidP="00227ADB">
    <w:pPr>
      <w:pStyle w:val="Subtitle"/>
      <w:rPr>
        <w:rStyle w:val="SubtleEmphasis"/>
      </w:rPr>
    </w:pPr>
    <w:r w:rsidRPr="00227ADB">
      <w:rPr>
        <w:rStyle w:val="SubtleEmphasis"/>
      </w:rPr>
      <w:t>A Systems-Engineering Critique of Cosmic Inequality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ADB"/>
    <w:rsid w:val="00131EBC"/>
    <w:rsid w:val="001363D8"/>
    <w:rsid w:val="00166EBF"/>
    <w:rsid w:val="00227ADB"/>
    <w:rsid w:val="00266500"/>
    <w:rsid w:val="00461137"/>
    <w:rsid w:val="00B732EC"/>
    <w:rsid w:val="00F35E07"/>
    <w:rsid w:val="00FA44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59647"/>
  <w15:chartTrackingRefBased/>
  <w15:docId w15:val="{CFFB3402-E96D-4936-9781-DC6ED2C48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A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A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A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A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A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A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A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A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A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A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ADB"/>
    <w:rPr>
      <w:rFonts w:eastAsiaTheme="majorEastAsia" w:cstheme="majorBidi"/>
      <w:color w:val="272727" w:themeColor="text1" w:themeTint="D8"/>
    </w:rPr>
  </w:style>
  <w:style w:type="paragraph" w:styleId="Title">
    <w:name w:val="Title"/>
    <w:basedOn w:val="Normal"/>
    <w:next w:val="Normal"/>
    <w:link w:val="TitleChar"/>
    <w:uiPriority w:val="10"/>
    <w:qFormat/>
    <w:rsid w:val="00227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ADB"/>
    <w:pPr>
      <w:spacing w:before="160"/>
      <w:jc w:val="center"/>
    </w:pPr>
    <w:rPr>
      <w:i/>
      <w:iCs/>
      <w:color w:val="404040" w:themeColor="text1" w:themeTint="BF"/>
    </w:rPr>
  </w:style>
  <w:style w:type="character" w:customStyle="1" w:styleId="QuoteChar">
    <w:name w:val="Quote Char"/>
    <w:basedOn w:val="DefaultParagraphFont"/>
    <w:link w:val="Quote"/>
    <w:uiPriority w:val="29"/>
    <w:rsid w:val="00227ADB"/>
    <w:rPr>
      <w:i/>
      <w:iCs/>
      <w:color w:val="404040" w:themeColor="text1" w:themeTint="BF"/>
    </w:rPr>
  </w:style>
  <w:style w:type="paragraph" w:styleId="ListParagraph">
    <w:name w:val="List Paragraph"/>
    <w:basedOn w:val="Normal"/>
    <w:uiPriority w:val="34"/>
    <w:qFormat/>
    <w:rsid w:val="00227ADB"/>
    <w:pPr>
      <w:ind w:left="720"/>
      <w:contextualSpacing/>
    </w:pPr>
  </w:style>
  <w:style w:type="character" w:styleId="IntenseEmphasis">
    <w:name w:val="Intense Emphasis"/>
    <w:basedOn w:val="DefaultParagraphFont"/>
    <w:uiPriority w:val="21"/>
    <w:qFormat/>
    <w:rsid w:val="00227ADB"/>
    <w:rPr>
      <w:i/>
      <w:iCs/>
      <w:color w:val="0F4761" w:themeColor="accent1" w:themeShade="BF"/>
    </w:rPr>
  </w:style>
  <w:style w:type="paragraph" w:styleId="IntenseQuote">
    <w:name w:val="Intense Quote"/>
    <w:basedOn w:val="Normal"/>
    <w:next w:val="Normal"/>
    <w:link w:val="IntenseQuoteChar"/>
    <w:uiPriority w:val="30"/>
    <w:qFormat/>
    <w:rsid w:val="00227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ADB"/>
    <w:rPr>
      <w:i/>
      <w:iCs/>
      <w:color w:val="0F4761" w:themeColor="accent1" w:themeShade="BF"/>
    </w:rPr>
  </w:style>
  <w:style w:type="character" w:styleId="IntenseReference">
    <w:name w:val="Intense Reference"/>
    <w:basedOn w:val="DefaultParagraphFont"/>
    <w:uiPriority w:val="32"/>
    <w:qFormat/>
    <w:rsid w:val="00227ADB"/>
    <w:rPr>
      <w:b/>
      <w:bCs/>
      <w:smallCaps/>
      <w:color w:val="0F4761" w:themeColor="accent1" w:themeShade="BF"/>
      <w:spacing w:val="5"/>
    </w:rPr>
  </w:style>
  <w:style w:type="paragraph" w:styleId="Header">
    <w:name w:val="header"/>
    <w:basedOn w:val="Normal"/>
    <w:link w:val="HeaderChar"/>
    <w:uiPriority w:val="99"/>
    <w:unhideWhenUsed/>
    <w:rsid w:val="00227A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7ADB"/>
  </w:style>
  <w:style w:type="paragraph" w:styleId="Footer">
    <w:name w:val="footer"/>
    <w:basedOn w:val="Normal"/>
    <w:link w:val="FooterChar"/>
    <w:uiPriority w:val="99"/>
    <w:unhideWhenUsed/>
    <w:rsid w:val="00227A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7ADB"/>
  </w:style>
  <w:style w:type="character" w:styleId="SubtleEmphasis">
    <w:name w:val="Subtle Emphasis"/>
    <w:basedOn w:val="DefaultParagraphFont"/>
    <w:uiPriority w:val="19"/>
    <w:qFormat/>
    <w:rsid w:val="00227ADB"/>
    <w:rPr>
      <w:i/>
      <w:iCs/>
      <w:color w:val="404040" w:themeColor="text1" w:themeTint="BF"/>
    </w:rPr>
  </w:style>
  <w:style w:type="character" w:styleId="Hyperlink">
    <w:name w:val="Hyperlink"/>
    <w:basedOn w:val="DefaultParagraphFont"/>
    <w:uiPriority w:val="99"/>
    <w:unhideWhenUsed/>
    <w:rsid w:val="00131EBC"/>
    <w:rPr>
      <w:color w:val="467886" w:themeColor="hyperlink"/>
      <w:u w:val="single"/>
    </w:rPr>
  </w:style>
  <w:style w:type="character" w:styleId="UnresolvedMention">
    <w:name w:val="Unresolved Mention"/>
    <w:basedOn w:val="DefaultParagraphFont"/>
    <w:uiPriority w:val="99"/>
    <w:semiHidden/>
    <w:unhideWhenUsed/>
    <w:rsid w:val="00131E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commons.wikimedia.org/w/index.php?curid=14207179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1029</Words>
  <Characters>5870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Kapadia</dc:creator>
  <cp:keywords/>
  <dc:description/>
  <cp:lastModifiedBy>Sagar Kapadia</cp:lastModifiedBy>
  <cp:revision>4</cp:revision>
  <cp:lastPrinted>2026-06-16T09:11:00Z</cp:lastPrinted>
  <dcterms:created xsi:type="dcterms:W3CDTF">2026-06-16T09:03:00Z</dcterms:created>
  <dcterms:modified xsi:type="dcterms:W3CDTF">2026-06-16T09:37:00Z</dcterms:modified>
</cp:coreProperties>
</file>