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Microsoft YaHei" w:hAnsi="Microsoft YaHei" w:eastAsia="Microsoft YaHei"/>
          <w:b/>
          <w:color w:val="1F4D78"/>
          <w:sz w:val="44"/>
        </w:rPr>
        <w:t>铁路投资控制插件功能说明参考文档</w:t>
      </w:r>
    </w:p>
    <w:p>
      <w:pPr>
        <w:spacing w:before="0" w:after="240" w:line="264" w:lineRule="auto"/>
      </w:pPr>
      <w:r>
        <w:rPr>
          <w:rFonts w:ascii="Microsoft YaHei" w:hAnsi="Microsoft YaHei" w:eastAsia="Microsoft YaHei"/>
          <w:color w:val="555555"/>
          <w:sz w:val="20"/>
        </w:rPr>
        <w:t>参考《Excel 工程数量表智能定额映射系统 - 用户操作手册》和《工程造价智能编制及分析系统 - 详细设计说明书》整理；生成日期：2026-06-04</w:t>
      </w:r>
    </w:p>
    <w:p>
      <w:pPr>
        <w:pStyle w:val="Heading1"/>
      </w:pPr>
      <w:r>
        <w:t>1. 系统定位</w:t>
      </w:r>
    </w:p>
    <w:p>
      <w:r>
        <w:t>本插件体系面向铁路基本建设工程投资控制系统，目标是在不改变原软件主流程的前提下，补充工程量处理、定额推荐、Excel 联动和人工经验沉淀能力。与独立 Web 上传式系统不同，本方案直接嵌入既有造价软件界面，围绕现场正在编辑的定额输入表、章节树和 Excel/WPS 工程数量表展开操作。</w:t>
      </w:r>
    </w:p>
    <w:p>
      <w:pPr>
        <w:pStyle w:val="ListBullet"/>
      </w:pPr>
      <w:r>
        <w:t>低侵入：保留原软件计算、录入、复制粘贴和数据库逻辑，插件只在必要入口辅助操作。</w:t>
      </w:r>
    </w:p>
    <w:p>
      <w:pPr>
        <w:pStyle w:val="ListBullet"/>
      </w:pPr>
      <w:r>
        <w:t>现场联动：优先读取当前 Excel/WPS 选区、当前定额输入表和当前章节，减少文件上传和任务切换。</w:t>
      </w:r>
    </w:p>
    <w:p>
      <w:pPr>
        <w:pStyle w:val="ListBullet"/>
      </w:pPr>
      <w:r>
        <w:t>经验复用：通过 mapping-boxes.jsonl 保存人工扶正后的工程量表达与一组定额/材料关系。</w:t>
      </w:r>
    </w:p>
    <w:p>
      <w:pPr>
        <w:pStyle w:val="ListBullet"/>
      </w:pPr>
      <w:r>
        <w:t>人控优先：不可靠推荐允许为空，等待人工扶正；组件框和 AI 结果均以用户确认为准。</w:t>
      </w:r>
    </w:p>
    <w:p>
      <w:pPr>
        <w:pStyle w:val="Heading1"/>
      </w:pPr>
      <w:r>
        <w:t>2. 功能总览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2200"/>
        <w:gridCol w:w="2200"/>
        <w:gridCol w:w="1800"/>
        <w:gridCol w:w="1460"/>
      </w:tblGrid>
      <w:tr>
        <w:tc>
          <w:tcPr>
            <w:tcW w:type="dxa" w:w="1700"/>
            <w:shd w:fill="F2F4F7"/>
            <w:vAlign w:val="top"/>
          </w:tcPr>
          <w:p>
            <w:pPr>
              <w:spacing w:before="0" w:after="60" w:line="252" w:lineRule="auto"/>
            </w:pPr>
            <w:r>
              <w:rPr>
                <w:b/>
              </w:rPr>
              <w:t>功能</w:t>
            </w:r>
          </w:p>
        </w:tc>
        <w:tc>
          <w:tcPr>
            <w:tcW w:type="dxa" w:w="2200"/>
            <w:shd w:fill="F2F4F7"/>
            <w:vAlign w:val="top"/>
          </w:tcPr>
          <w:p>
            <w:pPr>
              <w:spacing w:before="0" w:after="60" w:line="252" w:lineRule="auto"/>
            </w:pPr>
            <w:r>
              <w:rPr>
                <w:b/>
              </w:rPr>
              <w:t>入口/对象</w:t>
            </w:r>
          </w:p>
        </w:tc>
        <w:tc>
          <w:tcPr>
            <w:tcW w:type="dxa" w:w="2200"/>
            <w:shd w:fill="F2F4F7"/>
            <w:vAlign w:val="top"/>
          </w:tcPr>
          <w:p>
            <w:pPr>
              <w:spacing w:before="0" w:after="60" w:line="252" w:lineRule="auto"/>
            </w:pPr>
            <w:r>
              <w:rPr>
                <w:b/>
              </w:rPr>
              <w:t>主要输入</w:t>
            </w:r>
          </w:p>
        </w:tc>
        <w:tc>
          <w:tcPr>
            <w:tcW w:type="dxa" w:w="1800"/>
            <w:shd w:fill="F2F4F7"/>
            <w:vAlign w:val="top"/>
          </w:tcPr>
          <w:p>
            <w:pPr>
              <w:spacing w:before="0" w:after="60" w:line="252" w:lineRule="auto"/>
            </w:pPr>
            <w:r>
              <w:rPr>
                <w:b/>
              </w:rPr>
              <w:t>输出结果</w:t>
            </w:r>
          </w:p>
        </w:tc>
        <w:tc>
          <w:tcPr>
            <w:tcW w:type="dxa" w:w="1460"/>
            <w:shd w:fill="F2F4F7"/>
            <w:vAlign w:val="top"/>
          </w:tcPr>
          <w:p>
            <w:pPr>
              <w:spacing w:before="0" w:after="60" w:line="252" w:lineRule="auto"/>
            </w:pPr>
            <w:r>
              <w:rPr>
                <w:b/>
              </w:rPr>
              <w:t>定位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乘系数</w:t>
            </w:r>
          </w:p>
        </w:tc>
        <w:tc>
          <w:tcPr>
            <w:tcW w:type="dxa" w:w="2200"/>
            <w:vAlign w:val="top"/>
          </w:tcPr>
          <w:p>
            <w:pPr>
              <w:spacing w:before="0" w:after="60" w:line="252" w:lineRule="auto"/>
            </w:pPr>
            <w:r>
              <w:t>定额输入表或左侧章节树右键菜单</w:t>
            </w:r>
          </w:p>
        </w:tc>
        <w:tc>
          <w:tcPr>
            <w:tcW w:type="dxa" w:w="2200"/>
            <w:vAlign w:val="top"/>
          </w:tcPr>
          <w:p>
            <w:pPr>
              <w:spacing w:before="0" w:after="60" w:line="252" w:lineRule="auto"/>
            </w:pPr>
            <w:r>
              <w:t>选中定额行、当前章节、系数表达</w:t>
            </w:r>
          </w:p>
        </w:tc>
        <w:tc>
          <w:tcPr>
            <w:tcW w:type="dxa" w:w="1800"/>
            <w:vAlign w:val="top"/>
          </w:tcPr>
          <w:p>
            <w:pPr>
              <w:spacing w:before="0" w:after="60" w:line="252" w:lineRule="auto"/>
            </w:pPr>
            <w:r>
              <w:t>批量更新工程数量输入或定额编号表达式</w:t>
            </w:r>
          </w:p>
        </w:tc>
        <w:tc>
          <w:tcPr>
            <w:tcW w:type="dxa" w:w="1460"/>
            <w:vAlign w:val="top"/>
          </w:tcPr>
          <w:p>
            <w:pPr>
              <w:spacing w:before="0" w:after="60" w:line="252" w:lineRule="auto"/>
            </w:pPr>
            <w:r>
              <w:t>现场批量调整工具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Excel 工程量联动</w:t>
            </w:r>
          </w:p>
        </w:tc>
        <w:tc>
          <w:tcPr>
            <w:tcW w:type="dxa" w:w="2200"/>
            <w:vAlign w:val="top"/>
          </w:tcPr>
          <w:p>
            <w:pPr>
              <w:spacing w:before="0" w:after="60" w:line="252" w:lineRule="auto"/>
            </w:pPr>
            <w:r>
              <w:t>定额输入表右键菜单、快捷键、联动面板</w:t>
            </w:r>
          </w:p>
        </w:tc>
        <w:tc>
          <w:tcPr>
            <w:tcW w:type="dxa" w:w="2200"/>
            <w:vAlign w:val="top"/>
          </w:tcPr>
          <w:p>
            <w:pPr>
              <w:spacing w:before="0" w:after="60" w:line="252" w:lineRule="auto"/>
            </w:pPr>
            <w:r>
              <w:t>定额行、Excel 单元格或表达式</w:t>
            </w:r>
          </w:p>
        </w:tc>
        <w:tc>
          <w:tcPr>
            <w:tcW w:type="dxa" w:w="1800"/>
            <w:vAlign w:val="top"/>
          </w:tcPr>
          <w:p>
            <w:pPr>
              <w:spacing w:before="0" w:after="60" w:line="252" w:lineRule="auto"/>
            </w:pPr>
            <w:r>
              <w:t>保存绑定关系并同步工程数量</w:t>
            </w:r>
          </w:p>
        </w:tc>
        <w:tc>
          <w:tcPr>
            <w:tcW w:type="dxa" w:w="1460"/>
            <w:vAlign w:val="top"/>
          </w:tcPr>
          <w:p>
            <w:pPr>
              <w:spacing w:before="0" w:after="60" w:line="252" w:lineRule="auto"/>
            </w:pPr>
            <w:r>
              <w:t>持续跟踪 Excel 数量变化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推荐定额</w:t>
            </w:r>
          </w:p>
        </w:tc>
        <w:tc>
          <w:tcPr>
            <w:tcW w:type="dxa" w:w="2200"/>
            <w:vAlign w:val="top"/>
          </w:tcPr>
          <w:p>
            <w:pPr>
              <w:spacing w:before="0" w:after="60" w:line="252" w:lineRule="auto"/>
            </w:pPr>
            <w:r>
              <w:t>定额输入表右键“推荐定额”</w:t>
            </w:r>
          </w:p>
        </w:tc>
        <w:tc>
          <w:tcPr>
            <w:tcW w:type="dxa" w:w="2200"/>
            <w:vAlign w:val="top"/>
          </w:tcPr>
          <w:p>
            <w:pPr>
              <w:spacing w:before="0" w:after="60" w:line="252" w:lineRule="auto"/>
            </w:pPr>
            <w:r>
              <w:t>Excel/WPS 当前选区或剪贴板工程量</w:t>
            </w:r>
          </w:p>
        </w:tc>
        <w:tc>
          <w:tcPr>
            <w:tcW w:type="dxa" w:w="1800"/>
            <w:vAlign w:val="top"/>
          </w:tcPr>
          <w:p>
            <w:pPr>
              <w:spacing w:before="0" w:after="60" w:line="252" w:lineRule="auto"/>
            </w:pPr>
            <w:r>
              <w:t>推荐定额/组件框，复制为可粘贴内容</w:t>
            </w:r>
          </w:p>
        </w:tc>
        <w:tc>
          <w:tcPr>
            <w:tcW w:type="dxa" w:w="1460"/>
            <w:vAlign w:val="top"/>
          </w:tcPr>
          <w:p>
            <w:pPr>
              <w:spacing w:before="0" w:after="60" w:line="252" w:lineRule="auto"/>
            </w:pPr>
            <w:r>
              <w:t>批量从工程量生成定额输入候选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添加 AI 配对框内容</w:t>
            </w:r>
          </w:p>
        </w:tc>
        <w:tc>
          <w:tcPr>
            <w:tcW w:type="dxa" w:w="2200"/>
            <w:vAlign w:val="top"/>
          </w:tcPr>
          <w:p>
            <w:pPr>
              <w:spacing w:before="0" w:after="60" w:line="252" w:lineRule="auto"/>
            </w:pPr>
            <w:r>
              <w:t>定额输入表右键“添加对应框内容”</w:t>
            </w:r>
          </w:p>
        </w:tc>
        <w:tc>
          <w:tcPr>
            <w:tcW w:type="dxa" w:w="2200"/>
            <w:vAlign w:val="top"/>
          </w:tcPr>
          <w:p>
            <w:pPr>
              <w:spacing w:before="0" w:after="60" w:line="252" w:lineRule="auto"/>
            </w:pPr>
            <w:r>
              <w:t>选中定额/材料与 Excel 工程量选区</w:t>
            </w:r>
          </w:p>
        </w:tc>
        <w:tc>
          <w:tcPr>
            <w:tcW w:type="dxa" w:w="1800"/>
            <w:vAlign w:val="top"/>
          </w:tcPr>
          <w:p>
            <w:pPr>
              <w:spacing w:before="0" w:after="60" w:line="252" w:lineRule="auto"/>
            </w:pPr>
            <w:r>
              <w:t>写入 mapping-boxes.jsonl 的组件框</w:t>
            </w:r>
          </w:p>
        </w:tc>
        <w:tc>
          <w:tcPr>
            <w:tcW w:type="dxa" w:w="1460"/>
            <w:vAlign w:val="top"/>
          </w:tcPr>
          <w:p>
            <w:pPr>
              <w:spacing w:before="0" w:after="60" w:line="252" w:lineRule="auto"/>
            </w:pPr>
            <w:r>
              <w:t>人工经验快速沉淀</w:t>
            </w:r>
          </w:p>
        </w:tc>
      </w:tr>
    </w:tbl>
    <w:p>
      <w:pPr>
        <w:pStyle w:val="Heading1"/>
      </w:pPr>
      <w:r>
        <w:t>3. 乘系数功能</w:t>
      </w:r>
    </w:p>
    <w:p>
      <w:pPr>
        <w:pStyle w:val="Heading2"/>
      </w:pPr>
      <w:r>
        <w:t>3.1 使用场景</w:t>
      </w:r>
    </w:p>
    <w:p>
      <w:r>
        <w:t>当一组定额需要统一乘以或除以某个系数时，用户可以在定额输入表选中若干行，或在左侧章节树选择一个章节，然后通过右键菜单执行乘系数。该功能更接近原软件内的批量编辑增强，而不是智能映射系统里的单位换算。</w:t>
      </w:r>
    </w:p>
    <w:p>
      <w:pPr>
        <w:pStyle w:val="Heading2"/>
      </w:pPr>
      <w:r>
        <w:t>3.2 工作流程</w:t>
      </w:r>
    </w:p>
    <w:p>
      <w:pPr>
        <w:pStyle w:val="ListNumber"/>
      </w:pPr>
      <w:r>
        <w:t>用户在定额输入表选中需要调整的定额行，或在左侧章节树选中章节。</w:t>
      </w:r>
    </w:p>
    <w:p>
      <w:pPr>
        <w:pStyle w:val="ListNumber"/>
      </w:pPr>
      <w:r>
        <w:t>右键点击“乘系数”，选择“乘到原来的工程量”或“乘到定额编号”。</w:t>
      </w:r>
    </w:p>
    <w:p>
      <w:pPr>
        <w:pStyle w:val="ListNumber"/>
      </w:pPr>
      <w:r>
        <w:t>输入系数，例如 *0.8、*1.05 或 /1.1。</w:t>
      </w:r>
    </w:p>
    <w:p>
      <w:pPr>
        <w:pStyle w:val="ListNumber"/>
      </w:pPr>
      <w:r>
        <w:t>插件更新定额输入表中的工程数量输入、工程数量，或把系数追加到定额编号表达式。</w:t>
      </w:r>
    </w:p>
    <w:p>
      <w:pPr>
        <w:pStyle w:val="ListNumber"/>
      </w:pPr>
      <w:r>
        <w:t>刷新当前定额输入表，提示已处理的定额条数。</w:t>
      </w:r>
    </w:p>
    <w:p>
      <w:pPr>
        <w:pStyle w:val="Heading2"/>
      </w:pPr>
      <w:r>
        <w:t>3.3 与参考 PDF 中系数机制的差别</w:t>
      </w:r>
    </w:p>
    <w:p>
      <w:r>
        <w:t>参考 PDF 中的系数主要用于单位识别和数量换算，例如识别 100m2、100m3 后计算标准定额数量。本插件的乘系数是明确的人工批量调整动作，作用对象是已经录入软件的定额行或章节下定额。两者可以互补：推荐定额负责把 Excel 数量换算成定额数量，乘系数负责后续人工批量修正。</w:t>
      </w:r>
    </w:p>
    <w:p>
      <w:pPr>
        <w:pStyle w:val="Heading1"/>
      </w:pPr>
      <w:r>
        <w:t>4. Excel 工程量联动</w:t>
      </w:r>
    </w:p>
    <w:p>
      <w:pPr>
        <w:pStyle w:val="Heading2"/>
      </w:pPr>
      <w:r>
        <w:t>4.1 使用场景</w:t>
      </w:r>
    </w:p>
    <w:p>
      <w:r>
        <w:t>Excel 联动用于解决工程数量表后续变化后，软件中定额工程数量需要同步更新的问题。用户可以把某条定额绑定到 Excel 单元格，也可以绑定到由多个单元格组成的表达式，例如 E4+E5 或 E4*0.8。</w:t>
      </w:r>
    </w:p>
    <w:p>
      <w:pPr>
        <w:pStyle w:val="Heading2"/>
      </w:pPr>
      <w:r>
        <w:t>4.2 支持能力</w:t>
      </w:r>
    </w:p>
    <w:p>
      <w:pPr>
        <w:pStyle w:val="ListBullet"/>
      </w:pPr>
      <w:r>
        <w:t>单条绑定：当前定额行绑定 Excel/WPS 当前单元格。</w:t>
      </w:r>
    </w:p>
    <w:p>
      <w:pPr>
        <w:pStyle w:val="ListBullet"/>
      </w:pPr>
      <w:r>
        <w:t>连续绑定：从 Excel 起始单元格向下，对应绑定多条连续定额行。</w:t>
      </w:r>
    </w:p>
    <w:p>
      <w:pPr>
        <w:pStyle w:val="ListBullet"/>
      </w:pPr>
      <w:r>
        <w:t>表达式绑定：支持求和、乘除和手写公式，保存表达式而不是只保存单元格。</w:t>
      </w:r>
    </w:p>
    <w:p>
      <w:pPr>
        <w:pStyle w:val="ListBullet"/>
      </w:pPr>
      <w:r>
        <w:t>AI 智能匹配：读取软件中选中的定额与 Excel 选区，给出单元格或表达式绑定建议。</w:t>
      </w:r>
    </w:p>
    <w:p>
      <w:pPr>
        <w:pStyle w:val="ListBullet"/>
      </w:pPr>
      <w:r>
        <w:t>同步面板：集中查看、手动同步、删除绑定，并记录最近同步状态。</w:t>
      </w:r>
    </w:p>
    <w:p>
      <w:pPr>
        <w:pStyle w:val="Heading2"/>
      </w:pPr>
      <w:r>
        <w:t>4.3 数据保存与同步</w:t>
      </w:r>
    </w:p>
    <w:p>
      <w:r>
        <w:t>联动关系保存为项目相关的本地 XML 结构，记录项目标识、定额序号、定额编号、Excel 文件路径、工作表、单元格地址、表达式、最近同步值和状态。同步时优先读取正在打开的 Excel/WPS；如果无法通过 COM 读取，则尝试从文件读取。同步成功后更新定额输入表的工程数量输入和工程数量，并写入同步日志。</w:t>
      </w:r>
    </w:p>
    <w:p>
      <w:pPr>
        <w:pStyle w:val="Heading1"/>
      </w:pPr>
      <w:r>
        <w:t>5. 推荐定额功能</w:t>
      </w:r>
    </w:p>
    <w:p>
      <w:pPr>
        <w:pStyle w:val="Heading2"/>
      </w:pPr>
      <w:r>
        <w:t>5.1 使用场景</w:t>
      </w:r>
    </w:p>
    <w:p>
      <w:r>
        <w:t>推荐定额用于从 Excel/WPS 工程数量表批量生成定额输入候选。用户在 Excel 中框选工程量名称、单位和数量，回到软件定额输入表右键打开推荐窗口，插件按行识别工程量并给出推荐定额或组件框。</w:t>
      </w:r>
    </w:p>
    <w:p>
      <w:pPr>
        <w:pStyle w:val="Heading2"/>
      </w:pPr>
      <w:r>
        <w:t>5.2 推荐优先级</w:t>
      </w:r>
    </w:p>
    <w:p>
      <w:pPr>
        <w:pStyle w:val="ListNumber"/>
      </w:pPr>
      <w:r>
        <w:t>先查 mapping-boxes.jsonl 中人工扶正后的组件框。</w:t>
      </w:r>
    </w:p>
    <w:p>
      <w:pPr>
        <w:pStyle w:val="ListNumber"/>
      </w:pPr>
      <w:r>
        <w:t>组件框未命中时查本地 quota-index.jsonl 全量定额索引。</w:t>
      </w:r>
    </w:p>
    <w:p>
      <w:pPr>
        <w:pStyle w:val="ListNumber"/>
      </w:pPr>
      <w:r>
        <w:t>仍不可靠时可由 AI 补推，但候选必须来自本地索引或组件框候选。</w:t>
      </w:r>
    </w:p>
    <w:p>
      <w:pPr>
        <w:pStyle w:val="ListNumber"/>
      </w:pPr>
      <w:r>
        <w:t>没有可靠结果时保留空推荐行，等待人工扶正。</w:t>
      </w:r>
    </w:p>
    <w:p>
      <w:pPr>
        <w:pStyle w:val="Heading2"/>
      </w:pPr>
      <w:r>
        <w:t>5.3 输出方式</w:t>
      </w:r>
    </w:p>
    <w:p>
      <w:r>
        <w:t>插件不直接绕开原软件业务逻辑写项目数据库。用户确认推荐后点击“复制勾选内容”，插件把定额编号和换算后的工程数量放入剪贴板，用户在定额输入表目标位置粘贴。普通检索只返回一条最优定额；材料只能通过人工扶正后的组件框出现。</w:t>
      </w:r>
    </w:p>
    <w:p>
      <w:pPr>
        <w:pStyle w:val="Heading1"/>
      </w:pPr>
      <w:r>
        <w:t>6. 添加 AI 配对框内容</w:t>
      </w:r>
    </w:p>
    <w:p>
      <w:pPr>
        <w:pStyle w:val="Heading2"/>
      </w:pPr>
      <w:r>
        <w:t>6.1 功能定位</w:t>
      </w:r>
    </w:p>
    <w:p>
      <w:r>
        <w:t>添加 AI 配对框内容是 mapping-boxes.jsonl 的训练入口。它不是另一个推荐系统，而是把用户现场确认过的“工程量表达 -&gt; 一组定额/材料”沉淀为组件框，让后续推荐优先复用。</w:t>
      </w:r>
    </w:p>
    <w:p>
      <w:pPr>
        <w:pStyle w:val="Heading2"/>
      </w:pPr>
      <w:r>
        <w:t>6.2 工作流程</w:t>
      </w:r>
    </w:p>
    <w:p>
      <w:pPr>
        <w:pStyle w:val="ListNumber"/>
      </w:pPr>
      <w:r>
        <w:t>用户在定额输入表中框选一条或多条正确的定额/材料。</w:t>
      </w:r>
    </w:p>
    <w:p>
      <w:pPr>
        <w:pStyle w:val="ListNumber"/>
      </w:pPr>
      <w:r>
        <w:t>用户在 Excel/WPS 中框选对应的工程量行。</w:t>
      </w:r>
    </w:p>
    <w:p>
      <w:pPr>
        <w:pStyle w:val="ListNumber"/>
      </w:pPr>
      <w:r>
        <w:t>打开“添加对应框内容”窗口，点击 AI 配对。</w:t>
      </w:r>
    </w:p>
    <w:p>
      <w:pPr>
        <w:pStyle w:val="ListNumber"/>
      </w:pPr>
      <w:r>
        <w:t>系统结合本地数量匹配和 AI 语义判断，生成配对候选。</w:t>
      </w:r>
    </w:p>
    <w:p>
      <w:pPr>
        <w:pStyle w:val="ListNumber"/>
      </w:pPr>
      <w:r>
        <w:t>用户检查、勾选并确认后，写入 mapping-boxes.jsonl。</w:t>
      </w:r>
    </w:p>
    <w:p>
      <w:pPr>
        <w:pStyle w:val="Heading2"/>
      </w:pPr>
      <w:r>
        <w:t>6.3 与“批量反向建模板”的关系</w:t>
      </w:r>
    </w:p>
    <w:p>
      <w:r>
        <w:t>两者目标相同，都是生成组件框。当前功能适合小范围、现场手动训练；批量反向建模板则是把范围扩大到整章或整项目。由于两者本质接近，当前阶段保留现有“添加 AI 配对框内容”即可，后续如果需要再扩展为批量模式。</w:t>
      </w:r>
    </w:p>
    <w:p>
      <w:pPr>
        <w:pStyle w:val="Heading1"/>
      </w:pPr>
      <w:r>
        <w:t>7. 与参考 PDF 系统的主要差异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3800"/>
        <w:gridCol w:w="3860"/>
      </w:tblGrid>
      <w:tr>
        <w:tc>
          <w:tcPr>
            <w:tcW w:type="dxa" w:w="1700"/>
            <w:shd w:fill="F2F4F7"/>
            <w:vAlign w:val="top"/>
          </w:tcPr>
          <w:p>
            <w:pPr>
              <w:spacing w:before="0" w:after="60" w:line="252" w:lineRule="auto"/>
            </w:pPr>
            <w:r>
              <w:rPr>
                <w:b/>
              </w:rPr>
              <w:t>对比项</w:t>
            </w:r>
          </w:p>
        </w:tc>
        <w:tc>
          <w:tcPr>
            <w:tcW w:type="dxa" w:w="3800"/>
            <w:shd w:fill="F2F4F7"/>
            <w:vAlign w:val="top"/>
          </w:tcPr>
          <w:p>
            <w:pPr>
              <w:spacing w:before="0" w:after="60" w:line="252" w:lineRule="auto"/>
            </w:pPr>
            <w:r>
              <w:rPr>
                <w:b/>
              </w:rPr>
              <w:t>参考 PDF 系统</w:t>
            </w:r>
          </w:p>
        </w:tc>
        <w:tc>
          <w:tcPr>
            <w:tcW w:type="dxa" w:w="3860"/>
            <w:shd w:fill="F2F4F7"/>
            <w:vAlign w:val="top"/>
          </w:tcPr>
          <w:p>
            <w:pPr>
              <w:spacing w:before="0" w:after="60" w:line="252" w:lineRule="auto"/>
            </w:pPr>
            <w:r>
              <w:rPr>
                <w:b/>
              </w:rPr>
              <w:t>本插件体系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系统形态</w:t>
            </w:r>
          </w:p>
        </w:tc>
        <w:tc>
          <w:tcPr>
            <w:tcW w:type="dxa" w:w="3800"/>
            <w:vAlign w:val="top"/>
          </w:tcPr>
          <w:p>
            <w:pPr>
              <w:spacing w:before="0" w:after="60" w:line="252" w:lineRule="auto"/>
            </w:pPr>
            <w:r>
              <w:t>FastAPI Web 服务，上传 Excel 后异步处理</w:t>
            </w:r>
          </w:p>
        </w:tc>
        <w:tc>
          <w:tcPr>
            <w:tcW w:type="dxa" w:w="3860"/>
            <w:vAlign w:val="top"/>
          </w:tcPr>
          <w:p>
            <w:pPr>
              <w:spacing w:before="0" w:after="60" w:line="252" w:lineRule="auto"/>
            </w:pPr>
            <w:r>
              <w:t>嵌入铁路投资控制系统，围绕当前软件界面操作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数据底座</w:t>
            </w:r>
          </w:p>
        </w:tc>
        <w:tc>
          <w:tcPr>
            <w:tcW w:type="dxa" w:w="3800"/>
            <w:vAlign w:val="top"/>
          </w:tcPr>
          <w:p>
            <w:pPr>
              <w:spacing w:before="0" w:after="60" w:line="252" w:lineRule="auto"/>
            </w:pPr>
            <w:r>
              <w:t>MySQL + Milvus 向量库 + LLM</w:t>
            </w:r>
          </w:p>
        </w:tc>
        <w:tc>
          <w:tcPr>
            <w:tcW w:type="dxa" w:w="3860"/>
            <w:vAlign w:val="top"/>
          </w:tcPr>
          <w:p>
            <w:pPr>
              <w:spacing w:before="0" w:after="60" w:line="252" w:lineRule="auto"/>
            </w:pPr>
            <w:r>
              <w:t>本地 JSONL 学习库、定额索引、软件项目库和可选 AI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Excel 处理</w:t>
            </w:r>
          </w:p>
        </w:tc>
        <w:tc>
          <w:tcPr>
            <w:tcW w:type="dxa" w:w="3800"/>
            <w:vAlign w:val="top"/>
          </w:tcPr>
          <w:p>
            <w:pPr>
              <w:spacing w:before="0" w:after="60" w:line="252" w:lineRule="auto"/>
            </w:pPr>
            <w:r>
              <w:t>按文件上传任务处理</w:t>
            </w:r>
          </w:p>
        </w:tc>
        <w:tc>
          <w:tcPr>
            <w:tcW w:type="dxa" w:w="3860"/>
            <w:vAlign w:val="top"/>
          </w:tcPr>
          <w:p>
            <w:pPr>
              <w:spacing w:before="0" w:after="60" w:line="252" w:lineRule="auto"/>
            </w:pPr>
            <w:r>
              <w:t>优先读取当前 Excel/WPS 选区、剪贴板或当前单元格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推荐逻辑</w:t>
            </w:r>
          </w:p>
        </w:tc>
        <w:tc>
          <w:tcPr>
            <w:tcW w:type="dxa" w:w="3800"/>
            <w:vAlign w:val="top"/>
          </w:tcPr>
          <w:p>
            <w:pPr>
              <w:spacing w:before="0" w:after="60" w:line="252" w:lineRule="auto"/>
            </w:pPr>
            <w:r>
              <w:t>向量检索、模板复制、对比任务</w:t>
            </w:r>
          </w:p>
        </w:tc>
        <w:tc>
          <w:tcPr>
            <w:tcW w:type="dxa" w:w="3860"/>
            <w:vAlign w:val="top"/>
          </w:tcPr>
          <w:p>
            <w:pPr>
              <w:spacing w:before="0" w:after="60" w:line="252" w:lineRule="auto"/>
            </w:pPr>
            <w:r>
              <w:t>mapping-boxes 优先、quota-index 检索、AI 补推、人工扶正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数量变化处理</w:t>
            </w:r>
          </w:p>
        </w:tc>
        <w:tc>
          <w:tcPr>
            <w:tcW w:type="dxa" w:w="3800"/>
            <w:vAlign w:val="top"/>
          </w:tcPr>
          <w:p>
            <w:pPr>
              <w:spacing w:before="0" w:after="60" w:line="252" w:lineRule="auto"/>
            </w:pPr>
            <w:r>
              <w:t>对比模式识别新旧 Excel 差异</w:t>
            </w:r>
          </w:p>
        </w:tc>
        <w:tc>
          <w:tcPr>
            <w:tcW w:type="dxa" w:w="3860"/>
            <w:vAlign w:val="top"/>
          </w:tcPr>
          <w:p>
            <w:pPr>
              <w:spacing w:before="0" w:after="60" w:line="252" w:lineRule="auto"/>
            </w:pPr>
            <w:r>
              <w:t>通过 Excel 联动保存绑定并同步变化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人工学习</w:t>
            </w:r>
          </w:p>
        </w:tc>
        <w:tc>
          <w:tcPr>
            <w:tcW w:type="dxa" w:w="3800"/>
            <w:vAlign w:val="top"/>
          </w:tcPr>
          <w:p>
            <w:pPr>
              <w:spacing w:before="0" w:after="60" w:line="252" w:lineRule="auto"/>
            </w:pPr>
            <w:r>
              <w:t>用户确认映射后写入向量知识库</w:t>
            </w:r>
          </w:p>
        </w:tc>
        <w:tc>
          <w:tcPr>
            <w:tcW w:type="dxa" w:w="3860"/>
            <w:vAlign w:val="top"/>
          </w:tcPr>
          <w:p>
            <w:pPr>
              <w:spacing w:before="0" w:after="60" w:line="252" w:lineRule="auto"/>
            </w:pPr>
            <w:r>
              <w:t>人工扶正和 AI 配对写入 mapping-boxes.jsonl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before="0" w:after="60" w:line="252" w:lineRule="auto"/>
            </w:pPr>
            <w:r>
              <w:t>写入方式</w:t>
            </w:r>
          </w:p>
        </w:tc>
        <w:tc>
          <w:tcPr>
            <w:tcW w:type="dxa" w:w="3800"/>
            <w:vAlign w:val="top"/>
          </w:tcPr>
          <w:p>
            <w:pPr>
              <w:spacing w:before="0" w:after="60" w:line="252" w:lineRule="auto"/>
            </w:pPr>
            <w:r>
              <w:t>生成定额输入数据或写入服务端数据库</w:t>
            </w:r>
          </w:p>
        </w:tc>
        <w:tc>
          <w:tcPr>
            <w:tcW w:type="dxa" w:w="3860"/>
            <w:vAlign w:val="top"/>
          </w:tcPr>
          <w:p>
            <w:pPr>
              <w:spacing w:before="0" w:after="60" w:line="252" w:lineRule="auto"/>
            </w:pPr>
            <w:r>
              <w:t>推荐结果通过剪贴板粘贴；乘系数和联动按原软件数据结构更新</w:t>
            </w:r>
          </w:p>
        </w:tc>
      </w:tr>
    </w:tbl>
    <w:p>
      <w:pPr>
        <w:pStyle w:val="Heading1"/>
      </w:pPr>
      <w:r>
        <w:t>8. 数据与安全边界</w:t>
      </w:r>
    </w:p>
    <w:p>
      <w:pPr>
        <w:pStyle w:val="ListBullet"/>
      </w:pPr>
      <w:r>
        <w:t>mapping-boxes.jsonl 保存人工确认后的组件框，是推荐链路的最高优先级学习库。</w:t>
      </w:r>
    </w:p>
    <w:p>
      <w:pPr>
        <w:pStyle w:val="ListBullet"/>
      </w:pPr>
      <w:r>
        <w:t>quota-index.jsonl 和 material-index.jsonl 是本地索引缓存，普通推荐只返回定额，不直接返回材料。</w:t>
      </w:r>
    </w:p>
    <w:p>
      <w:pPr>
        <w:pStyle w:val="ListBullet"/>
      </w:pPr>
      <w:r>
        <w:t>Excel 联动保存的是项目内绑定关系和同步日志，不应替代原始工程数量表管理。</w:t>
      </w:r>
    </w:p>
    <w:p>
      <w:pPr>
        <w:pStyle w:val="ListBullet"/>
      </w:pPr>
      <w:r>
        <w:t>推荐定额仍采用剪贴板粘贴回原软件的方式，避免绕开原软件业务逻辑。</w:t>
      </w:r>
    </w:p>
    <w:p>
      <w:pPr>
        <w:pStyle w:val="ListBullet"/>
      </w:pPr>
      <w:r>
        <w:t>不删除用户已有学习库、索引库、日志和业务目录数据。</w:t>
      </w:r>
    </w:p>
    <w:p>
      <w:pPr>
        <w:pStyle w:val="Heading1"/>
      </w:pPr>
      <w:r>
        <w:t>9. 后续扩展建议</w:t>
      </w:r>
    </w:p>
    <w:p>
      <w:pPr>
        <w:pStyle w:val="ListNumber"/>
      </w:pPr>
      <w:r>
        <w:t>先继续强化现有添加 AI 配对框内容功能，提高组件框确认体验和错误回退能力。</w:t>
      </w:r>
    </w:p>
    <w:p>
      <w:pPr>
        <w:pStyle w:val="ListNumber"/>
      </w:pPr>
      <w:r>
        <w:t>在推荐定额中继续优化特殊工程量规则，例如钢筋、警示带、检查井、土方外运等高频误匹配场景。</w:t>
      </w:r>
    </w:p>
    <w:p>
      <w:pPr>
        <w:pStyle w:val="ListNumber"/>
      </w:pPr>
      <w:r>
        <w:t>Excel 联动可作为设计变更处理的主线能力，后续再考虑新旧 Excel 对比报告。</w:t>
      </w:r>
    </w:p>
    <w:p>
      <w:pPr>
        <w:pStyle w:val="ListNumber"/>
      </w:pPr>
      <w:r>
        <w:t>暂不单独实施批量反向建模板，避免与现有 AI 配对框功能重复。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铁路投资控制插件功能说明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