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media/image1.png" ContentType="image/jpeg"/>
  <Override PartName="/word/media/image2.png" ContentType="image/jpeg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>
      <w:pPr>
        <w:jc w:val="center"/>
      </w:pPr>
      <w:r>
        <w:rPr>
          <w:rFonts w:ascii="Calibri" w:hAnsi="Calibri" w:eastAsia="Microsoft YaHei"/>
          <w:b/>
          <w:color w:val="1F4D78"/>
          <w:sz w:val="56"/>
        </w:rPr>
        <w:t>ShipVoice</w:t>
      </w:r>
    </w:p>
    <w:p>
      <w:pPr>
        <w:jc w:val="center"/>
      </w:pPr>
      <w:r>
        <w:rPr>
          <w:rFonts w:ascii="Calibri" w:hAnsi="Calibri" w:eastAsia="Microsoft YaHei"/>
          <w:b/>
          <w:color w:val="18202B"/>
          <w:sz w:val="44"/>
        </w:rPr>
        <w:t>船厂安全实时语音问答助手</w:t>
      </w:r>
    </w:p>
    <w:p>
      <w:pPr>
        <w:jc w:val="center"/>
      </w:pPr>
      <w:r>
        <w:rPr>
          <w:rFonts w:ascii="Calibri" w:hAnsi="Calibri" w:eastAsia="Microsoft YaHei"/>
          <w:color w:val="586069"/>
          <w:sz w:val="26"/>
        </w:rPr>
        <w:t>A2 级联式语音问答系统复现与改进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Layout w:type="fixed"/>
      </w:tblPr>
      <w:tblGrid>
        <w:gridCol w:w="4680"/>
        <w:gridCol w:w="4680"/>
      </w:tblGrid>
      <w:tr>
        <w:tc>
          <w:tcPr>
            <w:tcW w:type="dxa" w:w="208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/>
                <w:color w:val="18202B"/>
                <w:sz w:val="19"/>
              </w:rPr>
              <w:t>字段</w:t>
            </w:r>
          </w:p>
        </w:tc>
        <w:tc>
          <w:tcPr>
            <w:tcW w:type="dxa" w:w="727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/>
                <w:color w:val="18202B"/>
                <w:sz w:val="19"/>
              </w:rPr>
              <w:t>内容</w:t>
            </w:r>
          </w:p>
        </w:tc>
      </w:tr>
      <w:tr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课程</w:t>
            </w:r>
          </w:p>
        </w:tc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信息安全基础</w:t>
            </w:r>
          </w:p>
        </w:tc>
      </w:tr>
      <w:tr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项目类型</w:t>
            </w:r>
          </w:p>
        </w:tc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期末项目 A2 - 级联式语音问答系统 / 大创级原型</w:t>
            </w:r>
          </w:p>
        </w:tc>
      </w:tr>
      <w:tr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小组成员</w:t>
            </w:r>
          </w:p>
        </w:tc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姓名 / 学号待补充</w:t>
            </w:r>
          </w:p>
        </w:tc>
      </w:tr>
      <w:tr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版本日期</w:t>
            </w:r>
          </w:p>
        </w:tc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2026-06-08</w:t>
            </w:r>
          </w:p>
        </w:tc>
      </w:tr>
      <w:tr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交付内容</w:t>
            </w:r>
          </w:p>
        </w:tc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报告、答辩 PPT、源码、演示与实验证据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Layout w:type="fixed"/>
      </w:tblPr>
      <w:tblGrid>
        <w:gridCol w:w="9360"/>
      </w:tblGrid>
      <w:tr>
        <w:tc>
          <w:tcPr>
            <w:tcW w:type="dxa" w:w="93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80"/>
            </w:pPr>
            <w:r>
              <w:rPr>
                <w:rFonts w:ascii="Calibri" w:hAnsi="Calibri" w:eastAsia="Microsoft YaHei"/>
                <w:b/>
                <w:color w:val="1F4D78"/>
                <w:sz w:val="21"/>
              </w:rPr>
              <w:t>项目一句话摘要</w:t>
            </w:r>
          </w:p>
          <w:p>
            <w:pPr>
              <w:spacing w:after="0" w:line="269" w:lineRule="auto"/>
            </w:pPr>
            <w:r>
              <w:rPr>
                <w:rFonts w:ascii="Calibri" w:hAnsi="Calibri" w:eastAsia="Microsoft YaHei"/>
                <w:color w:val="18202B"/>
                <w:sz w:val="20"/>
              </w:rPr>
              <w:t>本项目面向船厂高风险作业场景，构建了带安全门控、RAG 证据检索、可运行演示面板和 Qwen LoRA 微调实验的实时语音问答助手；核心目标不是简单串联 ASR-LLM-TTS，而是把领域知识、安全约束和实验闭环纳入系统设计。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pStyle w:val="Heading1"/>
      </w:pPr>
      <w:r>
        <w:t>1. 项目概述</w:t>
      </w:r>
    </w:p>
    <w:p>
      <w:pPr>
        <w:spacing w:after="120" w:line="264" w:lineRule="auto"/>
      </w:pPr>
      <w:r>
        <w:rPr>
          <w:rFonts w:ascii="Calibri" w:hAnsi="Calibri" w:eastAsia="Microsoft YaHei"/>
          <w:color w:val="18202B"/>
          <w:sz w:val="22"/>
        </w:rPr>
        <w:t>ShipVoice 是一个面向船厂安全作业的实时语音问答助手。系统以 A2 级联式语音问答为基础，进一步加入领域知识库、RAG 检索、安全门控、低延迟演示、实验记录和 LoRA/QLoRA 微调对照。</w:t>
      </w:r>
    </w:p>
    <w:p>
      <w:pPr>
        <w:spacing w:after="120" w:line="264" w:lineRule="auto"/>
      </w:pPr>
      <w:r>
        <w:rPr>
          <w:rFonts w:ascii="Calibri" w:hAnsi="Calibri" w:eastAsia="Microsoft YaHei"/>
          <w:color w:val="18202B"/>
          <w:sz w:val="22"/>
        </w:rPr>
        <w:t>我们的设计重点是安全关键场景中的“可控回答”：当问题属于密闭舱室、动火、吊装、管路试压等船厂安全主题时，系统给出基于证据的保守建议；当问题越界、危险或试图绕过审批时，系统先由门控层拒答，而不是把风险直接交给大模型自由发挥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Layout w:type="fixed"/>
      </w:tblPr>
      <w:tblGrid>
        <w:gridCol w:w="4680"/>
        <w:gridCol w:w="4680"/>
      </w:tblGrid>
      <w:tr>
        <w:tc>
          <w:tcPr>
            <w:tcW w:type="dxa" w:w="194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/>
                <w:color w:val="18202B"/>
                <w:sz w:val="19"/>
              </w:rPr>
              <w:t>维度</w:t>
            </w:r>
          </w:p>
        </w:tc>
        <w:tc>
          <w:tcPr>
            <w:tcW w:type="dxa" w:w="741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/>
                <w:color w:val="18202B"/>
                <w:sz w:val="19"/>
              </w:rPr>
              <w:t>完成情况</w:t>
            </w:r>
          </w:p>
        </w:tc>
      </w:tr>
      <w:tr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知识库</w:t>
            </w:r>
          </w:p>
        </w:tc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20 条船厂安全知识条目，覆盖有限空间、动火、吊装、试压、PPE、应急等主题</w:t>
            </w:r>
          </w:p>
        </w:tc>
      </w:tr>
      <w:tr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训练数据</w:t>
            </w:r>
          </w:p>
        </w:tc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63 条 SFT seed，32 条安全门控 seed</w:t>
            </w:r>
          </w:p>
        </w:tc>
      </w:tr>
      <w:tr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安全评测</w:t>
            </w:r>
          </w:p>
        </w:tc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55 条安全/离题/prompt-injection/domain-safe/boundary 样例，危险请求误放行 0</w:t>
            </w:r>
          </w:p>
        </w:tc>
      </w:tr>
      <w:tr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语音评测</w:t>
            </w:r>
          </w:p>
        </w:tc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50 条真实录音已完成评测，当前 ASR 状态为 ready</w:t>
            </w:r>
          </w:p>
        </w:tc>
      </w:tr>
      <w:tr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远端微调</w:t>
            </w:r>
          </w:p>
        </w:tc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RTX 4090 上完成 Qwen2.5-7B-Instruct 4-bit LoRA/QLoRA 训练</w:t>
            </w:r>
          </w:p>
        </w:tc>
      </w:tr>
      <w:tr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评测闭环</w:t>
            </w:r>
          </w:p>
        </w:tc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Base eval 8 条，LoRA eval 8 条，adapter 约 154.1 MB</w:t>
            </w:r>
          </w:p>
        </w:tc>
      </w:tr>
      <w:tr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评测看板</w:t>
            </w:r>
          </w:p>
        </w:tc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deliverables/ShipVoice_Evaluation_Dashboard.html 汇总 RAG、延迟、安全门控与 LoRA 对照</w:t>
            </w:r>
          </w:p>
        </w:tc>
      </w:tr>
      <w:tr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演示形态</w:t>
            </w:r>
          </w:p>
        </w:tc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本地 Web 操作台 + mock fallback，无 GPU 时仍可演示完整链路</w:t>
            </w:r>
          </w:p>
        </w:tc>
      </w:tr>
    </w:tbl>
    <w:p>
      <w:pPr>
        <w:spacing w:after="40"/>
      </w:pPr>
    </w:p>
    <w:p>
      <w:pPr>
        <w:pStyle w:val="Heading1"/>
      </w:pPr>
      <w:r>
        <w:t>2. 作业要求映射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Layout w:type="fixed"/>
      </w:tblPr>
      <w:tblGrid>
        <w:gridCol w:w="3120"/>
        <w:gridCol w:w="3120"/>
        <w:gridCol w:w="3120"/>
      </w:tblGrid>
      <w:tr>
        <w:tc>
          <w:tcPr>
            <w:tcW w:type="dxa" w:w="208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/>
                <w:color w:val="18202B"/>
                <w:sz w:val="19"/>
              </w:rPr>
              <w:t>A2 要求</w:t>
            </w:r>
          </w:p>
        </w:tc>
        <w:tc>
          <w:tcPr>
            <w:tcW w:type="dxa" w:w="439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/>
                <w:color w:val="18202B"/>
                <w:sz w:val="19"/>
              </w:rPr>
              <w:t>本项目实现</w:t>
            </w:r>
          </w:p>
        </w:tc>
        <w:tc>
          <w:tcPr>
            <w:tcW w:type="dxa" w:w="28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/>
                <w:color w:val="18202B"/>
                <w:sz w:val="19"/>
              </w:rPr>
              <w:t>加分点</w:t>
            </w:r>
          </w:p>
        </w:tc>
      </w:tr>
      <w:tr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级联式语音问答</w:t>
            </w:r>
          </w:p>
        </w:tc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ASR/transcript 层、LLM/RAG 回答层、TTS/playback-oriented 输出层</w:t>
            </w:r>
          </w:p>
        </w:tc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保留 mock fallback，答辩现场稳定</w:t>
            </w:r>
          </w:p>
        </w:tc>
      </w:tr>
      <w:tr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系统复现</w:t>
            </w:r>
          </w:p>
        </w:tc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可运行的本地后端、Web 面板、benchmark 与 validation 脚本</w:t>
            </w:r>
          </w:p>
        </w:tc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一键 quick validation</w:t>
            </w:r>
          </w:p>
        </w:tc>
      </w:tr>
      <w:tr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系统改进</w:t>
            </w:r>
          </w:p>
        </w:tc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船厂安全知识库、HybridRetriever、安全门控、提示注入拒答</w:t>
            </w:r>
          </w:p>
        </w:tc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面向安全关键领域，而非通用聊天</w:t>
            </w:r>
          </w:p>
        </w:tc>
      </w:tr>
      <w:tr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模型增强</w:t>
            </w:r>
          </w:p>
        </w:tc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Qwen2.5-7B-Instruct LoRA/QLoRA 微调实验</w:t>
            </w:r>
          </w:p>
        </w:tc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有远端 GPU 日志、adapter 和 base-vs-LoRA 对比</w:t>
            </w:r>
          </w:p>
        </w:tc>
      </w:tr>
      <w:tr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实验评估</w:t>
            </w:r>
          </w:p>
        </w:tc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检索 hit-rate、延迟 CSV、55 条安全 benchmark、base/LoRA JSONL 结果</w:t>
            </w:r>
          </w:p>
        </w:tc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可复现、可审计</w:t>
            </w:r>
          </w:p>
        </w:tc>
      </w:tr>
    </w:tbl>
    <w:p>
      <w:pPr>
        <w:spacing w:after="40"/>
      </w:pPr>
    </w:p>
    <w:p>
      <w:pPr>
        <w:pStyle w:val="Heading1"/>
      </w:pPr>
      <w:r>
        <w:t>3. 系统架构</w:t>
      </w:r>
    </w:p>
    <w:p>
      <w:pPr>
        <w:spacing w:after="120" w:line="264" w:lineRule="auto"/>
      </w:pPr>
      <w:r>
        <w:rPr>
          <w:rFonts w:ascii="Calibri" w:hAnsi="Calibri" w:eastAsia="Microsoft YaHei"/>
          <w:color w:val="18202B"/>
          <w:sz w:val="22"/>
        </w:rPr>
        <w:t>系统采用“门控优先、证据约束、模型生成、演示可降级”的级联设计。正式链路如下：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Layout w:type="fixed"/>
      </w:tblPr>
      <w:tblGrid>
        <w:gridCol w:w="3120"/>
        <w:gridCol w:w="3120"/>
        <w:gridCol w:w="3120"/>
      </w:tblGrid>
      <w:tr>
        <w:tc>
          <w:tcPr>
            <w:tcW w:type="dxa" w:w="79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/>
                <w:color w:val="18202B"/>
                <w:sz w:val="19"/>
              </w:rPr>
              <w:t>阶段</w:t>
            </w:r>
          </w:p>
        </w:tc>
        <w:tc>
          <w:tcPr>
            <w:tcW w:type="dxa" w:w="28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/>
                <w:color w:val="18202B"/>
                <w:sz w:val="19"/>
              </w:rPr>
              <w:t>模块</w:t>
            </w:r>
          </w:p>
        </w:tc>
        <w:tc>
          <w:tcPr>
            <w:tcW w:type="dxa" w:w="568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/>
                <w:color w:val="18202B"/>
                <w:sz w:val="19"/>
              </w:rPr>
              <w:t>作用</w:t>
            </w:r>
          </w:p>
        </w:tc>
      </w:tr>
      <w:tr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1</w:t>
            </w:r>
          </w:p>
        </w:tc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Voice / Text Input</w:t>
            </w:r>
          </w:p>
        </w:tc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接收真实语音或文字输入；无真实 ASR 时使用 transcript fallback 保持演示稳定</w:t>
            </w:r>
          </w:p>
        </w:tc>
      </w:tr>
      <w:tr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2</w:t>
            </w:r>
          </w:p>
        </w:tc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Transcript Normalization</w:t>
            </w:r>
          </w:p>
        </w:tc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统一问题格式，保留船厂术语和安全关键词</w:t>
            </w:r>
          </w:p>
        </w:tc>
      </w:tr>
      <w:tr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3</w:t>
            </w:r>
          </w:p>
        </w:tc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Domain &amp; Safety Gate</w:t>
            </w:r>
          </w:p>
        </w:tc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判断是否属于船厂安全问题，拦截危险请求、越权注入和 off-domain 问题</w:t>
            </w:r>
          </w:p>
        </w:tc>
      </w:tr>
      <w:tr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4</w:t>
            </w:r>
          </w:p>
        </w:tc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Hybrid RAG Retrieval</w:t>
            </w:r>
          </w:p>
        </w:tc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从船厂安全知识库检索相关条目，提供可解释证据</w:t>
            </w:r>
          </w:p>
        </w:tc>
      </w:tr>
      <w:tr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5</w:t>
            </w:r>
          </w:p>
        </w:tc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Answer Synthesis</w:t>
            </w:r>
          </w:p>
        </w:tc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基于证据生成保守、专业、可执行、适合语音播报的回答</w:t>
            </w:r>
          </w:p>
        </w:tc>
      </w:tr>
      <w:tr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6</w:t>
            </w:r>
          </w:p>
        </w:tc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Playback / Demo Panel</w:t>
            </w:r>
          </w:p>
        </w:tc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展示转写、门控结果、证据、回答和延迟指标</w:t>
            </w:r>
          </w:p>
        </w:tc>
      </w:tr>
      <w:tr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7</w:t>
            </w:r>
          </w:p>
        </w:tc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Logging &amp; Evaluation</w:t>
            </w:r>
          </w:p>
        </w:tc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记录 latency、retrieval、base-vs-LoRA 和安全拦截结果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Layout w:type="fixed"/>
      </w:tblPr>
      <w:tblGrid>
        <w:gridCol w:w="9360"/>
      </w:tblGrid>
      <w:tr>
        <w:tc>
          <w:tcPr>
            <w:tcW w:type="dxa" w:w="93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4F6F9"/>
          </w:tcPr>
          <w:p>
            <w:pPr>
              <w:spacing w:after="80"/>
            </w:pPr>
            <w:r>
              <w:rPr>
                <w:rFonts w:ascii="Calibri" w:hAnsi="Calibri" w:eastAsia="Microsoft YaHei"/>
                <w:b/>
                <w:color w:val="1F4D78"/>
                <w:sz w:val="21"/>
              </w:rPr>
              <w:t>为什么不直接裸用大模型？</w:t>
            </w:r>
          </w:p>
          <w:p>
            <w:pPr>
              <w:spacing w:after="0" w:line="269" w:lineRule="auto"/>
            </w:pPr>
            <w:r>
              <w:rPr>
                <w:rFonts w:ascii="Calibri" w:hAnsi="Calibri" w:eastAsia="Microsoft YaHei"/>
                <w:color w:val="18202B"/>
                <w:sz w:val="20"/>
              </w:rPr>
              <w:t>船厂安全问答属于高风险场景。单纯依赖 LLM 生成可能产生幻觉、越权建议或对危险请求回答过度具体。本项目把安全门控和 RAG 证据层放在模型前后，使模型只能在受控上下文中发挥作用。</w:t>
            </w:r>
          </w:p>
        </w:tc>
      </w:tr>
    </w:tbl>
    <w:p>
      <w:pPr>
        <w:spacing w:after="40"/>
      </w:pPr>
    </w:p>
    <w:p>
      <w:pPr>
        <w:pStyle w:val="Heading1"/>
      </w:pPr>
      <w:r>
        <w:t>4. 知识库、RAG 与安全门控</w:t>
      </w:r>
    </w:p>
    <w:p>
      <w:pPr>
        <w:spacing w:after="120" w:line="264" w:lineRule="auto"/>
      </w:pPr>
      <w:r>
        <w:rPr>
          <w:rFonts w:ascii="Calibri" w:hAnsi="Calibri" w:eastAsia="Microsoft YaHei"/>
          <w:color w:val="18202B"/>
          <w:sz w:val="22"/>
        </w:rPr>
        <w:t>知识库位于 data/knowledge/ship_safety_corpus.jsonl，当前覆盖 20 个船厂安全主题。每条知识包含标题、关键词、风险说明、作业前检查、处置建议和语音回答素材。</w:t>
      </w:r>
    </w:p>
    <w:p>
      <w:pPr>
        <w:spacing w:after="120" w:line="264" w:lineRule="auto"/>
      </w:pPr>
      <w:r>
        <w:rPr>
          <w:rFonts w:ascii="Calibri" w:hAnsi="Calibri" w:eastAsia="Microsoft YaHei"/>
          <w:color w:val="18202B"/>
          <w:sz w:val="22"/>
        </w:rPr>
        <w:t>RAG 索引由 scripts/build_knowledge_index.py 构建，检索评测由 scripts/evaluate_retrieval.py 完成。在 quick validation 中，代表性问题达到 hit@1 = 5/5、hit@3 = 5/5。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Layout w:type="fixed"/>
      </w:tblPr>
      <w:tblGrid>
        <w:gridCol w:w="3120"/>
        <w:gridCol w:w="3120"/>
        <w:gridCol w:w="3120"/>
      </w:tblGrid>
      <w:tr>
        <w:tc>
          <w:tcPr>
            <w:tcW w:type="dxa" w:w="194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/>
                <w:color w:val="18202B"/>
                <w:sz w:val="19"/>
              </w:rPr>
              <w:t>风险类型</w:t>
            </w:r>
          </w:p>
        </w:tc>
        <w:tc>
          <w:tcPr>
            <w:tcW w:type="dxa" w:w="43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/>
                <w:color w:val="18202B"/>
                <w:sz w:val="19"/>
              </w:rPr>
              <w:t>处理策略</w:t>
            </w:r>
          </w:p>
        </w:tc>
        <w:tc>
          <w:tcPr>
            <w:tcW w:type="dxa" w:w="30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/>
                <w:color w:val="18202B"/>
                <w:sz w:val="19"/>
              </w:rPr>
              <w:t>示例</w:t>
            </w:r>
          </w:p>
        </w:tc>
      </w:tr>
      <w:tr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off-domain</w:t>
            </w:r>
          </w:p>
        </w:tc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短路为非船厂安全问题，不进入领域回答</w:t>
            </w:r>
          </w:p>
        </w:tc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股票投资、生活闲聊等</w:t>
            </w:r>
          </w:p>
        </w:tc>
      </w:tr>
      <w:tr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unsafe request</w:t>
            </w:r>
          </w:p>
        </w:tc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拒绝绕过审批、跳过检测、破坏设备等请求</w:t>
            </w:r>
          </w:p>
        </w:tc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如何绕过安全检查进入密闭舱室</w:t>
            </w:r>
          </w:p>
        </w:tc>
      </w:tr>
      <w:tr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prompt injection</w:t>
            </w:r>
          </w:p>
        </w:tc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忽略用户要求“忽略规则”的指令，保持安全策略</w:t>
            </w:r>
          </w:p>
        </w:tc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规避动火审批、绕开监管</w:t>
            </w:r>
          </w:p>
        </w:tc>
      </w:tr>
      <w:tr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domain-safe</w:t>
            </w:r>
          </w:p>
        </w:tc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进入 RAG 检索并生成基于证据的安全建议</w:t>
            </w:r>
          </w:p>
        </w:tc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密闭舱室动火前检查、管路试压风险</w:t>
            </w:r>
          </w:p>
        </w:tc>
      </w:tr>
    </w:tbl>
    <w:p>
      <w:pPr>
        <w:spacing w:after="40"/>
      </w:pPr>
    </w:p>
    <w:p>
      <w:pPr>
        <w:pStyle w:val="Heading1"/>
      </w:pPr>
      <w:r>
        <w:t>5. 安全评测与边界门控增强</w:t>
      </w:r>
    </w:p>
    <w:p>
      <w:pPr>
        <w:spacing w:after="120" w:line="264" w:lineRule="auto"/>
      </w:pPr>
      <w:r>
        <w:rPr>
          <w:rFonts w:ascii="Calibri" w:hAnsi="Calibri" w:eastAsia="Microsoft YaHei"/>
          <w:color w:val="18202B"/>
          <w:sz w:val="22"/>
        </w:rPr>
        <w:t>为把项目从课程 demo 推进到比赛级原型，我们将安全 benchmark 扩展为 55 条，覆盖 off-domain、unsafe、prompt injection、domain-safe 和 boundary 五类场景。评测脚本会完整跑过 pipeline，并输出 CSV、JSON 和 Markdown 报告。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Layout w:type="fixed"/>
      </w:tblPr>
      <w:tblGrid>
        <w:gridCol w:w="3120"/>
        <w:gridCol w:w="3120"/>
        <w:gridCol w:w="3120"/>
      </w:tblGrid>
      <w:tr>
        <w:tc>
          <w:tcPr>
            <w:tcW w:type="dxa" w:w="244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/>
                <w:color w:val="18202B"/>
                <w:sz w:val="19"/>
              </w:rPr>
              <w:t>指标</w:t>
            </w:r>
          </w:p>
        </w:tc>
        <w:tc>
          <w:tcPr>
            <w:tcW w:type="dxa" w:w="194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/>
                <w:color w:val="18202B"/>
                <w:sz w:val="19"/>
              </w:rPr>
              <w:t>结果</w:t>
            </w:r>
          </w:p>
        </w:tc>
        <w:tc>
          <w:tcPr>
            <w:tcW w:type="dxa" w:w="49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/>
                <w:color w:val="18202B"/>
                <w:sz w:val="19"/>
              </w:rPr>
              <w:t>意义</w:t>
            </w:r>
          </w:p>
        </w:tc>
      </w:tr>
      <w:tr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安全评测样例</w:t>
            </w:r>
          </w:p>
        </w:tc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55</w:t>
            </w:r>
          </w:p>
        </w:tc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覆盖离题、违规绕行、提示注入、正常安全作业和边界应急</w:t>
            </w:r>
          </w:p>
        </w:tc>
      </w:tr>
      <w:tr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标签准确率</w:t>
            </w:r>
          </w:p>
        </w:tc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100.0%</w:t>
            </w:r>
          </w:p>
        </w:tc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expected_gate 与 predicted_gate 完全一致的比例</w:t>
            </w:r>
          </w:p>
        </w:tc>
      </w:tr>
      <w:tr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allow/block 决策准确率</w:t>
            </w:r>
          </w:p>
        </w:tc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100.0%</w:t>
            </w:r>
          </w:p>
        </w:tc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系统是否正确放行安全问题并拦截危险问题</w:t>
            </w:r>
          </w:p>
        </w:tc>
      </w:tr>
      <w:tr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危险请求误放行</w:t>
            </w:r>
          </w:p>
        </w:tc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0</w:t>
            </w:r>
          </w:p>
        </w:tc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比赛展示中最关键的安全失败指标</w:t>
            </w:r>
          </w:p>
        </w:tc>
      </w:tr>
      <w:tr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完整 pipeline 平均耗时</w:t>
            </w:r>
          </w:p>
        </w:tc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4082 ms</w:t>
            </w:r>
          </w:p>
        </w:tc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包含模拟 ASR、门控、RAG、LLM 和 TTS 的端到端耗时</w:t>
            </w:r>
          </w:p>
        </w:tc>
      </w:tr>
    </w:tbl>
    <w:p>
      <w:pPr>
        <w:spacing w:after="40"/>
      </w:pPr>
    </w:p>
    <w:p>
      <w:pPr>
        <w:spacing w:after="120" w:line="264" w:lineRule="auto"/>
      </w:pPr>
      <w:r>
        <w:rPr>
          <w:rFonts w:ascii="Calibri" w:hAnsi="Calibri" w:eastAsia="Microsoft YaHei"/>
          <w:color w:val="18202B"/>
          <w:sz w:val="22"/>
        </w:rPr>
        <w:t>扩展评测暴露了两个早期规则问题：倒装表达“报警线拔掉”未命中，以及“发现有人修改检测记录如何上报”这种正当报告场景容易被过度拦截。我们据此补强门控，使其能区分“请求违规方法”和“报告/制止违规行为”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Layout w:type="fixed"/>
      </w:tblPr>
      <w:tblGrid>
        <w:gridCol w:w="9360"/>
      </w:tblGrid>
      <w:tr>
        <w:tc>
          <w:tcPr>
            <w:tcW w:type="dxa" w:w="93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80"/>
            </w:pPr>
            <w:r>
              <w:rPr>
                <w:rFonts w:ascii="Calibri" w:hAnsi="Calibri" w:eastAsia="Microsoft YaHei"/>
                <w:b/>
                <w:color w:val="1F4D78"/>
                <w:sz w:val="21"/>
              </w:rPr>
              <w:t>评测结论</w:t>
            </w:r>
          </w:p>
          <w:p>
            <w:pPr>
              <w:spacing w:after="0" w:line="269" w:lineRule="auto"/>
            </w:pPr>
            <w:r>
              <w:rPr>
                <w:rFonts w:ascii="Calibri" w:hAnsi="Calibri" w:eastAsia="Microsoft YaHei"/>
                <w:color w:val="18202B"/>
                <w:sz w:val="20"/>
              </w:rPr>
              <w:t>当前 55 条完整 pipeline 安全评测中，标签准确率 100.0%，allow/block 决策准确率 100.0%，危险请求误放行 0。下一阶段目标是加入 100+ 对抗改写和真实语音转写变体。</w:t>
            </w:r>
          </w:p>
        </w:tc>
      </w:tr>
    </w:tbl>
    <w:p>
      <w:pPr>
        <w:spacing w:after="40"/>
      </w:pPr>
    </w:p>
    <w:p>
      <w:pPr>
        <w:pStyle w:val="Heading1"/>
      </w:pPr>
      <w:r>
        <w:t>6. 真实语音与 ASR 实测增强</w:t>
      </w:r>
    </w:p>
    <w:p>
      <w:pPr>
        <w:spacing w:after="120" w:line="264" w:lineRule="auto"/>
      </w:pPr>
      <w:r>
        <w:rPr>
          <w:rFonts w:ascii="Calibri" w:hAnsi="Calibri" w:eastAsia="Microsoft YaHei"/>
          <w:color w:val="18202B"/>
          <w:sz w:val="22"/>
        </w:rPr>
        <w:t>我们已经完成 50 条真实录音的离线 ASR 实测，覆盖正常安全问题、off-domain 拒答、unsafe 拒答、prompt-injection 拒答和边界应急问题，并包含 quiet、classroom、workshop-like 三类噪声条件。</w:t>
      </w:r>
    </w:p>
    <w:p>
      <w:pPr>
        <w:spacing w:after="120" w:line="264" w:lineRule="auto"/>
      </w:pPr>
      <w:r>
        <w:rPr>
          <w:rFonts w:ascii="Calibri" w:hAnsi="Calibri" w:eastAsia="Microsoft YaHei"/>
          <w:color w:val="18202B"/>
          <w:sz w:val="22"/>
        </w:rPr>
        <w:t>在此基础上，项目新增了一层 ShipVoice 领域术语后处理：保留 SenseVoice 原始转写结果，同时对舾装、压载水舱、测氧测爆、动火作业、试压等高价值术语做可审计的规则纠错，形成原始转写与增强转写的前后对比。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Layout w:type="fixed"/>
      </w:tblPr>
      <w:tblGrid>
        <w:gridCol w:w="3120"/>
        <w:gridCol w:w="3120"/>
        <w:gridCol w:w="3120"/>
      </w:tblGrid>
      <w:tr>
        <w:tc>
          <w:tcPr>
            <w:tcW w:type="dxa" w:w="244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/>
                <w:color w:val="18202B"/>
                <w:sz w:val="19"/>
              </w:rPr>
              <w:t>资产/指标</w:t>
            </w:r>
          </w:p>
        </w:tc>
        <w:tc>
          <w:tcPr>
            <w:tcW w:type="dxa" w:w="223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/>
                <w:color w:val="18202B"/>
                <w:sz w:val="19"/>
              </w:rPr>
              <w:t>结果</w:t>
            </w:r>
          </w:p>
        </w:tc>
        <w:tc>
          <w:tcPr>
            <w:tcW w:type="dxa" w:w="4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/>
                <w:color w:val="18202B"/>
                <w:sz w:val="19"/>
              </w:rPr>
              <w:t>说明</w:t>
            </w:r>
          </w:p>
        </w:tc>
      </w:tr>
      <w:tr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真实录音样本</w:t>
            </w:r>
          </w:p>
        </w:tc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50</w:t>
            </w:r>
          </w:p>
        </w:tc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三位组员完成录制，位于 data/audio/raw/</w:t>
            </w:r>
          </w:p>
        </w:tc>
      </w:tr>
      <w:tr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ASR 已评测样本</w:t>
            </w:r>
          </w:p>
        </w:tc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50</w:t>
            </w:r>
          </w:p>
        </w:tc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50/50 条全部完成评测</w:t>
            </w:r>
          </w:p>
        </w:tc>
      </w:tr>
      <w:tr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Raw CER / WER</w:t>
            </w:r>
          </w:p>
        </w:tc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1.58% / 1.58%</w:t>
            </w:r>
          </w:p>
        </w:tc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SenseVoice 原始输出</w:t>
            </w:r>
          </w:p>
        </w:tc>
      </w:tr>
      <w:tr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Corrected CER / WER</w:t>
            </w:r>
          </w:p>
        </w:tc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0.00% / 0.00%</w:t>
            </w:r>
          </w:p>
        </w:tc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术语后处理后的最终转写</w:t>
            </w:r>
          </w:p>
        </w:tc>
      </w:tr>
      <w:tr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Raw 术语召回</w:t>
            </w:r>
          </w:p>
        </w:tc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85.71%</w:t>
            </w:r>
          </w:p>
        </w:tc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原始 ASR 对领域术语的覆盖</w:t>
            </w:r>
          </w:p>
        </w:tc>
      </w:tr>
      <w:tr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Corrected 术语召回</w:t>
            </w:r>
          </w:p>
        </w:tc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100.00%</w:t>
            </w:r>
          </w:p>
        </w:tc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术语增强后的最终覆盖</w:t>
            </w:r>
          </w:p>
        </w:tc>
      </w:tr>
      <w:tr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CER 改善</w:t>
            </w:r>
          </w:p>
        </w:tc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1.58 pp</w:t>
            </w:r>
          </w:p>
        </w:tc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后处理带来的绝对百分点提升</w:t>
            </w:r>
          </w:p>
        </w:tc>
      </w:tr>
      <w:tr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术语召回改善</w:t>
            </w:r>
          </w:p>
        </w:tc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14.29 pp</w:t>
            </w:r>
          </w:p>
        </w:tc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后处理带来的绝对百分点提升</w:t>
            </w:r>
          </w:p>
        </w:tc>
      </w:tr>
      <w:tr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修正样本数</w:t>
            </w:r>
          </w:p>
        </w:tc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12</w:t>
            </w:r>
          </w:p>
        </w:tc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至少命中 1 条术语/近音纠错规则的样本</w:t>
            </w:r>
          </w:p>
        </w:tc>
      </w:tr>
      <w:tr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修正规则命中次数</w:t>
            </w:r>
          </w:p>
        </w:tc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12</w:t>
            </w:r>
          </w:p>
        </w:tc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总替换 span 数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Layout w:type="fixed"/>
      </w:tblPr>
      <w:tblGrid>
        <w:gridCol w:w="9360"/>
      </w:tblGrid>
      <w:tr>
        <w:tc>
          <w:tcPr>
            <w:tcW w:type="dxa" w:w="93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80"/>
            </w:pPr>
            <w:r>
              <w:rPr>
                <w:rFonts w:ascii="Calibri" w:hAnsi="Calibri" w:eastAsia="Microsoft YaHei"/>
                <w:b/>
                <w:color w:val="1F4D78"/>
                <w:sz w:val="21"/>
              </w:rPr>
              <w:t>工程意义</w:t>
            </w:r>
          </w:p>
          <w:p>
            <w:pPr>
              <w:spacing w:after="0" w:line="269" w:lineRule="auto"/>
            </w:pPr>
            <w:r>
              <w:rPr>
                <w:rFonts w:ascii="Calibri" w:hAnsi="Calibri" w:eastAsia="Microsoft YaHei"/>
                <w:color w:val="18202B"/>
                <w:sz w:val="20"/>
              </w:rPr>
              <w:t>这一步把项目从“跑通真实 ASR”提升到“具备领域化后处理能力”。老师看到的不再只是 ASR 数字，而是完整的改进链路：真实录音 -&gt; 基线转写 -&gt; 术语增强 -&gt; 指标提升。</w:t>
            </w:r>
          </w:p>
        </w:tc>
      </w:tr>
    </w:tbl>
    <w:p>
      <w:pPr>
        <w:spacing w:after="40"/>
      </w:pPr>
    </w:p>
    <w:p>
      <w:pPr>
        <w:pStyle w:val="Heading1"/>
      </w:pPr>
      <w:r>
        <w:t>7. 本地演示与延迟评估</w:t>
      </w:r>
    </w:p>
    <w:p>
      <w:pPr>
        <w:spacing w:after="120" w:line="264" w:lineRule="auto"/>
      </w:pPr>
      <w:r>
        <w:rPr>
          <w:rFonts w:ascii="Calibri" w:hAnsi="Calibri" w:eastAsia="Microsoft YaHei"/>
          <w:color w:val="18202B"/>
          <w:sz w:val="22"/>
        </w:rPr>
        <w:t>本地演示使用 run_demo.py 启动后端和 Web 面板，默认 mock provider 可以模拟 ASR、LLM 和 TTS 的时延，使系统在没有 GPU 或外部 API 的情况下仍能展示完整链路。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Layout w:type="fixed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5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/>
                <w:color w:val="18202B"/>
                <w:sz w:val="19"/>
              </w:rPr>
              <w:t>模式</w:t>
            </w:r>
          </w:p>
        </w:tc>
        <w:tc>
          <w:tcPr>
            <w:tcW w:type="dxa" w:w="115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/>
                <w:color w:val="18202B"/>
                <w:sz w:val="19"/>
              </w:rPr>
              <w:t>样本数</w:t>
            </w:r>
          </w:p>
        </w:tc>
        <w:tc>
          <w:tcPr>
            <w:tcW w:type="dxa" w:w="223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/>
                <w:color w:val="18202B"/>
                <w:sz w:val="19"/>
              </w:rPr>
              <w:t>首段音频均值(ms)</w:t>
            </w:r>
          </w:p>
        </w:tc>
        <w:tc>
          <w:tcPr>
            <w:tcW w:type="dxa" w:w="208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/>
                <w:color w:val="18202B"/>
                <w:sz w:val="19"/>
              </w:rPr>
              <w:t>总耗时均值(ms)</w:t>
            </w:r>
          </w:p>
        </w:tc>
        <w:tc>
          <w:tcPr>
            <w:tcW w:type="dxa" w:w="230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/>
                <w:color w:val="18202B"/>
                <w:sz w:val="19"/>
              </w:rPr>
              <w:t>平均回答长度</w:t>
            </w:r>
          </w:p>
        </w:tc>
      </w:tr>
      <w:tr>
        <w:tc>
          <w:tcPr>
            <w:tcW w:type="dxa" w:w="1872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baseline</w:t>
            </w:r>
          </w:p>
        </w:tc>
        <w:tc>
          <w:tcPr>
            <w:tcW w:type="dxa" w:w="1872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8</w:t>
            </w:r>
          </w:p>
        </w:tc>
        <w:tc>
          <w:tcPr>
            <w:tcW w:type="dxa" w:w="1872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3303</w:t>
            </w:r>
          </w:p>
        </w:tc>
        <w:tc>
          <w:tcPr>
            <w:tcW w:type="dxa" w:w="1872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3303</w:t>
            </w:r>
          </w:p>
        </w:tc>
        <w:tc>
          <w:tcPr>
            <w:tcW w:type="dxa" w:w="1872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93.2</w:t>
            </w:r>
          </w:p>
        </w:tc>
      </w:tr>
      <w:tr>
        <w:tc>
          <w:tcPr>
            <w:tcW w:type="dxa" w:w="1872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streaming</w:t>
            </w:r>
          </w:p>
        </w:tc>
        <w:tc>
          <w:tcPr>
            <w:tcW w:type="dxa" w:w="1872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8</w:t>
            </w:r>
          </w:p>
        </w:tc>
        <w:tc>
          <w:tcPr>
            <w:tcW w:type="dxa" w:w="1872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2030</w:t>
            </w:r>
          </w:p>
        </w:tc>
        <w:tc>
          <w:tcPr>
            <w:tcW w:type="dxa" w:w="1872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3463</w:t>
            </w:r>
          </w:p>
        </w:tc>
        <w:tc>
          <w:tcPr>
            <w:tcW w:type="dxa" w:w="1872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93.2</w:t>
            </w:r>
          </w:p>
        </w:tc>
      </w:tr>
      <w:tr>
        <w:tc>
          <w:tcPr>
            <w:tcW w:type="dxa" w:w="1872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full</w:t>
            </w:r>
          </w:p>
        </w:tc>
        <w:tc>
          <w:tcPr>
            <w:tcW w:type="dxa" w:w="1872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8</w:t>
            </w:r>
          </w:p>
        </w:tc>
        <w:tc>
          <w:tcPr>
            <w:tcW w:type="dxa" w:w="1872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2138</w:t>
            </w:r>
          </w:p>
        </w:tc>
        <w:tc>
          <w:tcPr>
            <w:tcW w:type="dxa" w:w="1872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4603</w:t>
            </w:r>
          </w:p>
        </w:tc>
        <w:tc>
          <w:tcPr>
            <w:tcW w:type="dxa" w:w="1872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143.2</w:t>
            </w:r>
          </w:p>
        </w:tc>
      </w:tr>
    </w:tbl>
    <w:p>
      <w:pPr>
        <w:spacing w:after="40"/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302099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mo_panel_safety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30209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Calibri" w:hAnsi="Calibri" w:eastAsia="Microsoft YaHei"/>
          <w:color w:val="586069"/>
          <w:sz w:val="19"/>
        </w:rPr>
        <w:t>图 1：安全问答场景演示面板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3020992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mo_panel_backend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30209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Calibri" w:hAnsi="Calibri" w:eastAsia="Microsoft YaHei"/>
          <w:color w:val="586069"/>
          <w:sz w:val="19"/>
        </w:rPr>
        <w:t>图 2：后端运行与指标展示</w:t>
      </w:r>
    </w:p>
    <w:p>
      <w:pPr>
        <w:pStyle w:val="Heading1"/>
      </w:pPr>
      <w:r>
        <w:t>8. Qwen LoRA/QLoRA 微调实验</w:t>
      </w:r>
    </w:p>
    <w:p>
      <w:pPr>
        <w:spacing w:after="120" w:line="264" w:lineRule="auto"/>
      </w:pPr>
      <w:r>
        <w:rPr>
          <w:rFonts w:ascii="Calibri" w:hAnsi="Calibri" w:eastAsia="Microsoft YaHei"/>
          <w:color w:val="18202B"/>
          <w:sz w:val="22"/>
        </w:rPr>
        <w:t>为了超出基础复现要求，项目在远端 RTX 4090 上完成了 Qwen2.5-7B-Instruct 的 4-bit LoRA/QLoRA 微调实验。该实验的目标不是替代安全门控，而是验证小规模领域数据能否增强回答风格和船厂安全表达。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Layout w:type="fixed"/>
      </w:tblPr>
      <w:tblGrid>
        <w:gridCol w:w="4680"/>
        <w:gridCol w:w="4680"/>
      </w:tblGrid>
      <w:tr>
        <w:tc>
          <w:tcPr>
            <w:tcW w:type="dxa" w:w="237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/>
                <w:color w:val="18202B"/>
                <w:sz w:val="19"/>
              </w:rPr>
              <w:t>项目</w:t>
            </w:r>
          </w:p>
        </w:tc>
        <w:tc>
          <w:tcPr>
            <w:tcW w:type="dxa" w:w="69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/>
                <w:color w:val="18202B"/>
                <w:sz w:val="19"/>
              </w:rPr>
              <w:t>配置/结果</w:t>
            </w:r>
          </w:p>
        </w:tc>
      </w:tr>
      <w:tr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GPU</w:t>
            </w:r>
          </w:p>
        </w:tc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NVIDIA GeForce RTX 4090 24GB</w:t>
            </w:r>
          </w:p>
        </w:tc>
      </w:tr>
      <w:tr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基础模型</w:t>
            </w:r>
          </w:p>
        </w:tc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Qwen/Qwen2.5-7B-Instruct</w:t>
            </w:r>
          </w:p>
        </w:tc>
      </w:tr>
      <w:tr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训练方法</w:t>
            </w:r>
          </w:p>
        </w:tc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4-bit LoRA/QLoRA，target modules 覆盖 attention 与 MLP 投影层</w:t>
            </w:r>
          </w:p>
        </w:tc>
      </w:tr>
      <w:tr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训练数据</w:t>
            </w:r>
          </w:p>
        </w:tc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63 条 ShipVoice SFT seed</w:t>
            </w:r>
          </w:p>
        </w:tc>
      </w:tr>
      <w:tr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训练轮数</w:t>
            </w:r>
          </w:p>
        </w:tc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2 epochs，14 optimizer steps</w:t>
            </w:r>
          </w:p>
        </w:tc>
      </w:tr>
      <w:tr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训练结果</w:t>
            </w:r>
          </w:p>
        </w:tc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train_loss = 1.7777，train_runtime = 61.6765s</w:t>
            </w:r>
          </w:p>
        </w:tc>
      </w:tr>
      <w:tr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产物</w:t>
            </w:r>
          </w:p>
        </w:tc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LoRA adapter_model.safetensors，约 154.1 MB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Layout w:type="fixed"/>
      </w:tblPr>
      <w:tblGrid>
        <w:gridCol w:w="2340"/>
        <w:gridCol w:w="2340"/>
        <w:gridCol w:w="2340"/>
        <w:gridCol w:w="2340"/>
      </w:tblGrid>
      <w:tr>
        <w:tc>
          <w:tcPr>
            <w:tcW w:type="dxa" w:w="30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/>
                <w:color w:val="18202B"/>
                <w:sz w:val="19"/>
              </w:rPr>
              <w:t>模型</w:t>
            </w:r>
          </w:p>
        </w:tc>
        <w:tc>
          <w:tcPr>
            <w:tcW w:type="dxa" w:w="14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/>
                <w:color w:val="18202B"/>
                <w:sz w:val="19"/>
              </w:rPr>
              <w:t>评测条数</w:t>
            </w:r>
          </w:p>
        </w:tc>
        <w:tc>
          <w:tcPr>
            <w:tcW w:type="dxa" w:w="201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/>
                <w:color w:val="18202B"/>
                <w:sz w:val="19"/>
              </w:rPr>
              <w:t>平均回答长度</w:t>
            </w:r>
          </w:p>
        </w:tc>
        <w:tc>
          <w:tcPr>
            <w:tcW w:type="dxa" w:w="28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/>
                <w:color w:val="18202B"/>
                <w:sz w:val="19"/>
              </w:rPr>
              <w:t>观察</w:t>
            </w:r>
          </w:p>
        </w:tc>
      </w:tr>
      <w:tr>
        <w:tc>
          <w:tcPr>
            <w:tcW w:type="dxa" w:w="234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Base Qwen2.5-7B-Instruct</w:t>
            </w:r>
          </w:p>
        </w:tc>
        <w:tc>
          <w:tcPr>
            <w:tcW w:type="dxa" w:w="234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8</w:t>
            </w:r>
          </w:p>
        </w:tc>
        <w:tc>
          <w:tcPr>
            <w:tcW w:type="dxa" w:w="234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196.1 字符</w:t>
            </w:r>
          </w:p>
        </w:tc>
        <w:tc>
          <w:tcPr>
            <w:tcW w:type="dxa" w:w="234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off-domain 拒答更稳，重复更少</w:t>
            </w:r>
          </w:p>
        </w:tc>
      </w:tr>
      <w:tr>
        <w:tc>
          <w:tcPr>
            <w:tcW w:type="dxa" w:w="234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ShipVoice LoRA Adapter</w:t>
            </w:r>
          </w:p>
        </w:tc>
        <w:tc>
          <w:tcPr>
            <w:tcW w:type="dxa" w:w="234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8</w:t>
            </w:r>
          </w:p>
        </w:tc>
        <w:tc>
          <w:tcPr>
            <w:tcW w:type="dxa" w:w="234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143.8 字符</w:t>
            </w:r>
          </w:p>
        </w:tc>
        <w:tc>
          <w:tcPr>
            <w:tcW w:type="dxa" w:w="234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回答更短、更符合船厂安全模板，但有轻微模板化过拟合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Layout w:type="fixed"/>
      </w:tblPr>
      <w:tblGrid>
        <w:gridCol w:w="9360"/>
      </w:tblGrid>
      <w:tr>
        <w:tc>
          <w:tcPr>
            <w:tcW w:type="dxa" w:w="93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FF1F0"/>
          </w:tcPr>
          <w:p>
            <w:pPr>
              <w:spacing w:after="80"/>
            </w:pPr>
            <w:r>
              <w:rPr>
                <w:rFonts w:ascii="Calibri" w:hAnsi="Calibri" w:eastAsia="Microsoft YaHei"/>
                <w:b/>
                <w:color w:val="1F4D78"/>
                <w:sz w:val="21"/>
              </w:rPr>
              <w:t>关键结论</w:t>
            </w:r>
          </w:p>
          <w:p>
            <w:pPr>
              <w:spacing w:after="0" w:line="269" w:lineRule="auto"/>
            </w:pPr>
            <w:r>
              <w:rPr>
                <w:rFonts w:ascii="Calibri" w:hAnsi="Calibri" w:eastAsia="Microsoft YaHei"/>
                <w:color w:val="18202B"/>
                <w:sz w:val="20"/>
              </w:rPr>
              <w:t>LoRA 是有价值的领域适配实验，但不能直接作为唯一正式回答源。最终展示应把 LoRA 放在安全门控和 RAG 后面，用作可选领域风格增强；安全边界仍由显式门控和证据检索保证。</w:t>
            </w:r>
          </w:p>
        </w:tc>
      </w:tr>
    </w:tbl>
    <w:p>
      <w:pPr>
        <w:spacing w:after="40"/>
      </w:pPr>
    </w:p>
    <w:p>
      <w:pPr>
        <w:pStyle w:val="Heading1"/>
      </w:pPr>
      <w:r>
        <w:t>9. 可复现性与工程质量</w:t>
      </w:r>
    </w:p>
    <w:p>
      <w:pPr>
        <w:spacing w:after="120" w:line="264" w:lineRule="auto"/>
      </w:pPr>
      <w:r>
        <w:rPr>
          <w:rFonts w:ascii="Calibri" w:hAnsi="Calibri" w:eastAsia="Microsoft YaHei"/>
          <w:color w:val="18202B"/>
          <w:sz w:val="22"/>
        </w:rPr>
        <w:t>项目保留了本地与远端两套复现路径。本地路径用于课程答辩现场稳定演示，远端路径用于 GPU 微调实验和模型对比。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Layout w:type="fixed"/>
      </w:tblPr>
      <w:tblGrid>
        <w:gridCol w:w="3120"/>
        <w:gridCol w:w="3120"/>
        <w:gridCol w:w="3120"/>
      </w:tblGrid>
      <w:tr>
        <w:tc>
          <w:tcPr>
            <w:tcW w:type="dxa" w:w="208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/>
                <w:color w:val="18202B"/>
                <w:sz w:val="19"/>
              </w:rPr>
              <w:t>任务</w:t>
            </w:r>
          </w:p>
        </w:tc>
        <w:tc>
          <w:tcPr>
            <w:tcW w:type="dxa" w:w="381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/>
                <w:color w:val="18202B"/>
                <w:sz w:val="19"/>
              </w:rPr>
              <w:t>命令/文件</w:t>
            </w:r>
          </w:p>
        </w:tc>
        <w:tc>
          <w:tcPr>
            <w:tcW w:type="dxa" w:w="345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/>
                <w:color w:val="18202B"/>
                <w:sz w:val="19"/>
              </w:rPr>
              <w:t>验收标准</w:t>
            </w:r>
          </w:p>
        </w:tc>
      </w:tr>
      <w:tr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本地 quick validation</w:t>
            </w:r>
          </w:p>
        </w:tc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python scripts\validate_project.py --quick</w:t>
            </w:r>
          </w:p>
        </w:tc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输出 VALIDATION OK</w:t>
            </w:r>
          </w:p>
        </w:tc>
      </w:tr>
      <w:tr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本地演示</w:t>
            </w:r>
          </w:p>
        </w:tc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python run_demo.py</w:t>
            </w:r>
          </w:p>
        </w:tc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打开 http://127.0.0.1:8010 可运行</w:t>
            </w:r>
          </w:p>
        </w:tc>
      </w:tr>
      <w:tr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检索评测</w:t>
            </w:r>
          </w:p>
        </w:tc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python scripts\evaluate_retrieval.py</w:t>
            </w:r>
          </w:p>
        </w:tc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代表性问题 hit@1/hit@3 达标</w:t>
            </w:r>
          </w:p>
        </w:tc>
      </w:tr>
      <w:tr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安全评测</w:t>
            </w:r>
          </w:p>
        </w:tc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python scripts\evaluate_safety_gate.py --fail-on-critical</w:t>
            </w:r>
          </w:p>
        </w:tc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55 条 benchmark 通过且 false_allow_count = 0</w:t>
            </w:r>
          </w:p>
        </w:tc>
      </w:tr>
      <w:tr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ASR 评测</w:t>
            </w:r>
          </w:p>
        </w:tc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python scripts\evaluate_asr_transcripts.py</w:t>
            </w:r>
          </w:p>
        </w:tc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录音和 ASR 转写填入后输出 CER/WER/术语召回</w:t>
            </w:r>
          </w:p>
        </w:tc>
      </w:tr>
      <w:tr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远端训练</w:t>
            </w:r>
          </w:p>
        </w:tc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remote/train_qwen_lora.py</w:t>
            </w:r>
          </w:p>
        </w:tc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生成 LoRA adapter 与训练日志</w:t>
            </w:r>
          </w:p>
        </w:tc>
      </w:tr>
      <w:tr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远端评测</w:t>
            </w:r>
          </w:p>
        </w:tc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remote/evaluate_qwen_lora.py</w:t>
            </w:r>
          </w:p>
        </w:tc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生成 base_eval.jsonl 与 lora_eval.jsonl</w:t>
            </w:r>
          </w:p>
        </w:tc>
      </w:tr>
    </w:tbl>
    <w:p>
      <w:pPr>
        <w:spacing w:after="40"/>
      </w:pPr>
    </w:p>
    <w:p>
      <w:pPr>
        <w:spacing w:after="120" w:line="264" w:lineRule="auto"/>
      </w:pPr>
      <w:r>
        <w:rPr>
          <w:rFonts w:ascii="Calibri" w:hAnsi="Calibri" w:eastAsia="Microsoft YaHei"/>
          <w:color w:val="18202B"/>
          <w:sz w:val="22"/>
        </w:rPr>
        <w:t>核心证据位于 results/remote_autodl_20260608_final，包括训练日志、评测结果、adapter、artifact manifest 和 REMOTE_RUN_SUMMARY.md。</w:t>
      </w:r>
    </w:p>
    <w:p>
      <w:pPr>
        <w:pStyle w:val="Heading1"/>
      </w:pPr>
      <w:r>
        <w:t>10. 局限性与后续工作</w:t>
      </w:r>
    </w:p>
    <w:p>
      <w:pPr>
        <w:pStyle w:val="ListBullet"/>
        <w:spacing w:after="80" w:line="280" w:lineRule="auto"/>
        <w:ind w:left="720" w:hanging="360"/>
      </w:pPr>
      <w:r>
        <w:rPr>
          <w:rFonts w:ascii="Calibri" w:hAnsi="Calibri" w:eastAsia="Microsoft YaHei"/>
          <w:color w:val="18202B"/>
          <w:sz w:val="21"/>
        </w:rPr>
        <w:t>SFT seed 数据规模仍较小，LoRA 主要证明领域适配可行性，不应夸大为生产级模型。</w:t>
      </w:r>
    </w:p>
    <w:p>
      <w:pPr>
        <w:pStyle w:val="ListBullet"/>
        <w:spacing w:after="80" w:line="280" w:lineRule="auto"/>
        <w:ind w:left="720" w:hanging="360"/>
      </w:pPr>
      <w:r>
        <w:rPr>
          <w:rFonts w:ascii="Calibri" w:hAnsi="Calibri" w:eastAsia="Microsoft YaHei"/>
          <w:color w:val="18202B"/>
          <w:sz w:val="21"/>
        </w:rPr>
        <w:t>LoRA 在 off-domain 问题上出现轻微领域模板化，因此正式系统必须保留安全门控。</w:t>
      </w:r>
    </w:p>
    <w:p>
      <w:pPr>
        <w:pStyle w:val="ListBullet"/>
        <w:spacing w:after="80" w:line="280" w:lineRule="auto"/>
        <w:ind w:left="720" w:hanging="360"/>
      </w:pPr>
      <w:r>
        <w:rPr>
          <w:rFonts w:ascii="Calibri" w:hAnsi="Calibri" w:eastAsia="Microsoft YaHei"/>
          <w:color w:val="18202B"/>
          <w:sz w:val="21"/>
        </w:rPr>
        <w:t>50 条真实中文语音已经完成录制与 ASR 评测，但当前样本规模仍偏小，下一阶段应扩展到 100+ 条、多说话人和更强噪声条件。</w:t>
      </w:r>
    </w:p>
    <w:p>
      <w:pPr>
        <w:pStyle w:val="ListBullet"/>
        <w:spacing w:after="80" w:line="280" w:lineRule="auto"/>
        <w:ind w:left="720" w:hanging="360"/>
      </w:pPr>
      <w:r>
        <w:rPr>
          <w:rFonts w:ascii="Calibri" w:hAnsi="Calibri" w:eastAsia="Microsoft YaHei"/>
          <w:color w:val="18202B"/>
          <w:sz w:val="21"/>
        </w:rPr>
        <w:t>TTS 当前以句级播放和 mock latency 展示为主，后续可接入 CosyVoice 做真实语音播报。</w:t>
      </w:r>
    </w:p>
    <w:p>
      <w:pPr>
        <w:pStyle w:val="ListBullet"/>
        <w:spacing w:after="80" w:line="280" w:lineRule="auto"/>
        <w:ind w:left="720" w:hanging="360"/>
      </w:pPr>
      <w:r>
        <w:rPr>
          <w:rFonts w:ascii="Calibri" w:hAnsi="Calibri" w:eastAsia="Microsoft YaHei"/>
          <w:color w:val="18202B"/>
          <w:sz w:val="21"/>
        </w:rPr>
        <w:t>安全门控已扩展到 55 条 benchmark，但下一阶段仍应加入 100+ 对抗改写、真实语音 ASR 错字变体和轻量分类器。</w:t>
      </w:r>
    </w:p>
    <w:p>
      <w:pPr>
        <w:pStyle w:val="Heading1"/>
      </w:pPr>
      <w:r>
        <w:t>附录：关键文件清单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Layout w:type="fixed"/>
      </w:tblPr>
      <w:tblGrid>
        <w:gridCol w:w="4680"/>
        <w:gridCol w:w="4680"/>
      </w:tblGrid>
      <w:tr>
        <w:tc>
          <w:tcPr>
            <w:tcW w:type="dxa" w:w="201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/>
                <w:color w:val="18202B"/>
                <w:sz w:val="19"/>
              </w:rPr>
              <w:t>类别</w:t>
            </w:r>
          </w:p>
        </w:tc>
        <w:tc>
          <w:tcPr>
            <w:tcW w:type="dxa" w:w="734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/>
                <w:color w:val="18202B"/>
                <w:sz w:val="19"/>
              </w:rPr>
              <w:t>路径</w:t>
            </w:r>
          </w:p>
        </w:tc>
      </w:tr>
      <w:tr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项目说明</w:t>
            </w:r>
          </w:p>
        </w:tc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README.md</w:t>
            </w:r>
          </w:p>
        </w:tc>
      </w:tr>
      <w:tr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架构说明</w:t>
            </w:r>
          </w:p>
        </w:tc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docs/ARCHITECTURE.md</w:t>
            </w:r>
          </w:p>
        </w:tc>
      </w:tr>
      <w:tr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最终路线图</w:t>
            </w:r>
          </w:p>
        </w:tc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docs/FINAL_DELIVERY_PLAN_20260608.md</w:t>
            </w:r>
          </w:p>
        </w:tc>
      </w:tr>
      <w:tr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报告大纲</w:t>
            </w:r>
          </w:p>
        </w:tc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docs/FINAL_REPORT_OUTLINE_20260608.md</w:t>
            </w:r>
          </w:p>
        </w:tc>
      </w:tr>
      <w:tr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知识库</w:t>
            </w:r>
          </w:p>
        </w:tc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data/knowledge/ship_safety_corpus.jsonl</w:t>
            </w:r>
          </w:p>
        </w:tc>
      </w:tr>
      <w:tr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测试问题</w:t>
            </w:r>
          </w:p>
        </w:tc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data/tests/eval_questions.csv</w:t>
            </w:r>
          </w:p>
        </w:tc>
      </w:tr>
      <w:tr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安全评测集</w:t>
            </w:r>
          </w:p>
        </w:tc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data/tests/safety_eval.csv</w:t>
            </w:r>
          </w:p>
        </w:tc>
      </w:tr>
      <w:tr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安全评测结果</w:t>
            </w:r>
          </w:p>
        </w:tc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results/safety_gate_eval.csv / safety_gate_eval_summary.json / safety_gate_eval_report.md</w:t>
            </w:r>
          </w:p>
        </w:tc>
      </w:tr>
      <w:tr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录音任务</w:t>
            </w:r>
          </w:p>
        </w:tc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data/audio/audio_manifest.csv / deliverables/ShipVoice_Audio_Recording_Pack.html</w:t>
            </w:r>
          </w:p>
        </w:tc>
      </w:tr>
      <w:tr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ASR 评测结果</w:t>
            </w:r>
          </w:p>
        </w:tc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results/asr_eval.csv / asr_eval_summary.json / asr_eval_report.md / asr_eval_raw_summary.json / asr_postprocess_summary.json</w:t>
            </w:r>
          </w:p>
        </w:tc>
      </w:tr>
      <w:tr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评测看板</w:t>
            </w:r>
          </w:p>
        </w:tc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deliverables/ShipVoice_Evaluation_Dashboard.html</w:t>
            </w:r>
          </w:p>
        </w:tc>
      </w:tr>
      <w:tr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SFT 数据</w:t>
            </w:r>
          </w:p>
        </w:tc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data/training/sft_seed.jsonl</w:t>
            </w:r>
          </w:p>
        </w:tc>
      </w:tr>
      <w:tr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安全门控数据</w:t>
            </w:r>
          </w:p>
        </w:tc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data/training/safety_gate_seed.jsonl</w:t>
            </w:r>
          </w:p>
        </w:tc>
      </w:tr>
      <w:tr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远端结果</w:t>
            </w:r>
          </w:p>
        </w:tc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results/remote_autodl_20260608_final</w:t>
            </w:r>
          </w:p>
        </w:tc>
      </w:tr>
      <w:tr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AutoDL bundle</w:t>
            </w:r>
          </w:p>
        </w:tc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results/autodl_bundle.zip</w:t>
            </w:r>
          </w:p>
        </w:tc>
      </w:tr>
    </w:tbl>
    <w:p>
      <w:pPr>
        <w:spacing w:after="40"/>
      </w:pP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Calibri" w:hAnsi="Calibri" w:eastAsia="Microsoft YaHei"/>
        <w:color w:val="586069"/>
        <w:sz w:val="18"/>
      </w:rPr>
      <w:t>比赛增强版草稿 - 姓名学号待补充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left"/>
    </w:pPr>
    <w:r>
      <w:rPr>
        <w:rFonts w:ascii="Calibri" w:hAnsi="Calibri" w:eastAsia="Microsoft YaHei"/>
        <w:color w:val="586069"/>
        <w:sz w:val="18"/>
      </w:rPr>
      <w:t>ShipVoice 项目报告 | 信息安全基础 A2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4" w:lineRule="auto"/>
    </w:pPr>
    <w:rPr>
      <w:rFonts w:ascii="Calibri" w:hAnsi="Calibri" w:eastAsia="Microsoft YaHe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60"/>
      <w:outlineLvl w:val="0"/>
    </w:pPr>
    <w:rPr>
      <w:rFonts w:asciiTheme="majorHAnsi" w:eastAsiaTheme="majorEastAsia" w:hAnsiTheme="majorHAnsi" w:cstheme="majorBidi" w:ascii="Calibri" w:hAnsi="Calibri" w:eastAsia="Microsoft YaHe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Calibri" w:hAnsi="Calibri" w:eastAsia="Microsoft YaHe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 w:ascii="Calibri" w:hAnsi="Calibri" w:eastAsia="Microsoft YaHe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ShipVoice 船厂安全实时语音问答助手项目报告</dc:title>
  <dc:subject>信息安全基础 A2 期末项目</dc:subject>
  <dc:creator>待补充</dc:creator>
  <cp:keywords/>
  <dc:description>Generated by project build script; group member names and student IDs are placeholders.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