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123EA" w14:textId="013A8B37" w:rsidR="00EB0B92" w:rsidRDefault="00B21D11" w:rsidP="00B21D11">
      <w:pPr>
        <w:rPr>
          <w:shd w:val="clear" w:color="auto" w:fill="FFFFFF"/>
        </w:rPr>
      </w:pPr>
      <w:r>
        <w:rPr>
          <w:rFonts w:hint="eastAsia"/>
        </w:rPr>
        <w:t xml:space="preserve">成立 </w:t>
      </w:r>
      <w:r>
        <w:t xml:space="preserve"> </w:t>
      </w:r>
      <w:r>
        <w:rPr>
          <w:rFonts w:hint="eastAsia"/>
          <w:shd w:val="clear" w:color="auto" w:fill="FFFFFF"/>
        </w:rPr>
        <w:t>1996年2月8日在南京</w:t>
      </w:r>
    </w:p>
    <w:p w14:paraId="75921B9F" w14:textId="6A448E6E" w:rsidR="00B21D11" w:rsidRDefault="00450E4A" w:rsidP="00B21D11">
      <w:r>
        <w:rPr>
          <w:rFonts w:hint="eastAsia"/>
        </w:rPr>
        <w:t>上市</w:t>
      </w:r>
      <w:r>
        <w:t xml:space="preserve">  2007</w:t>
      </w:r>
      <w:r>
        <w:rPr>
          <w:rFonts w:hint="eastAsia"/>
        </w:rPr>
        <w:t>年7月</w:t>
      </w:r>
      <w:r w:rsidR="003E6DBD">
        <w:rPr>
          <w:rFonts w:hint="eastAsia"/>
        </w:rPr>
        <w:t>1</w:t>
      </w:r>
      <w:r w:rsidR="003E6DBD">
        <w:t>9</w:t>
      </w:r>
      <w:r w:rsidR="003E6DBD">
        <w:rPr>
          <w:rFonts w:hint="eastAsia"/>
        </w:rPr>
        <w:t>日</w:t>
      </w:r>
      <w:r>
        <w:rPr>
          <w:rFonts w:hint="eastAsia"/>
        </w:rPr>
        <w:t xml:space="preserve"> 上海证券交易所上市 股票代码6</w:t>
      </w:r>
      <w:r>
        <w:t>01009</w:t>
      </w:r>
    </w:p>
    <w:p w14:paraId="6318FD1B" w14:textId="0E207257" w:rsidR="009248A0" w:rsidRDefault="00251B4A" w:rsidP="00B21D11">
      <w:r>
        <w:rPr>
          <w:rFonts w:hint="eastAsia"/>
        </w:rPr>
        <w:t>国际金融公司I</w:t>
      </w:r>
      <w:r>
        <w:t>FC</w:t>
      </w:r>
      <w:r>
        <w:rPr>
          <w:rFonts w:hint="eastAsia"/>
        </w:rPr>
        <w:t xml:space="preserve">入股 </w:t>
      </w:r>
      <w:r>
        <w:t>2001</w:t>
      </w:r>
      <w:r>
        <w:rPr>
          <w:rFonts w:hint="eastAsia"/>
        </w:rPr>
        <w:t>年</w:t>
      </w:r>
    </w:p>
    <w:p w14:paraId="0DCF2955" w14:textId="030BB3DC" w:rsidR="00251B4A" w:rsidRDefault="00016B25" w:rsidP="00B21D11">
      <w:r>
        <w:rPr>
          <w:rFonts w:hint="eastAsia"/>
        </w:rPr>
        <w:t xml:space="preserve">法国巴黎银行签署战略联盟合作协议 </w:t>
      </w:r>
      <w:r>
        <w:t>2005</w:t>
      </w:r>
      <w:r>
        <w:rPr>
          <w:rFonts w:hint="eastAsia"/>
        </w:rPr>
        <w:t>年</w:t>
      </w:r>
    </w:p>
    <w:p w14:paraId="72FFC0A2" w14:textId="00340204" w:rsidR="00A8049C" w:rsidRDefault="00A8049C" w:rsidP="00B21D11">
      <w:r>
        <w:rPr>
          <w:rFonts w:hint="eastAsia"/>
        </w:rPr>
        <w:t>日照市商业银行第一大股东</w:t>
      </w:r>
      <w:r w:rsidR="00E30D3D">
        <w:rPr>
          <w:rFonts w:hint="eastAsia"/>
        </w:rPr>
        <w:t>1</w:t>
      </w:r>
      <w:r w:rsidR="00E30D3D">
        <w:t>8</w:t>
      </w:r>
      <w:r w:rsidR="00E30D3D">
        <w:rPr>
          <w:rFonts w:hint="eastAsia"/>
        </w:rPr>
        <w:t>%股份</w:t>
      </w:r>
      <w:r>
        <w:rPr>
          <w:rFonts w:hint="eastAsia"/>
        </w:rPr>
        <w:t xml:space="preserve"> </w:t>
      </w:r>
      <w:r>
        <w:t xml:space="preserve"> 2006</w:t>
      </w:r>
      <w:r>
        <w:rPr>
          <w:rFonts w:hint="eastAsia"/>
        </w:rPr>
        <w:t>年</w:t>
      </w:r>
    </w:p>
    <w:p w14:paraId="663DF5CE" w14:textId="77777777" w:rsidR="00622F19" w:rsidRPr="00622F19" w:rsidRDefault="00622F19" w:rsidP="00B21D11"/>
    <w:p w14:paraId="7AF89692" w14:textId="4DF26E33" w:rsidR="009248A0" w:rsidRDefault="009248A0" w:rsidP="00251B4A">
      <w:pPr>
        <w:rPr>
          <w:shd w:val="clear" w:color="auto" w:fill="FFFFFF"/>
        </w:rPr>
      </w:pPr>
      <w:r>
        <w:rPr>
          <w:rFonts w:hint="eastAsia"/>
          <w:shd w:val="clear" w:color="auto" w:fill="FFFFFF"/>
        </w:rPr>
        <w:t>是一家具有由国有股份、中资法人股份、外资股份及众多个人股份共同组成独立法人资格的股份制商业银行，实行一级法人体制</w:t>
      </w:r>
    </w:p>
    <w:p w14:paraId="687A6D19" w14:textId="3BB8385E" w:rsidR="007F459D" w:rsidRDefault="007F459D" w:rsidP="00251B4A"/>
    <w:p w14:paraId="25573149" w14:textId="57CBF46C" w:rsidR="007F459D" w:rsidRDefault="007F459D" w:rsidP="00A6511E">
      <w:pPr>
        <w:rPr>
          <w:shd w:val="clear" w:color="auto" w:fill="FFFFFF"/>
        </w:rPr>
      </w:pPr>
      <w:r>
        <w:rPr>
          <w:rFonts w:hint="eastAsia"/>
          <w:shd w:val="clear" w:color="auto" w:fill="FFFFFF"/>
        </w:rPr>
        <w:t>目前注册资本为84.82亿元，资产规模11411.63亿元（截至2017年末），下辖17家分行，172家营业网点， 2016年，实现布局京沪杭及江苏省内设区市全覆盖</w:t>
      </w:r>
    </w:p>
    <w:p w14:paraId="466CAC66" w14:textId="4966A94F" w:rsidR="0063052E" w:rsidRDefault="0063052E" w:rsidP="00A6511E"/>
    <w:p w14:paraId="027A079B" w14:textId="1D67671B" w:rsidR="007D10E8" w:rsidRDefault="00223B95" w:rsidP="00223B95">
      <w:pPr>
        <w:rPr>
          <w:shd w:val="clear" w:color="auto" w:fill="FFFFFF"/>
        </w:rPr>
      </w:pPr>
      <w:r>
        <w:rPr>
          <w:rFonts w:hint="eastAsia"/>
          <w:shd w:val="clear" w:color="auto" w:fill="FFFFFF"/>
        </w:rPr>
        <w:t>以建设“中国中小银行中一流综合金融服务商”为战略愿景</w:t>
      </w:r>
    </w:p>
    <w:p w14:paraId="22EB3B99" w14:textId="355A11D2" w:rsidR="00223B95" w:rsidRDefault="00223B95" w:rsidP="00223B95"/>
    <w:p w14:paraId="5B6A6E15" w14:textId="727E01DA" w:rsidR="00223B95" w:rsidRDefault="00C34142" w:rsidP="00C34142">
      <w:pPr>
        <w:rPr>
          <w:shd w:val="clear" w:color="auto" w:fill="FFFFFF"/>
        </w:rPr>
      </w:pPr>
      <w:r>
        <w:rPr>
          <w:rFonts w:hint="eastAsia"/>
          <w:shd w:val="clear" w:color="auto" w:fill="FFFFFF"/>
        </w:rPr>
        <w:t>南京银行致力于探索综合化经营。在全国率先尝试了城商行异地参股其他城商行的发展模式，参股日照银行并成为其第一大股东，入股江苏金融租赁有限公司、芜湖津盛农村合作银行、苏宁消费金融公司，发起设立了宜兴阳羡、昆山鹿城两家村镇银行，投资组建</w:t>
      </w:r>
      <w:proofErr w:type="gramStart"/>
      <w:r>
        <w:rPr>
          <w:rFonts w:hint="eastAsia"/>
          <w:shd w:val="clear" w:color="auto" w:fill="FFFFFF"/>
        </w:rPr>
        <w:t>鑫元基金</w:t>
      </w:r>
      <w:proofErr w:type="gramEnd"/>
      <w:r>
        <w:rPr>
          <w:rFonts w:hint="eastAsia"/>
          <w:shd w:val="clear" w:color="auto" w:fill="FFFFFF"/>
        </w:rPr>
        <w:t>公司，成立紫金山•鑫合金融家俱乐部</w:t>
      </w:r>
    </w:p>
    <w:p w14:paraId="6719F1C4" w14:textId="695CE9DB" w:rsidR="00C34142" w:rsidRDefault="00C34142" w:rsidP="00C34142"/>
    <w:p w14:paraId="2C8467DA" w14:textId="160752F6" w:rsidR="00C34142" w:rsidRDefault="00F21F1F" w:rsidP="000A5E82">
      <w:r>
        <w:rPr>
          <w:rFonts w:hint="eastAsia"/>
        </w:rPr>
        <w:t>发展理念</w:t>
      </w:r>
    </w:p>
    <w:p w14:paraId="5F3B9244" w14:textId="77777777" w:rsidR="00C16B23" w:rsidRPr="00C16B23" w:rsidRDefault="00C16B23" w:rsidP="000A5E82">
      <w:r w:rsidRPr="00C16B23">
        <w:rPr>
          <w:rFonts w:hint="eastAsia"/>
        </w:rPr>
        <w:t>一个目标</w:t>
      </w:r>
    </w:p>
    <w:p w14:paraId="0B67203C" w14:textId="77777777" w:rsidR="00C16B23" w:rsidRPr="00C16B23" w:rsidRDefault="00C16B23" w:rsidP="000A5E82">
      <w:pPr>
        <w:rPr>
          <w:rFonts w:ascii="Arial" w:eastAsia="宋体" w:hAnsi="Arial" w:cs="Arial"/>
          <w:szCs w:val="21"/>
        </w:rPr>
      </w:pPr>
      <w:r w:rsidRPr="00C16B23">
        <w:rPr>
          <w:rFonts w:ascii="Arial" w:eastAsia="宋体" w:hAnsi="Arial" w:cs="Arial"/>
          <w:szCs w:val="21"/>
        </w:rPr>
        <w:t>以科学的发展观为指导，以发行上市为契机，加快改革步伐，将</w:t>
      </w:r>
      <w:hyperlink r:id="rId4" w:tgtFrame="_blank" w:history="1">
        <w:r w:rsidRPr="00C16B23">
          <w:rPr>
            <w:rFonts w:ascii="Arial" w:eastAsia="宋体" w:hAnsi="Arial" w:cs="Arial"/>
            <w:color w:val="136EC2"/>
            <w:szCs w:val="21"/>
            <w:u w:val="single"/>
          </w:rPr>
          <w:t>南京</w:t>
        </w:r>
      </w:hyperlink>
      <w:r w:rsidRPr="00C16B23">
        <w:rPr>
          <w:rFonts w:ascii="Arial" w:eastAsia="宋体" w:hAnsi="Arial" w:cs="Arial"/>
          <w:szCs w:val="21"/>
        </w:rPr>
        <w:t>银行建设成为区域性的，具备一定实力和规模的上市银行。</w:t>
      </w:r>
    </w:p>
    <w:p w14:paraId="624F3993" w14:textId="77777777" w:rsidR="00C16B23" w:rsidRPr="00C16B23" w:rsidRDefault="00C16B23" w:rsidP="000A5E82">
      <w:r w:rsidRPr="00C16B23">
        <w:rPr>
          <w:rFonts w:hint="eastAsia"/>
        </w:rPr>
        <w:t>三大战略</w:t>
      </w:r>
    </w:p>
    <w:p w14:paraId="14609725" w14:textId="77777777" w:rsidR="00C16B23" w:rsidRPr="00C16B23" w:rsidRDefault="00C16B23" w:rsidP="000A5E82">
      <w:pPr>
        <w:rPr>
          <w:rFonts w:ascii="Arial" w:eastAsia="宋体" w:hAnsi="Arial" w:cs="Arial"/>
          <w:color w:val="333333"/>
          <w:kern w:val="0"/>
          <w:szCs w:val="21"/>
        </w:rPr>
      </w:pPr>
      <w:r w:rsidRPr="00C16B23">
        <w:rPr>
          <w:rFonts w:ascii="Arial" w:eastAsia="宋体" w:hAnsi="Arial" w:cs="Arial"/>
          <w:color w:val="333333"/>
          <w:kern w:val="0"/>
          <w:szCs w:val="21"/>
        </w:rPr>
        <w:t>与外资银行战略合作、跨区域经营、上市。</w:t>
      </w:r>
    </w:p>
    <w:p w14:paraId="589318A4" w14:textId="77777777" w:rsidR="00C16B23" w:rsidRPr="00C16B23" w:rsidRDefault="00C16B23" w:rsidP="000A5E82">
      <w:bookmarkStart w:id="0" w:name="3_3"/>
      <w:bookmarkStart w:id="1" w:name="sub842990_3_3"/>
      <w:bookmarkStart w:id="2" w:name="十六字方针"/>
      <w:bookmarkStart w:id="3" w:name="3-3"/>
      <w:bookmarkEnd w:id="0"/>
      <w:bookmarkEnd w:id="1"/>
      <w:bookmarkEnd w:id="2"/>
      <w:bookmarkEnd w:id="3"/>
      <w:r w:rsidRPr="00C16B23">
        <w:rPr>
          <w:rFonts w:hint="eastAsia"/>
        </w:rPr>
        <w:t>十六字方针</w:t>
      </w:r>
    </w:p>
    <w:p w14:paraId="1E25403E" w14:textId="613DFACC" w:rsidR="00C16B23" w:rsidRDefault="00C16B23" w:rsidP="000A5E82">
      <w:pPr>
        <w:rPr>
          <w:rFonts w:ascii="Arial" w:eastAsia="宋体" w:hAnsi="Arial" w:cs="Arial"/>
          <w:color w:val="333333"/>
          <w:kern w:val="0"/>
          <w:szCs w:val="21"/>
        </w:rPr>
      </w:pPr>
      <w:r w:rsidRPr="00C16B23">
        <w:rPr>
          <w:rFonts w:ascii="Arial" w:eastAsia="宋体" w:hAnsi="Arial" w:cs="Arial"/>
          <w:color w:val="333333"/>
          <w:kern w:val="0"/>
          <w:szCs w:val="21"/>
        </w:rPr>
        <w:t>加强管理、深化改革、控制风险、推动发展。</w:t>
      </w:r>
    </w:p>
    <w:p w14:paraId="21CB55A1" w14:textId="10A0BC16" w:rsidR="00927C23" w:rsidRDefault="00927C23" w:rsidP="000A5E82">
      <w:pPr>
        <w:rPr>
          <w:rFonts w:ascii="Arial" w:eastAsia="宋体" w:hAnsi="Arial" w:cs="Arial"/>
          <w:color w:val="333333"/>
          <w:kern w:val="0"/>
          <w:szCs w:val="21"/>
        </w:rPr>
      </w:pPr>
    </w:p>
    <w:p w14:paraId="146764DF" w14:textId="44999EA6" w:rsidR="00927C23" w:rsidRPr="00927C23" w:rsidRDefault="00927C23" w:rsidP="000A5E82">
      <w:pPr>
        <w:rPr>
          <w:rFonts w:ascii="Arial" w:eastAsia="宋体" w:hAnsi="Arial" w:cs="Arial" w:hint="eastAsia"/>
          <w:color w:val="333333"/>
          <w:kern w:val="0"/>
          <w:szCs w:val="21"/>
        </w:rPr>
      </w:pPr>
      <w:r>
        <w:rPr>
          <w:rFonts w:ascii="Arial" w:eastAsia="宋体" w:hAnsi="Arial" w:cs="Arial" w:hint="eastAsia"/>
          <w:color w:val="333333"/>
          <w:kern w:val="0"/>
          <w:szCs w:val="21"/>
        </w:rPr>
        <w:t>成立时间</w:t>
      </w:r>
      <w:r w:rsidR="0090296D">
        <w:rPr>
          <w:rFonts w:ascii="Arial" w:eastAsia="宋体" w:hAnsi="Arial" w:cs="Arial" w:hint="eastAsia"/>
          <w:color w:val="333333"/>
          <w:kern w:val="0"/>
          <w:szCs w:val="21"/>
        </w:rPr>
        <w:t>：</w:t>
      </w:r>
      <w:r>
        <w:rPr>
          <w:rFonts w:hint="eastAsia"/>
          <w:shd w:val="clear" w:color="auto" w:fill="FFFFFF"/>
        </w:rPr>
        <w:t>1996年2月8日在南京</w:t>
      </w:r>
    </w:p>
    <w:p w14:paraId="5929266D" w14:textId="4B33C7F1" w:rsidR="00927C23" w:rsidRDefault="00927C23" w:rsidP="00C34142">
      <w:r>
        <w:rPr>
          <w:rFonts w:hint="eastAsia"/>
        </w:rPr>
        <w:t>上市时间</w:t>
      </w:r>
      <w:r w:rsidR="0090296D">
        <w:rPr>
          <w:rFonts w:hint="eastAsia"/>
        </w:rPr>
        <w:t>：</w:t>
      </w:r>
      <w:r w:rsidR="00577541">
        <w:t>2</w:t>
      </w:r>
      <w:r>
        <w:t>007</w:t>
      </w:r>
      <w:r>
        <w:rPr>
          <w:rFonts w:hint="eastAsia"/>
        </w:rPr>
        <w:t>年7月1</w:t>
      </w:r>
      <w:r>
        <w:t>9</w:t>
      </w:r>
      <w:r>
        <w:rPr>
          <w:rFonts w:hint="eastAsia"/>
        </w:rPr>
        <w:t>日 上海证券交易所上市 股票代码6</w:t>
      </w:r>
      <w:r>
        <w:t>01009</w:t>
      </w:r>
    </w:p>
    <w:p w14:paraId="543248BC" w14:textId="48B01C4B" w:rsidR="002F1270" w:rsidRDefault="0090296D" w:rsidP="00C34142">
      <w:r>
        <w:rPr>
          <w:rFonts w:hint="eastAsia"/>
        </w:rPr>
        <w:t>消费金融产品：</w:t>
      </w:r>
      <w:proofErr w:type="gramStart"/>
      <w:r>
        <w:rPr>
          <w:rFonts w:hint="eastAsia"/>
        </w:rPr>
        <w:t>鑫</w:t>
      </w:r>
      <w:proofErr w:type="gramEnd"/>
      <w:r>
        <w:rPr>
          <w:rFonts w:hint="eastAsia"/>
        </w:rPr>
        <w:t>梦享</w:t>
      </w:r>
    </w:p>
    <w:p w14:paraId="273A54C5" w14:textId="21752A61" w:rsidR="00E80516" w:rsidRDefault="00E80516" w:rsidP="00C34142">
      <w:r>
        <w:rPr>
          <w:rFonts w:hint="eastAsia"/>
        </w:rPr>
        <w:t>2</w:t>
      </w:r>
      <w:r>
        <w:t>017</w:t>
      </w:r>
      <w:r>
        <w:rPr>
          <w:rFonts w:hint="eastAsia"/>
        </w:rPr>
        <w:t>年在《银行家》排名1</w:t>
      </w:r>
      <w:r>
        <w:t>46</w:t>
      </w:r>
      <w:r>
        <w:rPr>
          <w:rFonts w:hint="eastAsia"/>
        </w:rPr>
        <w:t>名，较去年提升6位</w:t>
      </w:r>
    </w:p>
    <w:p w14:paraId="26E78C34" w14:textId="5F1DE87A" w:rsidR="00E80516" w:rsidRDefault="00E80516" w:rsidP="00C34142">
      <w:r>
        <w:rPr>
          <w:rFonts w:hint="eastAsia"/>
        </w:rPr>
        <w:t>2</w:t>
      </w:r>
      <w:r>
        <w:t>017</w:t>
      </w:r>
      <w:r>
        <w:rPr>
          <w:rFonts w:hint="eastAsia"/>
        </w:rPr>
        <w:t>年在全球银行品牌5</w:t>
      </w:r>
      <w:r>
        <w:t>00</w:t>
      </w:r>
      <w:r>
        <w:rPr>
          <w:rFonts w:hint="eastAsia"/>
        </w:rPr>
        <w:t>强排行中，排名1</w:t>
      </w:r>
      <w:r>
        <w:t>24</w:t>
      </w:r>
      <w:r>
        <w:rPr>
          <w:rFonts w:hint="eastAsia"/>
        </w:rPr>
        <w:t>位，较去年提升7位</w:t>
      </w:r>
    </w:p>
    <w:p w14:paraId="196C6A89" w14:textId="5F6C97AF" w:rsidR="00676B10" w:rsidRPr="00676B10" w:rsidRDefault="00676B10" w:rsidP="00C34142">
      <w:pPr>
        <w:rPr>
          <w:rFonts w:hint="eastAsia"/>
        </w:rPr>
      </w:pPr>
      <w:r>
        <w:rPr>
          <w:rFonts w:hint="eastAsia"/>
        </w:rPr>
        <w:t>2</w:t>
      </w:r>
      <w:r>
        <w:t>001</w:t>
      </w:r>
      <w:r>
        <w:rPr>
          <w:rFonts w:hint="eastAsia"/>
        </w:rPr>
        <w:t xml:space="preserve">年 </w:t>
      </w:r>
      <w:r>
        <w:rPr>
          <w:rFonts w:hint="eastAsia"/>
        </w:rPr>
        <w:t>国际金融公司I</w:t>
      </w:r>
      <w:r>
        <w:t>FC</w:t>
      </w:r>
      <w:r>
        <w:rPr>
          <w:rFonts w:hint="eastAsia"/>
        </w:rPr>
        <w:t>入股</w:t>
      </w:r>
    </w:p>
    <w:p w14:paraId="00828FA8" w14:textId="067C10A8" w:rsidR="00676B10" w:rsidRDefault="00676B10" w:rsidP="00676B10">
      <w:r>
        <w:rPr>
          <w:rFonts w:hint="eastAsia"/>
        </w:rPr>
        <w:t>2</w:t>
      </w:r>
      <w:r>
        <w:t>005</w:t>
      </w:r>
      <w:r>
        <w:rPr>
          <w:rFonts w:hint="eastAsia"/>
        </w:rPr>
        <w:t xml:space="preserve">年 </w:t>
      </w:r>
      <w:r>
        <w:rPr>
          <w:rFonts w:hint="eastAsia"/>
        </w:rPr>
        <w:t>法国巴黎银行签署战略联盟合作协议</w:t>
      </w:r>
    </w:p>
    <w:p w14:paraId="5F9F6214" w14:textId="137D6191" w:rsidR="00676B10" w:rsidRDefault="00676B10" w:rsidP="00C34142">
      <w:r>
        <w:t>2006</w:t>
      </w:r>
      <w:r>
        <w:rPr>
          <w:rFonts w:hint="eastAsia"/>
        </w:rPr>
        <w:t xml:space="preserve">年 </w:t>
      </w:r>
      <w:r>
        <w:rPr>
          <w:rFonts w:hint="eastAsia"/>
        </w:rPr>
        <w:t>日照市商业银行第一大股东1</w:t>
      </w:r>
      <w:r>
        <w:t>8</w:t>
      </w:r>
      <w:r>
        <w:rPr>
          <w:rFonts w:hint="eastAsia"/>
        </w:rPr>
        <w:t>%股份</w:t>
      </w:r>
    </w:p>
    <w:p w14:paraId="4C14C3BA" w14:textId="0B205892" w:rsidR="00CB6DB9" w:rsidRDefault="00CB6DB9" w:rsidP="00C34142">
      <w:r>
        <w:rPr>
          <w:rFonts w:hint="eastAsia"/>
        </w:rPr>
        <w:t>2</w:t>
      </w:r>
      <w:r>
        <w:t>009</w:t>
      </w:r>
      <w:r>
        <w:rPr>
          <w:rFonts w:hint="eastAsia"/>
        </w:rPr>
        <w:t>年 参股江苏金融租赁有限公司</w:t>
      </w:r>
    </w:p>
    <w:p w14:paraId="72F28671" w14:textId="206D931F" w:rsidR="005A1F1E" w:rsidRDefault="005A1F1E" w:rsidP="006C5CBB">
      <w:pPr>
        <w:rPr>
          <w:shd w:val="clear" w:color="auto" w:fill="FFFFFF"/>
        </w:rPr>
      </w:pPr>
      <w:r>
        <w:rPr>
          <w:shd w:val="clear" w:color="auto" w:fill="FFFFFF"/>
        </w:rPr>
        <w:t>2007年3月18日</w:t>
      </w:r>
      <w:r w:rsidR="00882470">
        <w:rPr>
          <w:rFonts w:hint="eastAsia"/>
          <w:shd w:val="clear" w:color="auto" w:fill="FFFFFF"/>
        </w:rPr>
        <w:t>，</w:t>
      </w:r>
      <w:r>
        <w:rPr>
          <w:shd w:val="clear" w:color="auto" w:fill="FFFFFF"/>
        </w:rPr>
        <w:t>南京市商业银行更名为南京银行</w:t>
      </w:r>
    </w:p>
    <w:p w14:paraId="544B0F97" w14:textId="62BEFCE8" w:rsidR="002B38FD" w:rsidRDefault="002B38FD" w:rsidP="006C5CBB">
      <w:pPr>
        <w:rPr>
          <w:shd w:val="clear" w:color="auto" w:fill="FFFFFF"/>
        </w:rPr>
      </w:pPr>
      <w:r>
        <w:rPr>
          <w:shd w:val="clear" w:color="auto" w:fill="FFFFFF"/>
        </w:rPr>
        <w:t>1998年4月28日,由南京城市合作银行股份有限公司更名为南京市商业银行股份有限公司</w:t>
      </w:r>
    </w:p>
    <w:p w14:paraId="53F9307D" w14:textId="14149D6A" w:rsidR="003A607A" w:rsidRPr="00676B10" w:rsidRDefault="003A607A" w:rsidP="006C5CBB">
      <w:pPr>
        <w:rPr>
          <w:rFonts w:hint="eastAsia"/>
        </w:rPr>
      </w:pPr>
      <w:r>
        <w:rPr>
          <w:rFonts w:hint="eastAsia"/>
          <w:color w:val="000000"/>
          <w:szCs w:val="21"/>
          <w:shd w:val="clear" w:color="auto" w:fill="FFFFFF"/>
        </w:rPr>
        <w:t>2007年2月，南京银行设立了第一家异地分行——泰州分行</w:t>
      </w:r>
      <w:bookmarkStart w:id="4" w:name="_GoBack"/>
      <w:bookmarkEnd w:id="4"/>
    </w:p>
    <w:p w14:paraId="11C29D12" w14:textId="1764D44E" w:rsidR="00E80E7A" w:rsidRDefault="00E80E7A" w:rsidP="00C34142">
      <w:r w:rsidRPr="00E80E7A">
        <w:rPr>
          <w:rFonts w:hint="eastAsia"/>
        </w:rPr>
        <w:t>南京银行和苏宁</w:t>
      </w:r>
      <w:proofErr w:type="gramStart"/>
      <w:r w:rsidRPr="00E80E7A">
        <w:rPr>
          <w:rFonts w:hint="eastAsia"/>
        </w:rPr>
        <w:t>云商成立</w:t>
      </w:r>
      <w:proofErr w:type="gramEnd"/>
      <w:r w:rsidRPr="00E80E7A">
        <w:rPr>
          <w:rFonts w:hint="eastAsia"/>
        </w:rPr>
        <w:t>了</w:t>
      </w:r>
      <w:r>
        <w:rPr>
          <w:rFonts w:hint="eastAsia"/>
        </w:rPr>
        <w:t>苏宁消费金融有限公司</w:t>
      </w:r>
    </w:p>
    <w:p w14:paraId="123176A7" w14:textId="5C2B0A18" w:rsidR="0062026C" w:rsidRPr="002F1270" w:rsidRDefault="00245258" w:rsidP="00C34142">
      <w:pPr>
        <w:rPr>
          <w:rFonts w:hint="eastAsia"/>
        </w:rPr>
      </w:pPr>
      <w:r>
        <w:rPr>
          <w:rFonts w:hint="eastAsia"/>
        </w:rPr>
        <w:t>你好银行 是南京银行</w:t>
      </w:r>
      <w:r w:rsidR="0090235A">
        <w:rPr>
          <w:rFonts w:hint="eastAsia"/>
        </w:rPr>
        <w:t>手机平台上的一款财务管理类A</w:t>
      </w:r>
      <w:r w:rsidR="0090235A">
        <w:t>PP</w:t>
      </w:r>
      <w:r w:rsidR="0090235A">
        <w:rPr>
          <w:rFonts w:hint="eastAsia"/>
        </w:rPr>
        <w:t>，为客户提供专业的金融服务平台</w:t>
      </w:r>
    </w:p>
    <w:sectPr w:rsidR="0062026C" w:rsidRPr="002F12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92"/>
    <w:rsid w:val="00016B25"/>
    <w:rsid w:val="000A5E82"/>
    <w:rsid w:val="00223B95"/>
    <w:rsid w:val="00245258"/>
    <w:rsid w:val="00251B4A"/>
    <w:rsid w:val="002B38FD"/>
    <w:rsid w:val="002F1270"/>
    <w:rsid w:val="003A607A"/>
    <w:rsid w:val="003E6DBD"/>
    <w:rsid w:val="00450E4A"/>
    <w:rsid w:val="00577541"/>
    <w:rsid w:val="005A1F1E"/>
    <w:rsid w:val="0062026C"/>
    <w:rsid w:val="00622F19"/>
    <w:rsid w:val="0063052E"/>
    <w:rsid w:val="00676B10"/>
    <w:rsid w:val="006C5CBB"/>
    <w:rsid w:val="007D10E8"/>
    <w:rsid w:val="007F459D"/>
    <w:rsid w:val="00882470"/>
    <w:rsid w:val="0090235A"/>
    <w:rsid w:val="0090296D"/>
    <w:rsid w:val="009248A0"/>
    <w:rsid w:val="00927C23"/>
    <w:rsid w:val="00A6511E"/>
    <w:rsid w:val="00A8049C"/>
    <w:rsid w:val="00B21D11"/>
    <w:rsid w:val="00C16B23"/>
    <w:rsid w:val="00C34142"/>
    <w:rsid w:val="00CB6DB9"/>
    <w:rsid w:val="00E30D3D"/>
    <w:rsid w:val="00E80516"/>
    <w:rsid w:val="00E80E7A"/>
    <w:rsid w:val="00EB0B92"/>
    <w:rsid w:val="00F21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E4D4E"/>
  <w15:chartTrackingRefBased/>
  <w15:docId w15:val="{130767A1-B122-477A-B993-72AAFA5C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16B2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16B23"/>
    <w:rPr>
      <w:rFonts w:ascii="宋体" w:eastAsia="宋体" w:hAnsi="宋体" w:cs="宋体"/>
      <w:b/>
      <w:bCs/>
      <w:kern w:val="0"/>
      <w:sz w:val="27"/>
      <w:szCs w:val="27"/>
    </w:rPr>
  </w:style>
  <w:style w:type="character" w:styleId="a3">
    <w:name w:val="Hyperlink"/>
    <w:basedOn w:val="a0"/>
    <w:uiPriority w:val="99"/>
    <w:semiHidden/>
    <w:unhideWhenUsed/>
    <w:rsid w:val="00C16B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857044">
      <w:bodyDiv w:val="1"/>
      <w:marLeft w:val="0"/>
      <w:marRight w:val="0"/>
      <w:marTop w:val="0"/>
      <w:marBottom w:val="0"/>
      <w:divBdr>
        <w:top w:val="none" w:sz="0" w:space="0" w:color="auto"/>
        <w:left w:val="none" w:sz="0" w:space="0" w:color="auto"/>
        <w:bottom w:val="none" w:sz="0" w:space="0" w:color="auto"/>
        <w:right w:val="none" w:sz="0" w:space="0" w:color="auto"/>
      </w:divBdr>
      <w:divsChild>
        <w:div w:id="838230815">
          <w:marLeft w:val="0"/>
          <w:marRight w:val="0"/>
          <w:marTop w:val="300"/>
          <w:marBottom w:val="180"/>
          <w:divBdr>
            <w:top w:val="none" w:sz="0" w:space="0" w:color="auto"/>
            <w:left w:val="none" w:sz="0" w:space="0" w:color="auto"/>
            <w:bottom w:val="none" w:sz="0" w:space="0" w:color="auto"/>
            <w:right w:val="none" w:sz="0" w:space="0" w:color="auto"/>
          </w:divBdr>
        </w:div>
        <w:div w:id="1190871215">
          <w:marLeft w:val="0"/>
          <w:marRight w:val="0"/>
          <w:marTop w:val="0"/>
          <w:marBottom w:val="225"/>
          <w:divBdr>
            <w:top w:val="none" w:sz="0" w:space="0" w:color="auto"/>
            <w:left w:val="none" w:sz="0" w:space="0" w:color="auto"/>
            <w:bottom w:val="none" w:sz="0" w:space="0" w:color="auto"/>
            <w:right w:val="none" w:sz="0" w:space="0" w:color="auto"/>
          </w:divBdr>
        </w:div>
      </w:divsChild>
    </w:div>
    <w:div w:id="641009076">
      <w:bodyDiv w:val="1"/>
      <w:marLeft w:val="0"/>
      <w:marRight w:val="0"/>
      <w:marTop w:val="0"/>
      <w:marBottom w:val="0"/>
      <w:divBdr>
        <w:top w:val="none" w:sz="0" w:space="0" w:color="auto"/>
        <w:left w:val="none" w:sz="0" w:space="0" w:color="auto"/>
        <w:bottom w:val="none" w:sz="0" w:space="0" w:color="auto"/>
        <w:right w:val="none" w:sz="0" w:space="0" w:color="auto"/>
      </w:divBdr>
      <w:divsChild>
        <w:div w:id="206524835">
          <w:marLeft w:val="0"/>
          <w:marRight w:val="0"/>
          <w:marTop w:val="300"/>
          <w:marBottom w:val="180"/>
          <w:divBdr>
            <w:top w:val="none" w:sz="0" w:space="0" w:color="auto"/>
            <w:left w:val="none" w:sz="0" w:space="0" w:color="auto"/>
            <w:bottom w:val="none" w:sz="0" w:space="0" w:color="auto"/>
            <w:right w:val="none" w:sz="0" w:space="0" w:color="auto"/>
          </w:divBdr>
        </w:div>
        <w:div w:id="2125036145">
          <w:marLeft w:val="0"/>
          <w:marRight w:val="0"/>
          <w:marTop w:val="0"/>
          <w:marBottom w:val="225"/>
          <w:divBdr>
            <w:top w:val="none" w:sz="0" w:space="0" w:color="auto"/>
            <w:left w:val="none" w:sz="0" w:space="0" w:color="auto"/>
            <w:bottom w:val="none" w:sz="0" w:space="0" w:color="auto"/>
            <w:right w:val="none" w:sz="0" w:space="0" w:color="auto"/>
          </w:divBdr>
        </w:div>
        <w:div w:id="1590191398">
          <w:marLeft w:val="0"/>
          <w:marRight w:val="0"/>
          <w:marTop w:val="300"/>
          <w:marBottom w:val="180"/>
          <w:divBdr>
            <w:top w:val="none" w:sz="0" w:space="0" w:color="auto"/>
            <w:left w:val="none" w:sz="0" w:space="0" w:color="auto"/>
            <w:bottom w:val="none" w:sz="0" w:space="0" w:color="auto"/>
            <w:right w:val="none" w:sz="0" w:space="0" w:color="auto"/>
          </w:divBdr>
        </w:div>
        <w:div w:id="2031568592">
          <w:marLeft w:val="0"/>
          <w:marRight w:val="0"/>
          <w:marTop w:val="0"/>
          <w:marBottom w:val="225"/>
          <w:divBdr>
            <w:top w:val="none" w:sz="0" w:space="0" w:color="auto"/>
            <w:left w:val="none" w:sz="0" w:space="0" w:color="auto"/>
            <w:bottom w:val="none" w:sz="0" w:space="0" w:color="auto"/>
            <w:right w:val="none" w:sz="0" w:space="0" w:color="auto"/>
          </w:divBdr>
        </w:div>
      </w:divsChild>
    </w:div>
    <w:div w:id="1443106515">
      <w:bodyDiv w:val="1"/>
      <w:marLeft w:val="0"/>
      <w:marRight w:val="0"/>
      <w:marTop w:val="0"/>
      <w:marBottom w:val="0"/>
      <w:divBdr>
        <w:top w:val="none" w:sz="0" w:space="0" w:color="auto"/>
        <w:left w:val="none" w:sz="0" w:space="0" w:color="auto"/>
        <w:bottom w:val="none" w:sz="0" w:space="0" w:color="auto"/>
        <w:right w:val="none" w:sz="0" w:space="0" w:color="auto"/>
      </w:divBdr>
      <w:divsChild>
        <w:div w:id="2034918321">
          <w:marLeft w:val="0"/>
          <w:marRight w:val="0"/>
          <w:marTop w:val="300"/>
          <w:marBottom w:val="180"/>
          <w:divBdr>
            <w:top w:val="none" w:sz="0" w:space="0" w:color="auto"/>
            <w:left w:val="none" w:sz="0" w:space="0" w:color="auto"/>
            <w:bottom w:val="none" w:sz="0" w:space="0" w:color="auto"/>
            <w:right w:val="none" w:sz="0" w:space="0" w:color="auto"/>
          </w:divBdr>
        </w:div>
        <w:div w:id="436948021">
          <w:marLeft w:val="0"/>
          <w:marRight w:val="0"/>
          <w:marTop w:val="0"/>
          <w:marBottom w:val="225"/>
          <w:divBdr>
            <w:top w:val="none" w:sz="0" w:space="0" w:color="auto"/>
            <w:left w:val="none" w:sz="0" w:space="0" w:color="auto"/>
            <w:bottom w:val="none" w:sz="0" w:space="0" w:color="auto"/>
            <w:right w:val="none" w:sz="0" w:space="0" w:color="auto"/>
          </w:divBdr>
        </w:div>
        <w:div w:id="595677153">
          <w:marLeft w:val="0"/>
          <w:marRight w:val="0"/>
          <w:marTop w:val="300"/>
          <w:marBottom w:val="180"/>
          <w:divBdr>
            <w:top w:val="none" w:sz="0" w:space="0" w:color="auto"/>
            <w:left w:val="none" w:sz="0" w:space="0" w:color="auto"/>
            <w:bottom w:val="none" w:sz="0" w:space="0" w:color="auto"/>
            <w:right w:val="none" w:sz="0" w:space="0" w:color="auto"/>
          </w:divBdr>
        </w:div>
        <w:div w:id="43051011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aike.baidu.com/item/%E5%8D%97%E4%BA%AC/239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岩</dc:creator>
  <cp:keywords/>
  <dc:description/>
  <cp:lastModifiedBy>王 岩</cp:lastModifiedBy>
  <cp:revision>141</cp:revision>
  <dcterms:created xsi:type="dcterms:W3CDTF">2018-08-14T12:11:00Z</dcterms:created>
  <dcterms:modified xsi:type="dcterms:W3CDTF">2018-08-15T15:42:00Z</dcterms:modified>
</cp:coreProperties>
</file>