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Lic. Miguel Angel León Paco</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9"/>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lang w:val="es-ES" w:eastAsia="es-ES"/>
        </w:rPr>
        <w:t>${incorporacion.fechaInforme}</w:t>
      </w:r>
    </w:p>
    <w:p>
      <w:pPr>
        <w:pStyle w:val="Normal"/>
        <w:spacing w:lineRule="auto" w:line="240" w:before="0" w:after="0"/>
        <w:jc w:val="both"/>
        <w:rPr>
          <w:rFonts w:ascii="Tahoma" w:hAnsi="Tahoma" w:eastAsia="Times New Roman" w:cs="Tahoma"/>
          <w:b/>
          <w:color w:val="000000"/>
          <w:sz w:val="30"/>
          <w:szCs w:val="30"/>
          <w:lang w:eastAsia="es-ES"/>
        </w:rPr>
      </w:pPr>
      <w:r>
        <w:rPr>
          <w:rFonts w:eastAsia="Times New Roman" w:cs="Tahoma" w:ascii="Tahoma" w:hAnsi="Tahoma"/>
          <w:b/>
          <w:color w:val="000000"/>
          <w:sz w:val="30"/>
          <w:szCs w:val="30"/>
          <w:lang w:eastAsia="es-ES"/>
        </w:rPr>
      </w:r>
    </w:p>
    <w:p>
      <w:pPr>
        <w:pStyle w:val="Normal"/>
        <w:numPr>
          <w:ilvl w:val="0"/>
          <w:numId w:val="2"/>
        </w:numPr>
        <w:spacing w:lineRule="auto" w:line="240" w:before="0" w:after="0"/>
        <w:ind w:left="567" w:hanging="567"/>
        <w:contextualSpacing/>
        <w:jc w:val="both"/>
        <w:rPr/>
      </w:pP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sz w:val="20"/>
          <w:szCs w:val="20"/>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${incorporacion.numeroHp}</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jc w:val="both"/>
        <w:rPr>
          <w:sz w:val="20"/>
          <w:szCs w:val="20"/>
        </w:rPr>
      </w:pPr>
      <w:r>
        <w:rPr>
          <w:rFonts w:eastAsia="Times New Roman" w:cs="Tahoma" w:ascii="Tahoma" w:hAnsi="Tahoma"/>
          <w:color w:val="000000"/>
          <w:sz w:val="20"/>
          <w:szCs w:val="20"/>
          <w:lang w:val="es-MX" w:eastAsia="es-ES"/>
        </w:rPr>
        <w:t xml:space="preserve">Mediante Minuta de Instrucción N° </w:t>
      </w:r>
      <w:r>
        <w:rPr>
          <w:rFonts w:eastAsia="Times New Roman" w:cs="Tahoma" w:ascii="Tahoma" w:hAnsi="Tahoma"/>
          <w:color w:val="000000"/>
          <w:sz w:val="20"/>
          <w:szCs w:val="20"/>
          <w:shd w:fill="auto" w:val="clear"/>
          <w:lang w:val="es-MX" w:eastAsia="es-ES"/>
        </w:rPr>
        <w:t>${incorporacion.codigoNotaMinuta}</w:t>
      </w:r>
      <w:r>
        <w:rPr>
          <w:rFonts w:eastAsia="Times New Roman" w:cs="Tahoma" w:ascii="Tahoma" w:hAnsi="Tahoma"/>
          <w:color w:val="000000"/>
          <w:sz w:val="20"/>
          <w:szCs w:val="20"/>
          <w:lang w:val="es-MX" w:eastAsia="es-ES"/>
        </w:rPr>
        <w:t xml:space="preserve"> con CITE: </w:t>
      </w:r>
      <w:r>
        <w:rPr>
          <w:rFonts w:eastAsia="Times New Roman" w:cs="Tahoma" w:ascii="Tahoma" w:hAnsi="Tahoma"/>
          <w:color w:val="000000"/>
          <w:sz w:val="20"/>
          <w:szCs w:val="20"/>
          <w:lang w:val="es-ES" w:eastAsia="es-ES"/>
        </w:rPr>
        <w:t>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eastAsia="Times New Roman" w:cs="Tahoma" w:ascii="Tahoma" w:hAnsi="Tahoma"/>
          <w:color w:val="000000"/>
          <w:sz w:val="20"/>
          <w:szCs w:val="20"/>
          <w:lang w:val="es-ES" w:eastAsia="es-ES"/>
        </w:rPr>
        <w:t>/2024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b/>
          <w:color w:val="000000"/>
          <w:sz w:val="24"/>
          <w:szCs w:val="24"/>
          <w:lang w:val="es-MX" w:eastAsia="es-ES"/>
        </w:rPr>
      </w:pPr>
      <w:r>
        <w:rPr>
          <w:rFonts w:eastAsia="Times New Roman" w:cs="Tahoma" w:ascii="Tahoma" w:hAnsi="Tahoma"/>
          <w:b/>
          <w:color w:val="000000"/>
          <w:sz w:val="24"/>
          <w:szCs w:val="24"/>
          <w:lang w:val="es-MX" w:eastAsia="es-ES"/>
        </w:rPr>
      </w:r>
    </w:p>
    <w:tbl>
      <w:tblPr>
        <w:tblW w:w="8561"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032"/>
        <w:gridCol w:w="1173"/>
        <w:gridCol w:w="1375"/>
        <w:gridCol w:w="2497"/>
        <w:gridCol w:w="1484"/>
      </w:tblGrid>
      <w:tr>
        <w:trPr>
          <w:trHeight w:val="254" w:hRule="atLeast"/>
        </w:trPr>
        <w:tc>
          <w:tcPr>
            <w:tcW w:w="2032"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NOMBRES Y APELLIDOS</w:t>
            </w:r>
          </w:p>
        </w:tc>
        <w:tc>
          <w:tcPr>
            <w:tcW w:w="117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ÍTEM PROPUESTO</w:t>
            </w:r>
          </w:p>
        </w:tc>
        <w:tc>
          <w:tcPr>
            <w:tcW w:w="13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CARGO PROPUESTO</w:t>
            </w:r>
          </w:p>
        </w:tc>
        <w:tc>
          <w:tcPr>
            <w:tcW w:w="249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DEPENDENCIA</w:t>
            </w:r>
          </w:p>
        </w:tc>
        <w:tc>
          <w:tcPr>
            <w:tcW w:w="1484"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HABER MENSUAL</w:t>
            </w:r>
          </w:p>
        </w:tc>
      </w:tr>
      <w:tr>
        <w:trPr>
          <w:trHeight w:val="510" w:hRule="atLeast"/>
        </w:trPr>
        <w:tc>
          <w:tcPr>
            <w:tcW w:w="20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1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24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48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numPr>
          <w:ilvl w:val="0"/>
          <w:numId w:val="0"/>
        </w:numPr>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3"/>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w:t>
      </w:r>
      <w:r>
        <w:rPr>
          <w:rFonts w:cs="Tahoma" w:ascii="Tahoma" w:hAnsi="Tahoma"/>
          <w:i/>
          <w:color w:val="000000" w:themeColor="text1"/>
          <w:sz w:val="20"/>
          <w:szCs w:val="20"/>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color w:val="000000" w:themeColor="text1"/>
          <w:sz w:val="20"/>
          <w:szCs w:val="20"/>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c) Operativo, comprende puestos que desarrollan funciones especializadas, dependiendo de puestos superiores o ejecutivos. Está conformada desde el quinto al octavo nivel de puestos de la entidad.</w:t>
      </w:r>
      <w:bookmarkStart w:id="2" w:name="_GoBack"/>
      <w:bookmarkEnd w:id="2"/>
      <w:r>
        <w:rPr>
          <w:rFonts w:cs="Tahoma" w:ascii="Tahoma" w:hAnsi="Tahoma"/>
          <w:i/>
          <w:sz w:val="20"/>
          <w:szCs w:val="20"/>
        </w:rPr>
        <w:t xml:space="preserve"> </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tabs>
          <w:tab w:val="clear" w:pos="708"/>
          <w:tab w:val="left" w:pos="6974" w:leader="none"/>
        </w:tabs>
        <w:rPr>
          <w:rFonts w:ascii="Tahoma" w:hAnsi="Tahoma" w:cs="Tahoma"/>
          <w:sz w:val="20"/>
          <w:szCs w:val="20"/>
        </w:rPr>
      </w:pPr>
      <w:r>
        <w:rPr>
          <w:rFonts w:cs="Tahoma" w:ascii="Tahoma" w:hAnsi="Tahoma"/>
          <w:sz w:val="20"/>
          <w:szCs w:val="20"/>
        </w:rPr>
        <w:tab/>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rPr>
      </w:pPr>
      <w:r>
        <w:rPr>
          <w:rFonts w:cs="Tahoma" w:ascii="Tahoma" w:hAnsi="Tahoma"/>
          <w:color w:val="000000" w:themeColor="text1"/>
          <w:sz w:val="20"/>
          <w:szCs w:val="20"/>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7"/>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numPr>
          <w:ilvl w:val="0"/>
          <w:numId w:val="7"/>
        </w:numPr>
        <w:shd w:val="clear" w:color="auto" w:fill="FFFFFF"/>
        <w:spacing w:lineRule="auto" w:line="240" w:before="0" w:after="0"/>
        <w:contextualSpacing/>
        <w:jc w:val="both"/>
        <w:rPr>
          <w:rFonts w:ascii="Tahoma" w:hAnsi="Tahoma" w:cs="Tahoma"/>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ListParagraph"/>
        <w:shd w:val="clear" w:color="auto" w:fill="FFFFFF"/>
        <w:spacing w:lineRule="auto" w:line="240" w:before="0" w:after="0"/>
        <w:ind w:left="1004" w:hanging="0"/>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r>
    </w:p>
    <w:p>
      <w:pPr>
        <w:pStyle w:val="ListParagraph"/>
        <w:numPr>
          <w:ilvl w:val="0"/>
          <w:numId w:val="8"/>
        </w:numPr>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Manual de Puestos Vigente</w:t>
      </w:r>
    </w:p>
    <w:p>
      <w:pPr>
        <w:pStyle w:val="ListParagraph"/>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ListParagraph"/>
        <w:numPr>
          <w:ilvl w:val="0"/>
          <w:numId w:val="11"/>
        </w:numPr>
        <w:spacing w:lineRule="auto" w:line="240" w:before="0" w:after="0"/>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20"/>
          <w:szCs w:val="20"/>
        </w:rPr>
      </w:pPr>
      <w:r>
        <w:rPr>
          <w:rFonts w:cs="Tahoma" w:ascii="Tahoma" w:hAnsi="Tahoma"/>
          <w:b/>
          <w:i/>
          <w:sz w:val="20"/>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ListParagraph"/>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keepNext w:val="true"/>
        <w:spacing w:lineRule="auto" w:line="240" w:before="0" w:after="0"/>
        <w:ind w:left="142" w:right="192" w:hanging="0"/>
        <w:jc w:val="both"/>
        <w:rPr>
          <w:rFonts w:ascii="Tahoma" w:hAnsi="Tahoma" w:eastAsia="Times New Roman" w:cs="Tahoma"/>
          <w:b/>
          <w:bCs/>
          <w:color w:val="000000"/>
          <w:sz w:val="20"/>
          <w:szCs w:val="20"/>
          <w:lang w:val="es-MX"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val="es-ES_tradnl" w:eastAsia="es-ES"/>
        </w:rPr>
        <w:t xml:space="preserve"> </w:t>
      </w:r>
      <w:r>
        <w:rPr>
          <w:rFonts w:eastAsia="MS Mincho" w:cs="Tahoma" w:ascii="Tahoma" w:hAnsi="Tahoma"/>
          <w:i/>
          <w:sz w:val="20"/>
          <w:szCs w:val="20"/>
          <w:lang w:val="es-ES_tradnl"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II</w:t>
      </w:r>
      <w:r>
        <w:rPr>
          <w:rFonts w:eastAsia="Times New Roman" w:cs="Tahoma" w:ascii="Tahoma" w:hAnsi="Tahoma"/>
          <w:b/>
          <w:bCs/>
          <w:color w:val="000000"/>
          <w:sz w:val="20"/>
          <w:szCs w:val="20"/>
          <w:lang w:val="es-MX" w:eastAsia="es-ES"/>
        </w:rPr>
        <w:t xml:space="preserve">.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6936"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9"/>
        <w:gridCol w:w="823"/>
        <w:gridCol w:w="990"/>
        <w:gridCol w:w="2478"/>
        <w:gridCol w:w="1486"/>
      </w:tblGrid>
      <w:tr>
        <w:trPr>
          <w:trHeight w:val="485" w:hRule="atLeast"/>
        </w:trPr>
        <w:tc>
          <w:tcPr>
            <w:tcW w:w="1159"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Cargo</w:t>
            </w:r>
          </w:p>
        </w:tc>
        <w:tc>
          <w:tcPr>
            <w:tcW w:w="8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Ítem Nº</w:t>
            </w:r>
          </w:p>
        </w:tc>
        <w:tc>
          <w:tcPr>
            <w:tcW w:w="99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Haber básico</w:t>
            </w:r>
          </w:p>
        </w:tc>
        <w:tc>
          <w:tcPr>
            <w:tcW w:w="24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Dependencia</w:t>
            </w:r>
          </w:p>
        </w:tc>
        <w:tc>
          <w:tcPr>
            <w:tcW w:w="148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 xml:space="preserve">Disponibilidad </w:t>
            </w:r>
          </w:p>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de Ítem</w:t>
            </w:r>
          </w:p>
        </w:tc>
      </w:tr>
      <w:tr>
        <w:trPr>
          <w:trHeight w:val="650" w:hRule="atLeast"/>
        </w:trPr>
        <w:tc>
          <w:tcPr>
            <w:tcW w:w="115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48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Tahoma" w:hAnsi="Tahoma" w:eastAsia="Times New Roman" w:cs="Tahoma"/>
                <w:color w:val="000000"/>
                <w:sz w:val="14"/>
                <w:szCs w:val="14"/>
                <w:lang w:val="es-MX" w:eastAsia="es-ES"/>
              </w:rPr>
            </w:pPr>
            <w:r>
              <w:rPr>
                <w:rFonts w:eastAsia="Times New Roman" w:cs="Tahoma" w:ascii="Tahoma" w:hAnsi="Tahoma"/>
                <w:color w:val="000000"/>
                <w:sz w:val="14"/>
                <w:szCs w:val="14"/>
                <w:lang w:val="es-MX" w:eastAsia="es-ES"/>
              </w:rPr>
              <w:t>ACEFALÍA</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W w:w="7206"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Grado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Área de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Documento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de Respaldo</w:t>
            </w:r>
          </w:p>
        </w:tc>
      </w:tr>
      <w:tr>
        <w:trPr>
          <w:trHeight w:val="862"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W w:w="853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w:t>
            </w:r>
            <w:r>
              <w:rPr>
                <w:rFonts w:eastAsia="Times New Roman" w:cs="Tahoma" w:ascii="Tahoma" w:hAnsi="Tahoma"/>
                <w:b w:val="false"/>
                <w:color w:val="000000"/>
                <w:sz w:val="12"/>
                <w:szCs w:val="12"/>
                <w:shd w:fill="auto" w:val="clear"/>
                <w:lang w:val="es-ES" w:eastAsia="es-ES"/>
              </w:rPr>
              <w:t>profesion</w:t>
            </w:r>
            <w:r>
              <w:rPr>
                <w:rFonts w:eastAsia="Times New Roman" w:cs="Tahoma" w:ascii="Tahoma" w:hAnsi="Tahoma"/>
                <w:color w:val="000000"/>
                <w:sz w:val="12"/>
                <w:szCs w:val="12"/>
                <w:shd w:fill="auto" w:val="clear"/>
                <w:lang w:val="es-ES" w:eastAsia="es-ES"/>
              </w:rPr>
              <w:t>}</w:t>
            </w:r>
          </w:p>
        </w:tc>
        <w:tc>
          <w:tcPr>
            <w:tcW w:w="3946"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tabs>
          <w:tab w:val="clear" w:pos="708"/>
          <w:tab w:val="center" w:pos="4252" w:leader="none"/>
          <w:tab w:val="right" w:pos="8504" w:leader="none"/>
        </w:tabs>
        <w:spacing w:lineRule="auto" w:line="240" w:before="0" w:after="0"/>
        <w:jc w:val="both"/>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6"/>
        </w:numPr>
        <w:spacing w:lineRule="auto" w:line="240" w:before="0" w:after="0"/>
        <w:ind w:left="284" w:hanging="284"/>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En atención a la determinación contenida en la Minuta de Instrucción N° </w:t>
      </w:r>
      <w:r>
        <w:rPr>
          <w:rFonts w:eastAsia="Times New Roman" w:cs="Tahoma" w:ascii="Tahoma" w:hAnsi="Tahoma"/>
          <w:bCs/>
          <w:color w:val="000000"/>
          <w:sz w:val="20"/>
          <w:szCs w:val="20"/>
          <w:shd w:fill="auto" w:val="clear"/>
          <w:lang w:val="es-MX" w:eastAsia="es-ES"/>
        </w:rPr>
        <w:t>${incorporacion.codigoNotaMinuta}</w:t>
      </w:r>
      <w:r>
        <w:rPr>
          <w:rFonts w:eastAsia="Times New Roman" w:cs="Tahoma" w:ascii="Tahoma" w:hAnsi="Tahoma"/>
          <w:bCs/>
          <w:color w:val="000000"/>
          <w:sz w:val="20"/>
          <w:szCs w:val="20"/>
          <w:lang w:val="es-MX" w:eastAsia="es-ES"/>
        </w:rPr>
        <w:t xml:space="preserve"> con CITE: SIN/PE/MI/</w:t>
      </w:r>
      <w:r>
        <w:rPr>
          <w:rFonts w:eastAsia="Times New Roman" w:cs="Tahoma" w:ascii="Tahoma" w:hAnsi="Tahoma"/>
          <w:bCs/>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/2024 de </w:t>
      </w:r>
      <w:r>
        <w:rPr>
          <w:rFonts w:eastAsia="Times New Roman" w:cs="Tahoma" w:ascii="Tahoma" w:hAnsi="Tahoma"/>
          <w:bCs/>
          <w:color w:val="000000"/>
          <w:sz w:val="20"/>
          <w:szCs w:val="20"/>
          <w:shd w:fill="auto" w:val="clear"/>
          <w:lang w:val="es-ES" w:eastAsia="es-ES"/>
        </w:rPr>
        <w:t>${incorporacion.fechaNotaMinuta}</w:t>
      </w:r>
      <w:r>
        <w:rPr>
          <w:rFonts w:eastAsia="Times New Roman" w:cs="Tahoma" w:ascii="Tahoma" w:hAnsi="Tahoma"/>
          <w:bCs/>
          <w:color w:val="000000"/>
          <w:sz w:val="20"/>
          <w:szCs w:val="20"/>
          <w:lang w:val="es-MX" w:eastAsia="es-ES"/>
        </w:rPr>
        <w:t>, se realizó la verificación del cumplimiento de los requisitos determinados en el Manual de Puestos vigente, para la incorporación.</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6"/>
        </w:numPr>
        <w:spacing w:lineRule="auto" w:line="240" w:before="0" w:after="0"/>
        <w:ind w:left="284" w:hanging="360"/>
        <w:contextualSpacing/>
        <w:jc w:val="both"/>
        <w:rPr>
          <w:rFonts w:ascii="Tahoma" w:hAnsi="Tahoma" w:eastAsia="Times New Roman" w:cs="Tahoma"/>
          <w:b/>
          <w:bCs/>
          <w:color w:val="000000"/>
          <w:sz w:val="20"/>
          <w:szCs w:val="20"/>
          <w:lang w:val="es-MX"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eastAsia="Times New Roman" w:cs="Tahoma" w:ascii="Tahoma" w:hAnsi="Tahoma"/>
          <w:sz w:val="20"/>
          <w:szCs w:val="20"/>
          <w:lang w:eastAsia="es-ES"/>
        </w:rPr>
        <w:t xml:space="preserve">, propuesto al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imes New Roman" w:cs="Tahoma" w:ascii="Tahoma" w:hAnsi="Tahoma"/>
          <w:sz w:val="20"/>
          <w:szCs w:val="20"/>
          <w:lang w:val="es-ES" w:eastAsia="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dependiente </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xml:space="preserve"> </w:t>
      </w:r>
      <w:r>
        <w:rPr>
          <w:rFonts w:eastAsia="Times New Roman" w:cs="Tahoma" w:ascii="Tahoma" w:hAnsi="Tahoma"/>
          <w:color w:val="000000"/>
          <w:sz w:val="20"/>
          <w:szCs w:val="20"/>
          <w:lang w:val="es-MX" w:eastAsia="es-ES"/>
        </w:rPr>
        <w:t xml:space="preserve">al Ítem Nº </w:t>
      </w:r>
      <w:r>
        <w:rPr>
          <w:rFonts w:eastAsia="Times New Roman" w:cs="Tahoma" w:ascii="Tahoma" w:hAnsi="Tahoma"/>
          <w:b w:val="false"/>
          <w:bCs w:val="false"/>
          <w:color w:val="000000"/>
          <w:sz w:val="20"/>
          <w:szCs w:val="20"/>
          <w:shd w:fill="auto" w:val="clear"/>
          <w:lang w:val="es-ES" w:eastAsia="es-BO"/>
        </w:rPr>
        <w:t>${puestoNuevo.item}</w:t>
      </w:r>
      <w:r>
        <w:rPr>
          <w:rFonts w:eastAsia="Times New Roman" w:cs="Tahoma" w:ascii="Tahoma" w:hAnsi="Tahoma"/>
          <w:sz w:val="20"/>
          <w:szCs w:val="20"/>
          <w:lang w:eastAsia="es-ES"/>
        </w:rPr>
        <w:t>, con un haber mensual de Bs</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w:t>
      </w:r>
      <w:r>
        <w:rPr>
          <w:rFonts w:eastAsia="Times New Roman" w:cs="Tahoma" w:ascii="Tahoma" w:hAnsi="Tahoma"/>
          <w:b w:val="false"/>
          <w:bCs w:val="false"/>
          <w:color w:val="000000"/>
          <w:sz w:val="20"/>
          <w:szCs w:val="20"/>
          <w:shd w:fill="auto" w:val="clear"/>
          <w:lang w:val="es-ES" w:eastAsia="es-ES"/>
        </w:rPr>
        <w:t>${puestoNuevo.salarioLiteral}</w:t>
      </w:r>
      <w:r>
        <w:rPr>
          <w:rFonts w:eastAsia="Times New Roman" w:cs="Tahoma" w:ascii="Tahoma" w:hAnsi="Tahoma"/>
          <w:sz w:val="20"/>
          <w:szCs w:val="20"/>
          <w:lang w:eastAsia="es-ES"/>
        </w:rPr>
        <w:t xml:space="preserve"> 00/100 Bolivianos), </w:t>
      </w:r>
      <w:r>
        <w:rPr>
          <w:rFonts w:eastAsia="Times New Roman" w:cs="Tahoma" w:ascii="Tahoma" w:hAnsi="Tahoma"/>
          <w:b/>
          <w:sz w:val="20"/>
          <w:szCs w:val="20"/>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rPr>
        <w:t xml:space="preserve">Por las consideraciones y análisis realizado, se recomienda a su autoridad proceder con la designación </w:t>
      </w:r>
      <w:r>
        <w:rPr>
          <w:rFonts w:eastAsia="Times New Roman" w:cs="Tahoma" w:ascii="Tahoma" w:hAnsi="Tahoma"/>
          <w:bCs/>
          <w:color w:val="000000"/>
          <w:sz w:val="20"/>
          <w:szCs w:val="20"/>
          <w:shd w:fill="auto" w:val="clear"/>
          <w:lang w:val="es-MX" w:eastAsia="es-ES"/>
        </w:rPr>
        <w:t>${persona.referencia3}</w:t>
      </w:r>
      <w:r>
        <w:rPr>
          <w:rFonts w:cs="Tahoma" w:ascii="Tahoma" w:hAnsi="Tahoma"/>
          <w:bCs/>
          <w:sz w:val="20"/>
          <w:szCs w:val="20"/>
        </w:rPr>
        <w:t xml:space="preserve">, toda vez que se habría verificado el cumplimiento de los requisitos establecidos para el ejercicio del cargo de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bCs/>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Cs/>
          <w:color w:val="000000"/>
          <w:sz w:val="20"/>
          <w:szCs w:val="20"/>
          <w:lang w:val="es-MX" w:eastAsia="es-ES"/>
        </w:rPr>
        <w:t xml:space="preserve"> </w:t>
      </w:r>
      <w:r>
        <w:rPr>
          <w:rFonts w:eastAsia="Times New Roman" w:cs="Tahoma" w:ascii="Tahoma" w:hAnsi="Tahoma"/>
          <w:bCs/>
          <w:sz w:val="20"/>
          <w:szCs w:val="20"/>
          <w:lang w:val="es-ES" w:eastAsia="es-ES"/>
        </w:rPr>
        <w:t xml:space="preserve">dependiente </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bCs/>
          <w:color w:val="000000"/>
          <w:sz w:val="20"/>
          <w:szCs w:val="20"/>
          <w:lang w:val="es-ES" w:eastAsia="es-ES"/>
        </w:rPr>
        <w:t>}</w:t>
      </w:r>
      <w:r>
        <w:rPr>
          <w:rFonts w:cs="Tahoma" w:ascii="Tahoma" w:hAnsi="Tahoma"/>
          <w:bCs/>
          <w:sz w:val="20"/>
          <w:szCs w:val="20"/>
        </w:rPr>
        <w:t xml:space="preserve">, Ítem N°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bCs/>
          <w:sz w:val="20"/>
          <w:szCs w:val="20"/>
        </w:rPr>
        <w:t>, con un haber mensual de Bs</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bCs/>
          <w:color w:val="000000"/>
          <w:sz w:val="20"/>
          <w:szCs w:val="20"/>
          <w:lang w:val="es-ES" w:eastAsia="es-ES"/>
        </w:rPr>
        <w:t>}</w:t>
      </w:r>
      <w:r>
        <w:rPr>
          <w:rFonts w:cs="Tahoma" w:ascii="Tahoma" w:hAnsi="Tahoma"/>
          <w:bCs/>
          <w:sz w:val="20"/>
          <w:szCs w:val="20"/>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Normal"/>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27" w:top="2517" w:footer="1134"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Tahoma">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Piedepgina"/>
      <w:rPr/>
    </w:pPr>
    <w:r>
      <w:rPr/>
      <mc:AlternateContent>
        <mc:Choice Requires="wps">
          <w:drawing>
            <wp:anchor behindDoc="1" distT="0" distB="0" distL="0" distR="0" simplePos="0" locked="0" layoutInCell="0" allowOverlap="1" relativeHeight="10" wp14:anchorId="52699529">
              <wp:simplePos x="0" y="0"/>
              <wp:positionH relativeFrom="margin">
                <wp:align>right</wp:align>
              </wp:positionH>
              <wp:positionV relativeFrom="paragraph">
                <wp:posOffset>-254635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0.05pt;width:457.45pt;height:18.65pt;mso-wrap-style:square;v-text-anchor:top;mso-position-horizontal:right;mso-position-horizontal-relative:margin" wp14:anchorId="52699529">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b/>
        <w:bCs/>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b/>
        <w:bCs/>
        <w:rFonts w:ascii="Tahoma" w:hAnsi="Tahoma"/>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04" w:hanging="720"/>
      </w:pPr>
      <w:rPr>
        <w:b/>
        <w:rFonts w:ascii="Tahoma" w:hAnsi="Tahoma"/>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9831f7"/>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NoSpacing">
    <w:name w:val="No Spacing"/>
    <w:uiPriority w:val="1"/>
    <w:qFormat/>
    <w:rsid w:val="00701607"/>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rsid w:val="00733fdf"/>
    <w:pPr>
      <w:spacing w:before="0" w:after="160"/>
      <w:ind w:left="720" w:hanging="0"/>
      <w:contextualSpacing/>
    </w:pPr>
    <w:rPr/>
  </w:style>
  <w:style w:type="paragraph" w:styleId="NormalWeb">
    <w:name w:val="Normal (Web)"/>
    <w:basedOn w:val="Normal"/>
    <w:uiPriority w:val="99"/>
    <w:semiHidden/>
    <w:unhideWhenUsed/>
    <w:qFormat/>
    <w:rsid w:val="005c2818"/>
    <w:pPr>
      <w:spacing w:lineRule="auto" w:line="240" w:beforeAutospacing="1" w:afterAutospacing="1"/>
    </w:pPr>
    <w:rPr>
      <w:rFonts w:ascii="Times New Roman" w:hAnsi="Times New Roman" w:eastAsia="Times New Roman"/>
      <w:sz w:val="24"/>
      <w:szCs w:val="24"/>
      <w:lang w:eastAsia="es-BO"/>
    </w:rPr>
  </w:style>
  <w:style w:type="paragraph" w:styleId="Standard" w:customStyle="1">
    <w:name w:val="Standard"/>
    <w:qFormat/>
    <w:rsid w:val="00433807"/>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3963-7BC3-4455-AC88-A9D0542C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LibreOffice/7.5.4.2$Linux_X86_64 LibreOffice_project/36ccfdc35048b057fd9854c757a8b67ec53977b6</Application>
  <AppVersion>15.0000</AppVersion>
  <Pages>5</Pages>
  <Words>1393</Words>
  <Characters>9276</Characters>
  <CharactersWithSpaces>10614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2024-04-02T18:34:00Z</dcterms:created>
  <dc:creator>Martha Sonia Machaca Chura</dc:creator>
  <dc:description/>
  <dc:language>es-BO</dc:language>
  <cp:lastModifiedBy/>
  <cp:lastPrinted>2022-01-06T13:39:00Z</cp:lastPrinted>
  <dcterms:modified xsi:type="dcterms:W3CDTF">2024-06-06T17:04:00Z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