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w:t>
      </w:r>
      <w:bookmarkStart w:id="1" w:name="_GoBack"/>
      <w:bookmarkEnd w:id="1"/>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2" w:name="destinatario"/>
      <w:bookmarkEnd w:id="2"/>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DESIGNACIÓN  COMO ${persona.referenciaMayuscula1}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lang w:val="es-ES"/>
        </w:rPr>
        <w:t xml:space="preserve"> TRÁMITE N° ${incorporacion.numeroHp}, se procede a la evaluación curricular de cumplimiento de requisitos para l</w:t>
      </w:r>
      <w:r>
        <w:rPr>
          <w:rFonts w:eastAsia="Times New Roman" w:cs="Tahoma" w:ascii="Tahoma" w:hAnsi="Tahoma"/>
          <w:color w:val="000000"/>
          <w:sz w:val="20"/>
          <w:szCs w:val="20"/>
          <w:shd w:fill="auto" w:val="clear"/>
          <w:lang w:val="es-MX" w:eastAsia="es-ES"/>
        </w:rPr>
        <w:t xml:space="preserve">a designación como </w:t>
      </w:r>
      <w:r>
        <w:rPr>
          <w:rFonts w:eastAsia="Times New Roman" w:cs="Tahoma" w:ascii="Tahoma" w:hAnsi="Tahoma"/>
          <w:color w:val="000000"/>
          <w:sz w:val="20"/>
          <w:szCs w:val="20"/>
          <w:shd w:fill="auto" w:val="clear"/>
          <w:lang w:val="es-ES" w:eastAsia="es-ES"/>
        </w:rPr>
        <w:t>${persona.referencia1}</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 xml:space="preserve">Mediante Informe con CITE: </w:t>
      </w:r>
      <w:r>
        <w:rPr>
          <w:rFonts w:eastAsia="Times New Roman" w:cs="Tahoma" w:ascii="Tahoma" w:hAnsi="Tahoma"/>
          <w:b w:val="false"/>
          <w:bCs w:val="false"/>
          <w:color w:val="000000"/>
          <w:sz w:val="20"/>
          <w:szCs w:val="20"/>
          <w:shd w:fill="auto" w:val="clear"/>
          <w:lang w:val="es-ES" w:eastAsia="es-ES"/>
        </w:rPr>
        <w:t>SIN/GDPT/NOT/</w:t>
      </w:r>
      <w:bookmarkStart w:id="3" w:name="cite_Copy_1"/>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3"/>
      <w:r>
        <w:rPr>
          <w:rFonts w:eastAsia="Times New Roman" w:cs="Tahoma" w:ascii="Tahoma" w:hAnsi="Tahoma"/>
          <w:b w:val="false"/>
          <w:bCs w:val="false"/>
          <w:color w:val="000000"/>
          <w:sz w:val="20"/>
          <w:szCs w:val="20"/>
          <w:shd w:fill="auto" w:val="clear"/>
          <w:lang w:val="es-ES" w:eastAsia="es-ES"/>
        </w:rPr>
        <w:t>24</w:t>
      </w:r>
      <w:r>
        <w:rPr>
          <w:rFonts w:cs="Tahoma" w:ascii="Tahoma" w:hAnsi="Tahoma"/>
          <w:sz w:val="20"/>
          <w:szCs w:val="20"/>
          <w:lang w:val="es-ES"/>
        </w:rPr>
        <w:t xml:space="preserve">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de la presente gestión, la Gerencia de Fiscalización, solicita a Presidencia Ejecutiva considere la designación como ${persona.referencia1},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tbl>
      <w:tblPr>
        <w:tblW w:w="5000" w:type="pct"/>
        <w:jc w:val="left"/>
        <w:tblInd w:w="-5" w:type="dxa"/>
        <w:tblLayout w:type="fixed"/>
        <w:tblCellMar>
          <w:top w:w="55" w:type="dxa"/>
          <w:left w:w="55" w:type="dxa"/>
          <w:bottom w:w="55" w:type="dxa"/>
          <w:right w:w="55" w:type="dxa"/>
        </w:tblCellMar>
      </w:tblPr>
      <w:tblGrid>
        <w:gridCol w:w="1763"/>
        <w:gridCol w:w="1772"/>
        <w:gridCol w:w="1765"/>
        <w:gridCol w:w="1770"/>
        <w:gridCol w:w="1768"/>
      </w:tblGrid>
      <w:tr>
        <w:trPr/>
        <w:tc>
          <w:tcPr>
            <w:tcW w:w="1763"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1772"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1765"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770" w:type="dxa"/>
            <w:tcBorders>
              <w:top w:val="single" w:sz="4" w:space="0" w:color="000000"/>
              <w:left w:val="single" w:sz="4" w:space="0" w:color="000000"/>
              <w:bottom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1768" w:type="dxa"/>
            <w:tcBorders>
              <w:top w:val="single" w:sz="4" w:space="0" w:color="000000"/>
              <w:left w:val="single" w:sz="4" w:space="0" w:color="000000"/>
              <w:bottom w:val="single" w:sz="4" w:space="0" w:color="000000"/>
              <w:right w:val="single" w:sz="4" w:space="0" w:color="000000"/>
            </w:tcBorders>
            <w:shd w:fill="F18BF3" w:val="clea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c>
          <w:tcPr>
            <w:tcW w:w="1763"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772"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765"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770" w:type="dxa"/>
            <w:tcBorders>
              <w:left w:val="single" w:sz="4" w:space="0" w:color="000000"/>
              <w:bottom w:val="single" w:sz="4" w:space="0" w:color="000000"/>
            </w:tcBorders>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768"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4"/>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W w:w="8974"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7"/>
        <w:gridCol w:w="1210"/>
        <w:gridCol w:w="1859"/>
        <w:gridCol w:w="2010"/>
        <w:gridCol w:w="2304"/>
        <w:gridCol w:w="1083"/>
      </w:tblGrid>
      <w:tr>
        <w:trPr>
          <w:trHeight w:val="390" w:hRule="atLeast"/>
          <w:cantSplit w:val="true"/>
        </w:trPr>
        <w:tc>
          <w:tcPr>
            <w:tcW w:w="507"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21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08"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1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125"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284" w:hRule="atLeast"/>
          <w:cantSplit w:val="true"/>
        </w:trPr>
        <w:tc>
          <w:tcPr>
            <w:tcW w:w="507"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399" w:hRule="atLeast"/>
          <w:cantSplit w:val="true"/>
        </w:trPr>
        <w:tc>
          <w:tcPr>
            <w:tcW w:w="50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val="es-ES" w:eastAsia="es-ES"/>
        </w:rPr>
        <w:t xml:space="preserve"> TRÁMITE N° ${incorporacion.numeroHp}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shd w:fill="auto" w:val="clear"/>
          <w:lang w:eastAsia="es-ES"/>
        </w:rPr>
        <w:t xml:space="preserve"> de 2024</w:t>
      </w:r>
      <w:r>
        <w:rPr>
          <w:rFonts w:eastAsia="Times New Roman" w:cs="Tahoma" w:ascii="Tahoma" w:hAnsi="Tahoma"/>
          <w:sz w:val="20"/>
          <w:szCs w:val="20"/>
          <w:lang w:eastAsia="es-ES"/>
        </w:rPr>
        <w:t>, se realizó la verificación del cumplimiento de los requisitos determinados en el Manual de Puestos vigente, para la designio.</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Conforme al análisis y conclusiones precedentemente efectuadas, se recomienda a su autoridad, proceder con la designación ${</w:t>
      </w:r>
      <w:r>
        <w:rPr>
          <w:rFonts w:cs="Tahoma" w:ascii="Tahoma" w:hAnsi="Tahoma"/>
          <w:bCs/>
          <w:sz w:val="20"/>
          <w:szCs w:val="20"/>
          <w:shd w:fill="auto" w:val="clear"/>
          <w:lang w:val="es-ES"/>
        </w:rPr>
        <w:t>persona.referencia3</w:t>
      </w:r>
      <w:r>
        <w:rPr>
          <w:rFonts w:cs="Tahoma" w:ascii="Tahoma" w:hAnsi="Tahoma"/>
          <w:bCs/>
          <w:sz w:val="20"/>
          <w:szCs w:val="20"/>
          <w:lang w:val="es-ES"/>
        </w:rPr>
        <w:t>}</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designación.</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5" wp14:anchorId="4FD04DA6">
              <wp:simplePos x="0" y="0"/>
              <wp:positionH relativeFrom="margin">
                <wp:align>center</wp:align>
              </wp:positionH>
              <wp:positionV relativeFrom="paragraph">
                <wp:posOffset>-132715</wp:posOffset>
              </wp:positionV>
              <wp:extent cx="5267960" cy="231775"/>
              <wp:effectExtent l="0" t="0" r="0" b="0"/>
              <wp:wrapNone/>
              <wp:docPr id="3"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tIns="-133200" bIns="-133200" anchor="t">
                      <a:prstTxWarp prst="textNoShape"/>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wp14:anchorId="4FD04DA6">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4457700</wp:posOffset>
          </wp:positionV>
          <wp:extent cx="7529830" cy="5322570"/>
          <wp:effectExtent l="0" t="0" r="0" b="0"/>
          <wp:wrapNone/>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1">
          <wp:simplePos x="0" y="0"/>
          <wp:positionH relativeFrom="column">
            <wp:posOffset>-873125</wp:posOffset>
          </wp:positionH>
          <wp:positionV relativeFrom="paragraph">
            <wp:posOffset>-225425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da2354"/>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E72D-1532-4A12-8814-FB418138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Application>LibreOffice/7.5.4.2$Linux_X86_64 LibreOffice_project/36ccfdc35048b057fd9854c757a8b67ec53977b6</Application>
  <AppVersion>15.0000</AppVersion>
  <Pages>5</Pages>
  <Words>1326</Words>
  <Characters>8829</Characters>
  <CharactersWithSpaces>10096</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2024-02-29T18:47:00Z</dcterms:created>
  <dc:creator>Martha Sonia Machaca Chura</dc:creator>
  <dc:description/>
  <dc:language>es-BO</dc:language>
  <cp:lastModifiedBy/>
  <cp:lastPrinted>2024-03-01T19:22:00Z</cp:lastPrinted>
  <dcterms:modified xsi:type="dcterms:W3CDTF">2024-05-21T09:47:27Z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