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16"/>
        </w:rPr>
      </w:pPr>
      <w:r>
        <w:rPr>
          <w:rFonts w:cs="Tahoma" w:ascii="Tahoma" w:hAnsi="Tahoma"/>
          <w:sz w:val="16"/>
        </w:rPr>
      </w:r>
    </w:p>
    <w:p>
      <w:pPr>
        <w:pStyle w:val="Normal"/>
        <w:spacing w:lineRule="auto" w:line="240" w:before="0" w:after="0"/>
        <w:jc w:val="center"/>
        <w:rPr>
          <w:rFonts w:ascii="Tahoma" w:hAnsi="Tahoma" w:cs="Tahoma"/>
          <w:b/>
          <w:sz w:val="20"/>
          <w:u w:val="single"/>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sz w:val="16"/>
        </w:rPr>
      </w:pPr>
      <w:r>
        <w:rPr>
          <w:rFonts w:cs="Tahoma" w:ascii="Tahoma" w:hAnsi="Tahoma"/>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sz w:val="20"/>
        </w:rPr>
        <w:t xml:space="preserve">                      </w:t>
      </w:r>
      <w:r>
        <w:rPr>
          <w:rFonts w:cs="Tahoma" w:ascii="Tahoma" w:hAnsi="Tahoma"/>
          <w:b/>
          <w:sz w:val="20"/>
        </w:rPr>
        <w:t xml:space="preserve"> </w:t>
      </w:r>
      <w:r>
        <w:rPr>
          <w:rFonts w:cs="Tahoma" w:ascii="Tahoma" w:hAnsi="Tahoma"/>
          <w:b/>
          <w:sz w:val="20"/>
        </w:rPr>
        <w:t>JEFE DE DEPTO. DE DOTACIÓN y EVALUACIÓN a.i.</w:t>
      </w:r>
    </w:p>
    <w:p>
      <w:pPr>
        <w:pStyle w:val="Normal"/>
        <w:spacing w:lineRule="auto" w:line="240" w:before="0" w:after="0"/>
        <w:ind w:left="2127" w:hanging="0"/>
        <w:jc w:val="both"/>
        <w:rPr>
          <w:rFonts w:ascii="Tahoma" w:hAnsi="Tahoma" w:cs="Tahoma"/>
          <w:b/>
          <w:sz w:val="16"/>
          <w:szCs w:val="19"/>
        </w:rPr>
      </w:pPr>
      <w:r>
        <w:rPr>
          <w:rFonts w:cs="Tahoma" w:ascii="Tahoma" w:hAnsi="Tahoma"/>
          <w:b/>
          <w:sz w:val="20"/>
        </w:rPr>
        <w:t xml:space="preserve">                         </w:t>
      </w: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${nombreCompletoRes}</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${nombreCargoRes}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DE LA ${puesto_nuevo.gerenciaMayuscula}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t xml:space="preserve">La Paz, </w:t>
      </w:r>
      <w:r>
        <w:rPr>
          <w:rFonts w:cs="Tahoma" w:ascii="Tahoma" w:hAnsi="Tahoma"/>
          <w:sz w:val="20"/>
          <w:szCs w:val="20"/>
          <w:shd w:fill="auto" w:val="clear"/>
          <w:lang w:val="es-ES"/>
        </w:rPr>
        <w:t>${incorporacion.fechaInfo}</w:t>
      </w:r>
    </w:p>
    <w:p>
      <w:pPr>
        <w:pStyle w:val="Normal"/>
        <w:tabs>
          <w:tab w:val="clear" w:pos="708"/>
          <w:tab w:val="left" w:pos="2552" w:leader="none"/>
        </w:tabs>
        <w:spacing w:lineRule="auto" w:line="240" w:before="0" w:after="0"/>
        <w:jc w:val="both"/>
        <w:rPr>
          <w:rFonts w:ascii="Tahoma" w:hAnsi="Tahoma" w:eastAsia="Times New Roman" w:cs="Tahoma"/>
          <w:color w:val="000000"/>
          <w:sz w:val="20"/>
          <w:szCs w:val="20"/>
          <w:highlight w:val="none"/>
          <w:shd w:fill="auto" w:val="clear"/>
          <w:lang w:val="es-MX" w:eastAsia="es-ES"/>
        </w:rPr>
      </w:pPr>
      <w:r>
        <w:rPr>
          <w:rFonts w:eastAsia="Times New Roman" w:cs="Tahoma" w:ascii="Tahoma" w:hAnsi="Tahoma"/>
          <w:color w:val="000000"/>
          <w:sz w:val="20"/>
          <w:szCs w:val="20"/>
          <w:shd w:fill="auto" w:val="clear"/>
          <w:lang w:val="es-MX" w:eastAsia="es-ES"/>
        </w:rPr>
      </w:r>
    </w:p>
    <w:p>
      <w:pPr>
        <w:pStyle w:val="Normal"/>
        <w:numPr>
          <w:ilvl w:val="0"/>
          <w:numId w:val="2"/>
        </w:numPr>
        <w:spacing w:lineRule="auto" w:line="240" w:before="0" w:after="0"/>
        <w:ind w:left="567" w:hanging="567"/>
        <w:contextualSpacing/>
        <w:jc w:val="both"/>
        <w:rPr>
          <w:highlight w:val="none"/>
          <w:shd w:fill="auto" w:val="clear"/>
        </w:rPr>
      </w:pPr>
      <w:r>
        <w:rPr>
          <w:rFonts w:eastAsia="Times New Roman" w:cs="Tahoma" w:ascii="Tahoma" w:hAnsi="Tahoma"/>
          <w:b/>
          <w:bCs/>
          <w:color w:val="000000"/>
          <w:sz w:val="20"/>
          <w:szCs w:val="20"/>
          <w:shd w:fill="auto" w:val="clear"/>
          <w:lang w:val="es-MX" w:eastAsia="es-ES"/>
        </w:rPr>
        <w:t>ANTECEDENTES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shd w:fill="auto" w:val="clear"/>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Mediante Nota con </w:t>
      </w:r>
      <w:r>
        <w:rPr>
          <w:rFonts w:eastAsia="Times New Roman" w:cs="Tahoma" w:ascii="Tahoma" w:hAnsi="Tahoma"/>
          <w:color w:val="000000"/>
          <w:sz w:val="20"/>
          <w:szCs w:val="20"/>
          <w:shd w:fill="auto" w:val="clear"/>
          <w:lang w:val="es-ES" w:eastAsia="es-ES"/>
        </w:rPr>
        <w:t>CITE: SIN/GDSCZII/ARH/NOT/${incorporacion.citeInfNotaMinuta}/2024</w:t>
      </w:r>
      <w:r>
        <w:rPr>
          <w:rFonts w:eastAsia="Times New Roman" w:cs="Tahoma" w:ascii="Tahoma" w:hAnsi="Tahoma"/>
          <w:color w:val="000000"/>
          <w:sz w:val="20"/>
          <w:szCs w:val="20"/>
          <w:shd w:fill="auto" w:val="clear"/>
          <w:lang w:val="es-MX" w:eastAsia="es-ES"/>
        </w:rPr>
        <w:t xml:space="preserve">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shd w:fill="auto" w:val="clear"/>
          <w:lang w:val="es-MX" w:eastAsia="es-ES"/>
        </w:rPr>
        <w:t xml:space="preserve">,  recepcionada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shd w:fill="auto" w:val="clear"/>
          <w:lang w:val="es-MX" w:eastAsia="es-ES"/>
        </w:rPr>
        <w:t xml:space="preserve">,  de la presente gestión, la </w:t>
      </w:r>
      <w:r>
        <w:rPr>
          <w:rFonts w:eastAsia="Times New Roman" w:cs="Tahoma" w:ascii="Tahoma" w:hAnsi="Tahoma"/>
          <w:color w:val="000000"/>
          <w:sz w:val="20"/>
          <w:szCs w:val="20"/>
          <w:shd w:fill="auto" w:val="clear"/>
          <w:lang w:val="es-ES" w:eastAsia="es-ES"/>
        </w:rPr>
        <w:t>${puesto_nuevo.gerencia}</w:t>
      </w:r>
      <w:r>
        <w:rPr>
          <w:rFonts w:eastAsia="Times New Roman" w:cs="Tahoma" w:ascii="Tahoma" w:hAnsi="Tahoma"/>
          <w:color w:val="000000"/>
          <w:sz w:val="20"/>
          <w:szCs w:val="20"/>
          <w:shd w:fill="auto" w:val="clear"/>
          <w:lang w:val="es-MX" w:eastAsia="es-ES"/>
        </w:rPr>
        <w:t xml:space="preserve">, solicita a Presidencia Ejecutiva considere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shd w:fill="auto" w:val="clear"/>
          <w:lang w:val="es-MX" w:eastAsia="es-ES"/>
        </w:rPr>
        <w:t>, de acuerdo al siguiente detalle:</w:t>
      </w:r>
    </w:p>
    <w:p>
      <w:pPr>
        <w:pStyle w:val="Normal"/>
        <w:spacing w:lineRule="auto" w:line="240" w:before="0" w:after="0"/>
        <w:jc w:val="both"/>
        <w:rPr>
          <w:rFonts w:ascii="Tahoma" w:hAnsi="Tahoma" w:eastAsia="Times New Roman" w:cs="Tahoma"/>
          <w:color w:val="000000"/>
          <w:sz w:val="12"/>
          <w:szCs w:val="20"/>
          <w:highlight w:val="none"/>
          <w:shd w:fill="auto" w:val="clear"/>
          <w:lang w:val="es-MX" w:eastAsia="es-ES"/>
        </w:rPr>
      </w:pPr>
      <w:r>
        <w:rPr>
          <w:rFonts w:eastAsia="Times New Roman" w:cs="Tahoma" w:ascii="Tahoma" w:hAnsi="Tahoma"/>
          <w:color w:val="000000"/>
          <w:sz w:val="12"/>
          <w:szCs w:val="20"/>
          <w:shd w:fill="auto" w:val="clear"/>
          <w:lang w:val="es-MX" w:eastAsia="es-ES"/>
        </w:rPr>
      </w:r>
    </w:p>
    <w:tbl>
      <w:tblPr>
        <w:tblW w:w="735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91"/>
        <w:gridCol w:w="1011"/>
        <w:gridCol w:w="1142"/>
        <w:gridCol w:w="2622"/>
        <w:gridCol w:w="987"/>
      </w:tblGrid>
      <w:tr>
        <w:trPr>
          <w:trHeight w:val="179" w:hRule="atLeast"/>
        </w:trPr>
        <w:tc>
          <w:tcPr>
            <w:tcW w:w="15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4"/>
                <w:szCs w:val="14"/>
                <w:highlight w:val="none"/>
                <w:shd w:fill="auto" w:val="clear"/>
                <w:lang w:val="es-ES" w:eastAsia="es-ES"/>
              </w:rPr>
            </w:pPr>
            <w:r>
              <w:rPr>
                <w:rFonts w:eastAsia="Times New Roman" w:cs="Tahoma" w:ascii="Tahoma" w:hAnsi="Tahoma"/>
                <w:b/>
                <w:bCs/>
                <w:sz w:val="14"/>
                <w:szCs w:val="14"/>
                <w:shd w:fill="auto" w:val="clear"/>
                <w:lang w:val="es-ES" w:eastAsia="es-ES"/>
              </w:rPr>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NOMBRES Y APELLIDOS</w:t>
            </w:r>
          </w:p>
        </w:tc>
        <w:tc>
          <w:tcPr>
            <w:tcW w:w="101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PROPUESTO</w:t>
            </w:r>
          </w:p>
        </w:tc>
        <w:tc>
          <w:tcPr>
            <w:tcW w:w="114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 PROPUESTO</w:t>
            </w:r>
          </w:p>
        </w:tc>
        <w:tc>
          <w:tcPr>
            <w:tcW w:w="262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98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MENSUAL</w:t>
            </w:r>
          </w:p>
        </w:tc>
      </w:tr>
      <w:tr>
        <w:trPr>
          <w:trHeight w:val="473" w:hRule="atLeast"/>
        </w:trPr>
        <w:tc>
          <w:tcPr>
            <w:tcW w:w="15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8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Normal"/>
        <w:spacing w:lineRule="auto" w:line="240" w:before="0" w:after="0"/>
        <w:contextualSpacing/>
        <w:jc w:val="both"/>
        <w:rPr>
          <w:rFonts w:ascii="Tahoma" w:hAnsi="Tahoma" w:eastAsia="Times New Roman" w:cs="Tahoma"/>
          <w:b/>
          <w:bCs/>
          <w:color w:val="000000"/>
          <w:sz w:val="16"/>
          <w:szCs w:val="20"/>
          <w:highlight w:val="none"/>
          <w:u w:val="single"/>
          <w:shd w:fill="auto" w:val="clear"/>
          <w:lang w:val="es-MX" w:eastAsia="es-ES"/>
        </w:rPr>
      </w:pPr>
      <w:r>
        <w:rPr>
          <w:rFonts w:eastAsia="Times New Roman" w:cs="Tahoma" w:ascii="Tahoma" w:hAnsi="Tahoma"/>
          <w:b/>
          <w:bCs/>
          <w:color w:val="000000"/>
          <w:sz w:val="16"/>
          <w:szCs w:val="20"/>
          <w:u w:val="single"/>
          <w:shd w:fill="auto" w:val="clear"/>
          <w:lang w:val="es-MX"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Marco Normativo</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firstLine="284"/>
        <w:jc w:val="both"/>
        <w:rPr>
          <w:highlight w:val="none"/>
          <w:shd w:fill="auto" w:val="clear"/>
        </w:rPr>
      </w:pPr>
      <w:r>
        <w:rPr>
          <w:rFonts w:eastAsia="Times New Roman" w:cs="Tahoma" w:ascii="Tahoma" w:hAnsi="Tahoma"/>
          <w:bCs/>
          <w:i/>
          <w:color w:val="000000"/>
          <w:sz w:val="20"/>
          <w:szCs w:val="20"/>
          <w:shd w:fill="auto" w:val="clear"/>
          <w:lang w:val="es-MX" w:eastAsia="es-ES"/>
        </w:rPr>
        <w:t>“</w:t>
      </w:r>
      <w:r>
        <w:rPr>
          <w:rFonts w:eastAsia="Times New Roman" w:cs="Tahoma" w:ascii="Tahoma" w:hAnsi="Tahoma"/>
          <w:b/>
          <w:bCs/>
          <w:i/>
          <w:color w:val="000000"/>
          <w:sz w:val="20"/>
          <w:szCs w:val="20"/>
          <w:shd w:fill="auto" w:val="clear"/>
          <w:lang w:val="es-MX" w:eastAsia="es-ES"/>
        </w:rPr>
        <w:t>Artículo 5 (Clases de servidores públicos).-</w:t>
      </w:r>
      <w:r>
        <w:rPr>
          <w:rFonts w:eastAsia="Times New Roman" w:cs="Tahoma" w:ascii="Tahoma" w:hAnsi="Tahoma"/>
          <w:bCs/>
          <w:i/>
          <w:color w:val="000000"/>
          <w:sz w:val="20"/>
          <w:szCs w:val="20"/>
          <w:shd w:fill="auto" w:val="clear"/>
          <w:lang w:val="es-MX" w:eastAsia="es-ES"/>
        </w:rPr>
        <w:t xml:space="preserve"> </w:t>
      </w:r>
      <w:r>
        <w:rPr>
          <w:rFonts w:cs="Tahoma" w:ascii="Tahoma" w:hAnsi="Tahoma"/>
          <w:i/>
          <w:sz w:val="20"/>
          <w:szCs w:val="20"/>
          <w:shd w:fill="auto" w:val="clear"/>
        </w:rPr>
        <w:t>Los servidores públicos se clasifican en:</w:t>
      </w:r>
    </w:p>
    <w:p>
      <w:pPr>
        <w:pStyle w:val="Normal"/>
        <w:spacing w:lineRule="auto" w:line="240" w:before="0" w:after="0"/>
        <w:jc w:val="both"/>
        <w:rPr>
          <w:rFonts w:ascii="Tahoma" w:hAnsi="Tahoma" w:eastAsia="Times New Roman" w:cs="Tahoma"/>
          <w:bCs/>
          <w:i/>
          <w:i/>
          <w:color w:val="000000"/>
          <w:sz w:val="16"/>
          <w:szCs w:val="20"/>
          <w:highlight w:val="none"/>
          <w:shd w:fill="auto" w:val="clear"/>
          <w:lang w:val="es-MX" w:eastAsia="es-ES"/>
        </w:rPr>
      </w:pPr>
      <w:r>
        <w:rPr>
          <w:rFonts w:eastAsia="Times New Roman" w:cs="Tahoma" w:ascii="Tahoma" w:hAnsi="Tahoma"/>
          <w:bCs/>
          <w:i/>
          <w:color w:val="000000"/>
          <w:sz w:val="16"/>
          <w:szCs w:val="20"/>
          <w:shd w:fill="auto" w:val="clear"/>
          <w:lang w:val="es-MX" w:eastAsia="es-ES"/>
        </w:rPr>
      </w:r>
    </w:p>
    <w:p>
      <w:pPr>
        <w:pStyle w:val="Normal"/>
        <w:spacing w:lineRule="auto" w:line="240" w:before="0" w:after="0"/>
        <w:ind w:left="284" w:hanging="0"/>
        <w:jc w:val="both"/>
        <w:rPr>
          <w:highlight w:val="none"/>
          <w:shd w:fill="auto" w:val="clear"/>
        </w:rPr>
      </w:pPr>
      <w:r>
        <w:rPr>
          <w:rFonts w:eastAsia="Times New Roman" w:cs="Tahoma" w:ascii="Tahoma" w:hAnsi="Tahoma"/>
          <w:bCs/>
          <w:i/>
          <w:color w:val="000000"/>
          <w:sz w:val="20"/>
          <w:szCs w:val="20"/>
          <w:shd w:fill="auto" w:val="clear"/>
          <w:lang w:val="es-MX" w:eastAsia="es-ES"/>
        </w:rPr>
        <w:t>e)</w:t>
      </w:r>
      <w:r>
        <w:rPr>
          <w:rFonts w:cs="Tahoma" w:ascii="Tahoma" w:hAnsi="Tahoma"/>
          <w:i/>
          <w:sz w:val="20"/>
          <w:szCs w:val="20"/>
          <w:shd w:fill="auto" w:val="clear"/>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bookmarkStart w:id="2" w:name="_GoBack"/>
      <w:bookmarkEnd w:id="2"/>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firstLine="284"/>
        <w:jc w:val="both"/>
        <w:rPr>
          <w:highlight w:val="none"/>
          <w:shd w:fill="auto" w:val="clear"/>
        </w:rPr>
      </w:pPr>
      <w:r>
        <w:rPr>
          <w:rFonts w:eastAsia="Times New Roman" w:cs="Tahoma" w:ascii="Tahoma" w:hAnsi="Tahoma"/>
          <w:b/>
          <w:bCs/>
          <w:i/>
          <w:color w:val="000000"/>
          <w:sz w:val="20"/>
          <w:szCs w:val="20"/>
          <w:shd w:fill="auto" w:val="clear"/>
          <w:lang w:val="es-MX" w:eastAsia="es-ES"/>
        </w:rPr>
        <w:t xml:space="preserve">Artículo 12 (Clases de servidores).- </w:t>
      </w:r>
      <w:r>
        <w:rPr>
          <w:rFonts w:eastAsia="Times New Roman" w:cs="Tahoma" w:ascii="Tahoma" w:hAnsi="Tahoma"/>
          <w:bCs/>
          <w:i/>
          <w:color w:val="000000"/>
          <w:sz w:val="20"/>
          <w:szCs w:val="20"/>
          <w:shd w:fill="auto" w:val="clear"/>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left="255" w:hanging="0"/>
        <w:jc w:val="both"/>
        <w:rPr>
          <w:highlight w:val="none"/>
          <w:shd w:fill="auto" w:val="clear"/>
        </w:rPr>
      </w:pPr>
      <w:r>
        <w:rPr>
          <w:rFonts w:eastAsia="Times New Roman" w:cs="Tahoma" w:ascii="Tahoma" w:hAnsi="Tahoma"/>
          <w:bCs/>
          <w:i/>
          <w:color w:val="000000"/>
          <w:sz w:val="20"/>
          <w:szCs w:val="20"/>
          <w:shd w:fill="auto" w:val="clear"/>
          <w:lang w:val="es-MX" w:eastAsia="es-ES"/>
        </w:rPr>
        <w:t xml:space="preserve">e) </w:t>
      </w:r>
      <w:r>
        <w:rPr>
          <w:rFonts w:cs="Tahoma" w:ascii="Tahoma" w:hAnsi="Tahoma"/>
          <w:i/>
          <w:sz w:val="20"/>
          <w:szCs w:val="20"/>
          <w:shd w:fill="auto" w:val="clear"/>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color w:val="000000" w:themeColor="text1"/>
          <w:sz w:val="20"/>
          <w:szCs w:val="20"/>
          <w:shd w:fill="auto" w:val="clear"/>
        </w:rPr>
        <w:t xml:space="preserve"> </w:t>
      </w:r>
      <w:r>
        <w:rPr>
          <w:rFonts w:cs="Tahoma" w:ascii="Tahoma" w:hAnsi="Tahoma"/>
          <w:i/>
          <w:color w:val="000000" w:themeColor="text1"/>
          <w:sz w:val="20"/>
          <w:szCs w:val="20"/>
          <w:shd w:fill="auto" w:val="clear"/>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highlight w:val="none"/>
          <w:shd w:fill="auto" w:val="clear"/>
        </w:rPr>
      </w:pPr>
      <w:r>
        <w:rPr>
          <w:rFonts w:cs="Tahoma" w:ascii="Tahoma" w:hAnsi="Tahoma"/>
          <w:i/>
          <w:color w:val="000000" w:themeColor="text1"/>
          <w:sz w:val="16"/>
          <w:szCs w:val="20"/>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4"/>
          <w:szCs w:val="20"/>
          <w:highlight w:val="none"/>
          <w:shd w:fill="auto" w:val="clear"/>
        </w:rPr>
      </w:pPr>
      <w:r>
        <w:rPr>
          <w:rFonts w:cs="Tahoma" w:ascii="Tahoma" w:hAnsi="Tahoma"/>
          <w:i/>
          <w:color w:val="000000" w:themeColor="text1"/>
          <w:sz w:val="14"/>
          <w:szCs w:val="20"/>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14"/>
          <w:szCs w:val="20"/>
          <w:highlight w:val="none"/>
          <w:shd w:fill="auto" w:val="clear"/>
        </w:rPr>
      </w:pPr>
      <w:r>
        <w:rPr>
          <w:rFonts w:cs="Tahoma" w:ascii="Tahoma" w:hAnsi="Tahoma"/>
          <w:sz w:val="14"/>
          <w:szCs w:val="20"/>
          <w:shd w:fill="auto" w:val="clear"/>
        </w:rPr>
      </w:r>
    </w:p>
    <w:p>
      <w:pPr>
        <w:pStyle w:val="Normal"/>
        <w:shd w:val="clear" w:color="auto" w:fill="FFFFFF"/>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Artículo 21 (Interinato)</w:t>
      </w:r>
      <w:r>
        <w:rPr>
          <w:rFonts w:cs="Tahoma" w:ascii="Tahoma" w:hAnsi="Tahoma"/>
          <w:sz w:val="20"/>
          <w:szCs w:val="20"/>
          <w:shd w:fill="auto" w:val="clear"/>
        </w:rPr>
        <w:t xml:space="preserve">.- </w:t>
      </w:r>
      <w:r>
        <w:rPr>
          <w:rFonts w:cs="Tahoma" w:ascii="Tahoma" w:hAnsi="Tahoma"/>
          <w:i/>
          <w:sz w:val="20"/>
          <w:szCs w:val="20"/>
          <w:shd w:fill="auto" w:val="clear"/>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color w:val="000000"/>
          <w:sz w:val="20"/>
          <w:szCs w:val="20"/>
          <w:shd w:fill="auto" w:val="clear"/>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16"/>
          <w:szCs w:val="20"/>
          <w:highlight w:val="none"/>
          <w:shd w:fill="auto" w:val="clear"/>
          <w:lang w:val="es-MX"/>
        </w:rPr>
      </w:pPr>
      <w:r>
        <w:rPr>
          <w:rFonts w:cs="Tahoma" w:ascii="Tahoma" w:hAnsi="Tahoma"/>
          <w:color w:val="000000" w:themeColor="text1"/>
          <w:sz w:val="16"/>
          <w:szCs w:val="20"/>
          <w:shd w:fill="auto" w:val="clear"/>
          <w:lang w:val="es-MX"/>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highlight w:val="none"/>
          <w:shd w:fill="auto" w:val="clear"/>
        </w:rPr>
      </w:pPr>
      <w:r>
        <w:rPr>
          <w:rFonts w:cs="Tahoma" w:ascii="Tahoma" w:hAnsi="Tahoma"/>
          <w:b/>
          <w:i/>
          <w:sz w:val="16"/>
          <w:szCs w:val="20"/>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7"/>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7"/>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Normal"/>
        <w:spacing w:lineRule="auto" w:line="240" w:before="0" w:after="0"/>
        <w:jc w:val="both"/>
        <w:rPr>
          <w:rFonts w:ascii="Tahoma" w:hAnsi="Tahoma" w:eastAsia="Times New Roman" w:cs="Tahoma"/>
          <w:b/>
          <w:bCs/>
          <w:color w:val="000000"/>
          <w:sz w:val="16"/>
          <w:szCs w:val="20"/>
          <w:highlight w:val="none"/>
          <w:shd w:fill="auto" w:val="clear"/>
          <w:lang w:eastAsia="es-ES"/>
        </w:rPr>
      </w:pPr>
      <w:r>
        <w:rPr>
          <w:rFonts w:eastAsia="Times New Roman" w:cs="Tahoma" w:ascii="Tahoma" w:hAnsi="Tahoma"/>
          <w:b/>
          <w:bCs/>
          <w:color w:val="000000"/>
          <w:sz w:val="16"/>
          <w:szCs w:val="20"/>
          <w:shd w:fill="auto" w:val="clear"/>
          <w:lang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Normal"/>
        <w:numPr>
          <w:ilvl w:val="0"/>
          <w:numId w:val="1"/>
        </w:numPr>
        <w:spacing w:lineRule="auto" w:line="240" w:before="0" w:after="0"/>
        <w:ind w:left="567" w:hanging="283"/>
        <w:jc w:val="both"/>
        <w:rPr>
          <w:highlight w:val="none"/>
          <w:shd w:fill="auto" w:val="clear"/>
        </w:rPr>
      </w:pPr>
      <w:r>
        <w:rPr>
          <w:rFonts w:eastAsia="Times New Roman" w:cs="Tahoma" w:ascii="Tahoma" w:hAnsi="Tahoma"/>
          <w:b/>
          <w:bCs/>
          <w:color w:val="000000"/>
          <w:sz w:val="20"/>
          <w:szCs w:val="20"/>
          <w:u w:val="single"/>
          <w:shd w:fill="auto" w:val="clear"/>
          <w:lang w:val="es-MX" w:eastAsia="es-ES"/>
        </w:rPr>
        <w:t>Disponibilidad del Ítem</w:t>
      </w:r>
      <w:r>
        <w:rPr>
          <w:rFonts w:eastAsia="Times New Roman" w:cs="Tahoma" w:ascii="Tahoma" w:hAnsi="Tahoma"/>
          <w:bCs/>
          <w:color w:val="000000"/>
          <w:sz w:val="20"/>
          <w:szCs w:val="20"/>
          <w:shd w:fill="auto" w:val="clear"/>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highlight w:val="none"/>
          <w:shd w:fill="auto" w:val="clear"/>
          <w:lang w:val="es-MX" w:eastAsia="es-ES"/>
        </w:rPr>
      </w:pPr>
      <w:r>
        <w:rPr>
          <w:rFonts w:eastAsia="Times New Roman" w:cs="Tahoma" w:ascii="Tahoma" w:hAnsi="Tahoma"/>
          <w:bCs/>
          <w:color w:val="000000"/>
          <w:sz w:val="12"/>
          <w:szCs w:val="16"/>
          <w:shd w:fill="auto" w:val="clear"/>
          <w:lang w:val="es-MX" w:eastAsia="es-ES"/>
        </w:rPr>
      </w:r>
    </w:p>
    <w:tbl>
      <w:tblPr>
        <w:tblW w:w="692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6"/>
        <w:gridCol w:w="821"/>
        <w:gridCol w:w="988"/>
        <w:gridCol w:w="2475"/>
        <w:gridCol w:w="1483"/>
      </w:tblGrid>
      <w:tr>
        <w:trPr>
          <w:trHeight w:val="394" w:hRule="atLeast"/>
        </w:trPr>
        <w:tc>
          <w:tcPr>
            <w:tcW w:w="115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w:t>
            </w:r>
          </w:p>
        </w:tc>
        <w:tc>
          <w:tcPr>
            <w:tcW w:w="82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Nº</w:t>
            </w:r>
          </w:p>
        </w:tc>
        <w:tc>
          <w:tcPr>
            <w:tcW w:w="98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básico</w:t>
            </w:r>
          </w:p>
        </w:tc>
        <w:tc>
          <w:tcPr>
            <w:tcW w:w="24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1483"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 Ítem</w:t>
            </w:r>
          </w:p>
        </w:tc>
      </w:tr>
      <w:tr>
        <w:trPr>
          <w:trHeight w:val="528" w:hRule="atLeast"/>
        </w:trPr>
        <w:tc>
          <w:tcPr>
            <w:tcW w:w="115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48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Cumplimiento de requisitos mínimos exigibles:</w:t>
      </w:r>
      <w:r>
        <w:rPr>
          <w:rFonts w:eastAsia="Times New Roman" w:cs="Tahoma" w:ascii="Tahoma" w:hAnsi="Tahoma"/>
          <w:bCs/>
          <w:color w:val="000000"/>
          <w:sz w:val="20"/>
          <w:szCs w:val="20"/>
          <w:shd w:fill="auto" w:val="clear"/>
          <w:lang w:val="es-MX" w:eastAsia="es-ES"/>
        </w:rPr>
        <w:t xml:space="preserve"> Se procedió a verificar el cumplimiento de los</w:t>
      </w:r>
      <w:r>
        <w:rPr>
          <w:rFonts w:eastAsia="Times New Roman" w:cs="Tahoma" w:ascii="Tahoma" w:hAnsi="Tahoma"/>
          <w:color w:val="000000"/>
          <w:sz w:val="20"/>
          <w:szCs w:val="20"/>
          <w:shd w:fill="auto" w:val="clear"/>
          <w:lang w:val="es-MX" w:eastAsia="es-ES"/>
        </w:rPr>
        <w:t xml:space="preserve"> requisitos determinados en el Manual de Puestos vigente</w:t>
      </w:r>
      <w:r>
        <w:rPr>
          <w:rFonts w:eastAsia="Times New Roman" w:cs="Tahoma" w:ascii="Tahoma" w:hAnsi="Tahoma"/>
          <w:color w:val="000000"/>
          <w:sz w:val="20"/>
          <w:szCs w:val="20"/>
          <w:shd w:fill="auto" w:val="clear"/>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ind w:firstLine="180"/>
        <w:rPr>
          <w:highlight w:val="none"/>
          <w:shd w:fill="auto" w:val="clear"/>
        </w:rPr>
      </w:pPr>
      <w:r>
        <w:rPr>
          <w:rFonts w:eastAsia="Times New Roman" w:cs="Tahoma" w:ascii="Tahoma" w:hAnsi="Tahoma"/>
          <w:color w:val="4A442A"/>
          <w:sz w:val="20"/>
          <w:szCs w:val="20"/>
          <w:shd w:fill="auto" w:val="clear"/>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8"/>
          <w:szCs w:val="16"/>
          <w:highlight w:val="none"/>
          <w:shd w:fill="auto" w:val="clear"/>
          <w:lang w:val="es-MX" w:eastAsia="es-ES"/>
        </w:rPr>
      </w:pPr>
      <w:r>
        <w:rPr>
          <w:rFonts w:eastAsia="Times New Roman" w:cs="Tahoma" w:ascii="Tahoma" w:hAnsi="Tahoma"/>
          <w:color w:val="4A442A"/>
          <w:sz w:val="8"/>
          <w:szCs w:val="16"/>
          <w:shd w:fill="auto" w:val="clear"/>
          <w:lang w:val="es-MX" w:eastAsia="es-ES"/>
        </w:rPr>
      </w:r>
    </w:p>
    <w:tbl>
      <w:tblPr>
        <w:tblW w:w="719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0"/>
        <w:gridCol w:w="1592"/>
        <w:gridCol w:w="2245"/>
        <w:gridCol w:w="958"/>
        <w:gridCol w:w="1118"/>
      </w:tblGrid>
      <w:tr>
        <w:trPr>
          <w:trHeight w:val="16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Académico</w:t>
            </w:r>
          </w:p>
        </w:tc>
        <w:tc>
          <w:tcPr>
            <w:tcW w:w="159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Formación</w:t>
            </w:r>
          </w:p>
        </w:tc>
        <w:tc>
          <w:tcPr>
            <w:tcW w:w="224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Institución</w:t>
            </w:r>
          </w:p>
        </w:tc>
        <w:tc>
          <w:tcPr>
            <w:tcW w:w="95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Conclusión</w:t>
            </w:r>
          </w:p>
        </w:tc>
        <w:tc>
          <w:tcPr>
            <w:tcW w:w="1118"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de Respaldo</w:t>
            </w:r>
          </w:p>
        </w:tc>
      </w:tr>
      <w:tr>
        <w:trPr>
          <w:trHeight w:val="640" w:hRule="atLeast"/>
        </w:trPr>
        <w:tc>
          <w:tcPr>
            <w:tcW w:w="12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1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Cumple</w:t>
            </w:r>
          </w:p>
        </w:tc>
      </w:tr>
    </w:tbl>
    <w:p>
      <w:pPr>
        <w:pStyle w:val="Normal"/>
        <w:spacing w:lineRule="auto" w:line="240" w:before="0" w:after="0"/>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spacing w:lineRule="auto" w:line="240" w:before="0" w:after="0"/>
        <w:rPr>
          <w:highlight w:val="none"/>
          <w:shd w:fill="auto" w:val="clear"/>
        </w:rPr>
      </w:pPr>
      <w:r>
        <w:rPr>
          <w:rFonts w:eastAsia="Times New Roman" w:cs="Tahoma" w:ascii="Tahoma" w:hAnsi="Tahoma"/>
          <w:color w:val="4A442A"/>
          <w:sz w:val="20"/>
          <w:szCs w:val="20"/>
          <w:shd w:fill="auto" w:val="clear"/>
          <w:lang w:val="es-MX" w:eastAsia="es-ES"/>
        </w:rPr>
        <w:t xml:space="preserve">   </w:t>
      </w:r>
      <w:r>
        <w:rPr>
          <w:rFonts w:eastAsia="Times New Roman" w:cs="Tahoma" w:ascii="Tahoma" w:hAnsi="Tahoma"/>
          <w:color w:val="4A442A"/>
          <w:sz w:val="20"/>
          <w:szCs w:val="20"/>
          <w:shd w:fill="auto" w:val="clear"/>
          <w:lang w:val="es-MX" w:eastAsia="es-ES"/>
        </w:rPr>
        <w:t>EXPERIENCIA LABORAL: (Relacionada al Cargo)</w:t>
      </w:r>
    </w:p>
    <w:p>
      <w:pPr>
        <w:pStyle w:val="Normal"/>
        <w:spacing w:lineRule="auto" w:line="240" w:before="0" w:after="0"/>
        <w:rPr>
          <w:rFonts w:ascii="Tahoma" w:hAnsi="Tahoma" w:eastAsia="Times New Roman" w:cs="Tahoma"/>
          <w:color w:val="4A442A"/>
          <w:sz w:val="12"/>
          <w:szCs w:val="20"/>
          <w:highlight w:val="none"/>
          <w:shd w:fill="auto" w:val="clear"/>
          <w:lang w:val="es-MX" w:eastAsia="es-ES"/>
        </w:rPr>
      </w:pPr>
      <w:r>
        <w:rPr>
          <w:rFonts w:eastAsia="Times New Roman" w:cs="Tahoma" w:ascii="Tahoma" w:hAnsi="Tahoma"/>
          <w:color w:val="4A442A"/>
          <w:sz w:val="12"/>
          <w:szCs w:val="20"/>
          <w:shd w:fill="auto" w:val="clear"/>
          <w:lang w:val="es-MX" w:eastAsia="es-ES"/>
        </w:rPr>
      </w:r>
    </w:p>
    <w:tbl>
      <w:tblPr>
        <w:tblW w:w="878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09"/>
        <w:gridCol w:w="972"/>
        <w:gridCol w:w="1970"/>
        <w:gridCol w:w="1613"/>
        <w:gridCol w:w="2334"/>
        <w:gridCol w:w="1190"/>
      </w:tblGrid>
      <w:tr>
        <w:trPr>
          <w:trHeight w:val="222" w:hRule="atLeast"/>
        </w:trPr>
        <w:tc>
          <w:tcPr>
            <w:tcW w:w="7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Ítem</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FORMACIÓN</w:t>
            </w:r>
          </w:p>
        </w:tc>
        <w:tc>
          <w:tcPr>
            <w:tcW w:w="1190"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Resultado de la verificación</w:t>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${persona.grado}</w:t>
            </w:r>
            <w:r>
              <w:rPr>
                <w:rFonts w:eastAsia="Times New Roman" w:cs="Tahoma" w:ascii="Tahoma" w:hAnsi="Tahoma"/>
                <w:color w:val="FFFFFF"/>
                <w:sz w:val="14"/>
                <w:szCs w:val="14"/>
                <w:shd w:fill="auto" w:val="clear"/>
                <w:lang w:val="es-ES" w:eastAsia="es-ES"/>
              </w:rPr>
              <w:t xml:space="preserve"> _</w:t>
            </w:r>
            <w:r>
              <w:rPr>
                <w:rFonts w:eastAsia="Times New Roman" w:cs="Tahoma" w:ascii="Tahoma" w:hAnsi="Tahoma"/>
                <w:color w:val="000000"/>
                <w:sz w:val="14"/>
                <w:szCs w:val="14"/>
                <w:shd w:fill="auto" w:val="clear"/>
                <w:lang w:val="es-ES" w:eastAsia="es-ES"/>
              </w:rPr>
              <w:t>en ${persona.areaformacion}</w:t>
            </w:r>
          </w:p>
        </w:tc>
        <w:tc>
          <w:tcPr>
            <w:tcW w:w="3947"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61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 xml:space="preserve">EXPERIENCIA EN FUNCIONES DE </w:t>
            </w:r>
            <w:r>
              <w:rPr>
                <w:rFonts w:cs="Tahoma" w:ascii="Tahoma" w:hAnsi="Tahoma"/>
                <w:b/>
                <w:sz w:val="14"/>
                <w:szCs w:val="14"/>
                <w:u w:val="single"/>
                <w:shd w:fill="auto" w:val="clear"/>
                <w:lang w:val="es-ES"/>
              </w:rPr>
              <w:t>MANDO</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64" w:hRule="atLeast"/>
        </w:trPr>
        <w:tc>
          <w:tcPr>
            <w:tcW w:w="7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61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190"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53" w:hRule="atLeast"/>
        </w:trPr>
        <w:tc>
          <w:tcPr>
            <w:tcW w:w="7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190"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Currículum Vitae y File Personal como ${persona.referencia1},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incorporación y futura permanencia no se ajustan a las disposiciones de la Carrera Administrativa establecida en el Estatuto del Funcionario Público, no cuenta con dicha calidad. 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sz w:val="20"/>
          <w:szCs w:val="20"/>
          <w:shd w:fill="auto" w:val="clear"/>
          <w:lang w:val="es-MX" w:eastAsia="es-ES"/>
        </w:rPr>
        <w:t xml:space="preserve">III. </w:t>
        <w:tab/>
        <w:t>CONCLUSIONES</w:t>
      </w:r>
    </w:p>
    <w:p>
      <w:pPr>
        <w:pStyle w:val="Normal"/>
        <w:spacing w:lineRule="auto" w:line="240" w:before="0" w:after="0"/>
        <w:jc w:val="both"/>
        <w:rPr>
          <w:rFonts w:ascii="Tahoma" w:hAnsi="Tahoma" w:eastAsia="Times New Roman" w:cs="Tahoma"/>
          <w:b/>
          <w:bCs/>
          <w:sz w:val="16"/>
          <w:szCs w:val="20"/>
          <w:highlight w:val="none"/>
          <w:shd w:fill="auto" w:val="clear"/>
          <w:lang w:val="es-MX" w:eastAsia="es-ES"/>
        </w:rPr>
      </w:pPr>
      <w:r>
        <w:rPr>
          <w:rFonts w:eastAsia="Times New Roman" w:cs="Tahoma" w:ascii="Tahoma" w:hAnsi="Tahoma"/>
          <w:b/>
          <w:bCs/>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eastAsia="es-ES"/>
        </w:rPr>
        <w:t xml:space="preserve">, </w:t>
      </w:r>
      <w:r>
        <w:rPr>
          <w:rFonts w:eastAsia="Times New Roman" w:cs="Tahoma" w:ascii="Tahoma" w:hAnsi="Tahoma"/>
          <w:sz w:val="20"/>
          <w:szCs w:val="20"/>
          <w:shd w:fill="auto" w:val="clear"/>
          <w:lang w:eastAsia="es-ES"/>
        </w:rPr>
        <w:t xml:space="preserve">propuesta </w:t>
      </w:r>
      <w:r>
        <w:rPr>
          <w:rFonts w:eastAsia="Times New Roman" w:cs="Tahoma" w:ascii="Tahoma" w:hAnsi="Tahoma"/>
          <w:color w:val="000000"/>
          <w:sz w:val="20"/>
          <w:szCs w:val="20"/>
          <w:shd w:fill="auto" w:val="clear"/>
          <w:lang w:val="es-MX" w:eastAsia="es-ES"/>
        </w:rPr>
        <w:t xml:space="preserve">al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dependiente de la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w:t>
      </w:r>
      <w:r>
        <w:rPr>
          <w:rFonts w:eastAsia="Times New Roman" w:cs="Tahoma" w:ascii="Tahoma" w:hAnsi="Tahoma"/>
          <w:sz w:val="20"/>
          <w:szCs w:val="20"/>
          <w:shd w:fill="auto" w:val="clear"/>
          <w:lang w:val="es-ES" w:eastAsia="es-BO"/>
        </w:rPr>
        <w:t>}</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shd w:fill="auto" w:val="clear"/>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shd w:fill="auto" w:val="clear"/>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shd w:fill="auto" w:val="clear"/>
          <w:lang w:eastAsia="es-ES"/>
        </w:rPr>
        <w:t xml:space="preserve"> con los requisitos mínimos exigidos.</w:t>
      </w:r>
    </w:p>
    <w:p>
      <w:pPr>
        <w:pStyle w:val="ListParagraph"/>
        <w:spacing w:lineRule="auto" w:line="240" w:before="0" w:after="0"/>
        <w:ind w:left="284" w:hanging="0"/>
        <w:contextualSpacing/>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 mente efectuadas, recomienda a su autoridad considerar  con la designación como </w:t>
      </w:r>
      <w:r>
        <w:rPr>
          <w:rFonts w:cs="Tahoma" w:ascii="Tahoma" w:hAnsi="Tahoma"/>
          <w:sz w:val="20"/>
          <w:shd w:fill="auto" w:val="clear"/>
          <w:lang w:val="es-ES"/>
        </w:rPr>
        <w:t>${persona.referencia1</w:t>
      </w:r>
      <w:r>
        <w:rPr>
          <w:rFonts w:cs="Tahoma" w:ascii="Tahoma" w:hAnsi="Tahoma"/>
          <w:sz w:val="20"/>
          <w:szCs w:val="20"/>
          <w:shd w:fill="auto" w:val="clear"/>
          <w:lang w:val="es-ES" w:eastAsia="es-ES"/>
        </w:rPr>
        <w:t>}</w:t>
      </w:r>
      <w:r>
        <w:rPr>
          <w:rFonts w:cs="Tahoma" w:ascii="Tahoma" w:hAnsi="Tahoma"/>
          <w:sz w:val="20"/>
          <w:shd w:fill="auto" w:val="clear"/>
        </w:rPr>
        <w:t xml:space="preserve">, toda vez que se habría verificado el cumplimiento de los requisitos establecidos para el ejercicio del cargo, con el Ítem N°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xml:space="preserve">,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sz w:val="20"/>
          <w:shd w:fill="auto" w:val="clear"/>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para lo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highlight w:val="none"/>
          <w:shd w:fill="auto" w:val="clear"/>
        </w:rPr>
      </w:pPr>
      <w:r>
        <w:rPr>
          <w:rFonts w:cs="Tahoma" w:ascii="Tahoma" w:hAnsi="Tahoma"/>
          <w:sz w:val="12"/>
          <w:shd w:fill="auto" w:val="clear"/>
        </w:rPr>
        <w:t>MCVB</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Spacing"/>
        <w:rPr>
          <w:highlight w:val="none"/>
          <w:shd w:fill="auto" w:val="clear"/>
        </w:rPr>
      </w:pPr>
      <w:r>
        <w:rPr>
          <w:rFonts w:cs="Tahoma" w:ascii="Tahoma" w:hAnsi="Tahoma"/>
          <w:sz w:val="12"/>
          <w:szCs w:val="12"/>
          <w:shd w:fill="auto" w:val="clear"/>
        </w:rPr>
        <w:t>${iniciales}</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FILE PERSONAL</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eastAsia="Times New Roman" w:cs="Tahoma" w:ascii="Tahoma" w:hAnsi="Tahoma"/>
          <w:b/>
          <w:sz w:val="12"/>
          <w:szCs w:val="12"/>
          <w:shd w:fill="auto" w:val="clear"/>
          <w:lang w:val="en-US" w:eastAsia="es-ES"/>
        </w:rPr>
        <w:t>${</w:t>
      </w:r>
      <w:r>
        <w:rPr>
          <w:rFonts w:eastAsia="Times New Roman" w:cs="Tahoma" w:ascii="Tahoma" w:hAnsi="Tahoma"/>
          <w:b/>
          <w:sz w:val="12"/>
          <w:szCs w:val="12"/>
          <w:shd w:fill="auto" w:val="clear"/>
          <w:lang w:val="en-US" w:eastAsia="es-ES"/>
        </w:rPr>
        <w:t>incorporacion.</w:t>
      </w:r>
      <w:r>
        <w:rPr>
          <w:rFonts w:eastAsia="Times New Roman" w:cs="Tahoma" w:ascii="Tahoma" w:hAnsi="Tahoma"/>
          <w:b/>
          <w:sz w:val="12"/>
          <w:szCs w:val="12"/>
          <w:shd w:fill="auto" w:val="clear"/>
          <w:lang w:val="en-US" w:eastAsia="es-ES"/>
        </w:rPr>
        <w:t>hp}</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1"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1"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color w:val="3B3838"/>
                        <w:sz w:val="20"/>
                        <w:szCs w:val="20"/>
                      </w:rPr>
                    </w:pPr>
                    <w:r>
                      <w:rPr>
                        <w:rFonts w:cs="Tahoma" w:ascii="Tahoma" w:hAnsi="Tahoma"/>
                        <w:b/>
                        <w:color w:val="3B3838"/>
                        <w:sz w:val="20"/>
                        <w:szCs w:val="20"/>
                      </w:rPr>
                    </w:r>
                  </w:p>
                  <w:p>
                    <w:pPr>
                      <w:pStyle w:val="Standard"/>
                      <w:rPr>
                        <w:color w:val="000000"/>
                      </w:rPr>
                    </w:pPr>
                    <w:r>
                      <w:rPr>
                        <w:color w:val="00000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-944245</wp:posOffset>
          </wp:positionH>
          <wp:positionV relativeFrom="paragraph">
            <wp:posOffset>4404995</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Application>LibreOffice/7.5.4.2$Linux_X86_64 LibreOffice_project/36ccfdc35048b057fd9854c757a8b67ec53977b6</Application>
  <AppVersion>15.0000</AppVersion>
  <Pages>5</Pages>
  <Words>1486</Words>
  <Characters>9644</Characters>
  <CharactersWithSpaces>11103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2024-04-26T12:20:41Z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