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Classification - Modèles ML</w:t>
      </w:r>
    </w:p>
    <w:p>
      <w:r>
        <w:t>Généré le : 12/09/2025 à 14:18:25</w:t>
      </w:r>
    </w:p>
    <w:p>
      <w:r>
        <w:t>Modèles évalués sur le dataset COVID-19 Radiography (4 classes).</w:t>
      </w:r>
    </w:p>
    <w:p>
      <w:pPr>
        <w:pStyle w:val="Heading1"/>
      </w:pPr>
      <w:r>
        <w:t>Modèle : RandomForest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    0       0.59      0.60      0.60       200</w:t>
        <w:br/>
        <w:t xml:space="preserve">           1       0.70      0.64      0.67       200</w:t>
        <w:br/>
        <w:t xml:space="preserve">           2       0.90      0.93      0.92       200</w:t>
        <w:br/>
        <w:t xml:space="preserve">           3       0.64      0.66      0.65       200</w:t>
        <w:br/>
        <w:br/>
        <w:t xml:space="preserve">    accuracy                           0.71       800</w:t>
        <w:br/>
        <w:t xml:space="preserve">   macro avg       0.71      0.71      0.71       800</w:t>
        <w:br/>
        <w:t>weighted avg       0.71      0.71      0.71       800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RandomFor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Modèle : LinearSVM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    0       0.49      0.41      0.45       200</w:t>
        <w:br/>
        <w:t xml:space="preserve">           1       0.53      0.56      0.55       200</w:t>
        <w:br/>
        <w:t xml:space="preserve">           2       0.83      0.91      0.87       200</w:t>
        <w:br/>
        <w:t xml:space="preserve">           3       0.55      0.55      0.55       200</w:t>
        <w:br/>
        <w:br/>
        <w:t xml:space="preserve">    accuracy                           0.61       800</w:t>
        <w:br/>
        <w:t xml:space="preserve">   macro avg       0.60      0.61      0.60       800</w:t>
        <w:br/>
        <w:t>weighted avg       0.60      0.61      0.60       800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LinearSV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