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Q1 Operations Review</w:t>
      </w:r>
    </w:p>
    <w:p>
      <w:r>
        <w:t>Prepared by the operations team. Internal working document for the April planning cycle.</w:t>
      </w:r>
    </w:p>
    <w:p>
      <w:pPr>
        <w:pStyle w:val="Heading1"/>
      </w:pPr>
      <w:r>
        <w:t>Summary</w:t>
      </w:r>
    </w:p>
    <w:p>
      <w:r>
        <w:t>First-quarter fulfillment ran ahead of forecast in two of three regions. Carrier costs rose 4% quarter over quarter, driven by fuel surcharges. On-time delivery held at 96.2%.</w:t>
      </w:r>
    </w:p>
    <w:p>
      <w:pPr>
        <w:pStyle w:val="Heading1"/>
      </w:pPr>
      <w:r>
        <w:t>Regional performance</w:t>
      </w:r>
    </w:p>
    <w:p>
      <w:r>
        <w:t>The table below summarizes shipped units and average delivery time by region.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Units shipped</w:t>
            </w:r>
          </w:p>
        </w:tc>
        <w:tc>
          <w:tcPr>
            <w:tcW w:type="dxa" w:w="2880"/>
          </w:tcPr>
          <w:p>
            <w:r>
              <w:t>Avg delivery (days)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18,420</w:t>
            </w:r>
          </w:p>
        </w:tc>
        <w:tc>
          <w:tcPr>
            <w:tcW w:type="dxa" w:w="2880"/>
          </w:tcPr>
          <w:p>
            <w:r>
              <w:t>2.1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15,876</w:t>
            </w:r>
          </w:p>
        </w:tc>
        <w:tc>
          <w:tcPr>
            <w:tcW w:type="dxa" w:w="2880"/>
          </w:tcPr>
          <w:p>
            <w:r>
              <w:t>2.6</w:t>
            </w:r>
          </w:p>
        </w:tc>
      </w:tr>
      <w:tr>
        <w:tc>
          <w:tcPr>
            <w:tcW w:type="dxa" w:w="2880"/>
          </w:tcPr>
          <w:p>
            <w:r>
              <w:t>East</w:t>
            </w:r>
          </w:p>
        </w:tc>
        <w:tc>
          <w:tcPr>
            <w:tcW w:type="dxa" w:w="2880"/>
          </w:tcPr>
          <w:p>
            <w:r>
              <w:t>12,034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</w:tbl>
    <w:p>
      <w:pPr>
        <w:pStyle w:val="Heading1"/>
      </w:pPr>
      <w:r>
        <w:t>Risks</w:t>
      </w:r>
    </w:p>
    <w:p>
      <w:r>
        <w:t>Two risks carry into Q2:</w:t>
      </w:r>
    </w:p>
    <w:p>
      <w:pPr>
        <w:pStyle w:val="ListBullet"/>
      </w:pPr>
      <w:r>
        <w:t>Carrier contract renewal lands mid-May with an expected 3-5% rate increase.</w:t>
      </w:r>
    </w:p>
    <w:p>
      <w:pPr>
        <w:pStyle w:val="ListBullet"/>
      </w:pPr>
      <w:r>
        <w:t>The East region depends on a single cross-dock facility with no fallback.</w:t>
      </w:r>
    </w:p>
    <w:p>
      <w:pPr>
        <w:pStyle w:val="Heading1"/>
      </w:pPr>
      <w:r>
        <w:t>Next steps</w:t>
      </w:r>
    </w:p>
    <w:p>
      <w:pPr>
        <w:pStyle w:val="ListNumber"/>
      </w:pPr>
      <w:r>
        <w:t>Finalize the carrier shortlist by April 18.</w:t>
      </w:r>
    </w:p>
    <w:p>
      <w:pPr>
        <w:pStyle w:val="ListNumber"/>
      </w:pPr>
      <w:r>
        <w:t>Run the cross-dock contingency tabletop by April 25.</w:t>
      </w:r>
    </w:p>
    <w:p>
      <w:pPr>
        <w:pStyle w:val="ListNumber"/>
      </w:pPr>
      <w:r>
        <w:t>Publish the Q2 capacity plan by April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