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br/>
        <w:br/>
        <w:t>Standard Operating Procedure</w:t>
        <w:br/>
      </w:r>
      <w:r>
        <w:rPr>
          <w:rFonts w:ascii="Arial" w:hAnsi="Arial"/>
          <w:b/>
          <w:color w:val="2F5597"/>
          <w:sz w:val="36"/>
        </w:rPr>
        <w:t>Development of New Models for Banking Use</w:t>
        <w:br/>
      </w:r>
      <w:r>
        <w:rPr>
          <w:rFonts w:ascii="Arial" w:hAnsi="Arial"/>
          <w:sz w:val="22"/>
        </w:rPr>
        <w:br/>
        <w:t>Model Risk Management, Data Science, Risk, Finance, Operations, Technology, Compliance, and Business Lines</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F2F6FB"/>
          </w:tcPr>
          <w:p>
            <w:pPr>
              <w:spacing w:after="0"/>
            </w:pPr>
            <w:r/>
            <w:r>
              <w:rPr>
                <w:rFonts w:ascii="Arial" w:hAnsi="Arial"/>
                <w:b w:val="0"/>
                <w:sz w:val="17"/>
              </w:rPr>
              <w:t>Document owner</w:t>
            </w:r>
          </w:p>
        </w:tc>
        <w:tc>
          <w:tcPr>
            <w:tcW w:type="dxa" w:w="7920"/>
            <w:vAlign w:val="top"/>
            <w:shd w:fill="F2F6FB"/>
          </w:tcPr>
          <w:p>
            <w:pPr>
              <w:spacing w:after="0"/>
            </w:pPr>
            <w:r/>
            <w:r>
              <w:rPr>
                <w:rFonts w:ascii="Arial" w:hAnsi="Arial"/>
                <w:b w:val="0"/>
                <w:sz w:val="17"/>
              </w:rPr>
              <w:t>Head of Model Risk Management / Chief Risk Officer delegated owner</w:t>
            </w:r>
          </w:p>
        </w:tc>
      </w:tr>
      <w:tr>
        <w:tc>
          <w:tcPr>
            <w:tcW w:type="dxa" w:w="2448"/>
            <w:vAlign w:val="top"/>
          </w:tcPr>
          <w:p>
            <w:pPr>
              <w:spacing w:after="0"/>
            </w:pPr>
            <w:r/>
            <w:r>
              <w:rPr>
                <w:rFonts w:ascii="Arial" w:hAnsi="Arial"/>
                <w:b w:val="0"/>
                <w:sz w:val="17"/>
              </w:rPr>
              <w:t>Primary users</w:t>
            </w:r>
          </w:p>
        </w:tc>
        <w:tc>
          <w:tcPr>
            <w:tcW w:type="dxa" w:w="7920"/>
            <w:vAlign w:val="top"/>
          </w:tcPr>
          <w:p>
            <w:pPr>
              <w:spacing w:after="0"/>
            </w:pPr>
            <w:r/>
            <w:r>
              <w:rPr>
                <w:rFonts w:ascii="Arial" w:hAnsi="Arial"/>
                <w:b w:val="0"/>
                <w:sz w:val="17"/>
              </w:rPr>
              <w:t>Model developers, model owners, model validators, risk stewards, data owners, technology teams, compliance, audit</w:t>
            </w:r>
          </w:p>
        </w:tc>
      </w:tr>
      <w:tr>
        <w:tc>
          <w:tcPr>
            <w:tcW w:type="dxa" w:w="2448"/>
            <w:vAlign w:val="top"/>
            <w:shd w:fill="F2F6FB"/>
          </w:tcPr>
          <w:p>
            <w:pPr>
              <w:spacing w:after="0"/>
            </w:pPr>
            <w:r/>
            <w:r>
              <w:rPr>
                <w:rFonts w:ascii="Arial" w:hAnsi="Arial"/>
                <w:b w:val="0"/>
                <w:sz w:val="17"/>
              </w:rPr>
              <w:t>Applies to</w:t>
            </w:r>
          </w:p>
        </w:tc>
        <w:tc>
          <w:tcPr>
            <w:tcW w:type="dxa" w:w="7920"/>
            <w:vAlign w:val="top"/>
            <w:shd w:fill="F2F6FB"/>
          </w:tcPr>
          <w:p>
            <w:pPr>
              <w:spacing w:after="0"/>
            </w:pPr>
            <w:r/>
            <w:r>
              <w:rPr>
                <w:rFonts w:ascii="Arial" w:hAnsi="Arial"/>
                <w:b w:val="0"/>
                <w:sz w:val="17"/>
              </w:rPr>
              <w:t>All new statistical, quantitative, econometric, AI/ML, rules-based, vendor, spreadsheet, end-user-computing, and expert-judgement models used in bank decision-making</w:t>
            </w:r>
          </w:p>
        </w:tc>
      </w:tr>
      <w:tr>
        <w:tc>
          <w:tcPr>
            <w:tcW w:type="dxa" w:w="2448"/>
            <w:vAlign w:val="top"/>
          </w:tcPr>
          <w:p>
            <w:pPr>
              <w:spacing w:after="0"/>
            </w:pPr>
            <w:r/>
            <w:r>
              <w:rPr>
                <w:rFonts w:ascii="Arial" w:hAnsi="Arial"/>
                <w:b w:val="0"/>
                <w:sz w:val="17"/>
              </w:rPr>
              <w:t>Outcome boundary</w:t>
            </w:r>
          </w:p>
        </w:tc>
        <w:tc>
          <w:tcPr>
            <w:tcW w:type="dxa" w:w="7920"/>
            <w:vAlign w:val="top"/>
          </w:tcPr>
          <w:p>
            <w:pPr>
              <w:spacing w:after="0"/>
            </w:pPr>
            <w:r/>
            <w:r>
              <w:rPr>
                <w:rFonts w:ascii="Arial" w:hAnsi="Arial"/>
                <w:b w:val="0"/>
                <w:sz w:val="17"/>
              </w:rPr>
              <w:t>Procedure starts with model idea/intake and ends with approval for production use, rejection/decline, deferral, or retirement of the development request</w:t>
            </w:r>
          </w:p>
        </w:tc>
      </w:tr>
      <w:tr>
        <w:tc>
          <w:tcPr>
            <w:tcW w:type="dxa" w:w="2448"/>
            <w:vAlign w:val="top"/>
            <w:shd w:fill="F2F6FB"/>
          </w:tcPr>
          <w:p>
            <w:pPr>
              <w:spacing w:after="0"/>
            </w:pPr>
            <w:r/>
            <w:r>
              <w:rPr>
                <w:rFonts w:ascii="Arial" w:hAnsi="Arial"/>
                <w:b w:val="0"/>
                <w:sz w:val="17"/>
              </w:rPr>
              <w:t>Confidentiality</w:t>
            </w:r>
          </w:p>
        </w:tc>
        <w:tc>
          <w:tcPr>
            <w:tcW w:type="dxa" w:w="7920"/>
            <w:vAlign w:val="top"/>
            <w:shd w:fill="F2F6FB"/>
          </w:tcPr>
          <w:p>
            <w:pPr>
              <w:spacing w:after="0"/>
            </w:pPr>
            <w:r/>
            <w:r>
              <w:rPr>
                <w:rFonts w:ascii="Arial" w:hAnsi="Arial"/>
                <w:b w:val="0"/>
                <w:sz w:val="17"/>
              </w:rPr>
              <w:t>Internal confidential. Contains control requirements and operating procedures.</w:t>
            </w:r>
          </w:p>
        </w:tc>
      </w:tr>
    </w:tbl>
    <w:p>
      <w:pPr>
        <w:spacing w:after="20"/>
      </w:pP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1F4E79"/>
          </w:tcPr>
          <w:p>
            <w:pPr>
              <w:spacing w:after="0"/>
            </w:pPr>
            <w:r/>
            <w:r>
              <w:rPr>
                <w:rFonts w:ascii="Arial" w:hAnsi="Arial"/>
                <w:b/>
                <w:color w:val="FFFFFF"/>
                <w:sz w:val="17"/>
              </w:rPr>
              <w:t>Field</w:t>
            </w:r>
          </w:p>
        </w:tc>
        <w:tc>
          <w:tcPr>
            <w:tcW w:type="dxa" w:w="7776"/>
            <w:vAlign w:val="top"/>
            <w:shd w:fill="1F4E79"/>
          </w:tcPr>
          <w:p>
            <w:pPr>
              <w:spacing w:after="0"/>
            </w:pPr>
            <w:r/>
            <w:r>
              <w:rPr>
                <w:rFonts w:ascii="Arial" w:hAnsi="Arial"/>
                <w:b/>
                <w:color w:val="FFFFFF"/>
                <w:sz w:val="17"/>
              </w:rPr>
              <w:t>Detail</w:t>
            </w:r>
          </w:p>
        </w:tc>
      </w:tr>
      <w:tr>
        <w:tc>
          <w:tcPr>
            <w:tcW w:type="dxa" w:w="2592"/>
            <w:vAlign w:val="top"/>
          </w:tcPr>
          <w:p>
            <w:pPr>
              <w:spacing w:after="0"/>
            </w:pPr>
            <w:r/>
            <w:r>
              <w:rPr>
                <w:rFonts w:ascii="Arial" w:hAnsi="Arial"/>
                <w:b w:val="0"/>
                <w:sz w:val="17"/>
              </w:rPr>
              <w:t>SOP title</w:t>
            </w:r>
          </w:p>
        </w:tc>
        <w:tc>
          <w:tcPr>
            <w:tcW w:type="dxa" w:w="7776"/>
            <w:vAlign w:val="top"/>
          </w:tcPr>
          <w:p>
            <w:pPr>
              <w:spacing w:after="0"/>
            </w:pPr>
            <w:r/>
            <w:r>
              <w:rPr>
                <w:rFonts w:ascii="Arial" w:hAnsi="Arial"/>
                <w:b w:val="0"/>
                <w:sz w:val="17"/>
              </w:rPr>
              <w:t>Development of New Models for Banking Use</w:t>
            </w:r>
          </w:p>
        </w:tc>
      </w:tr>
      <w:tr>
        <w:tc>
          <w:tcPr>
            <w:tcW w:type="dxa" w:w="2592"/>
            <w:vAlign w:val="top"/>
            <w:shd w:fill="F2F6FB"/>
          </w:tcPr>
          <w:p>
            <w:pPr>
              <w:spacing w:after="0"/>
            </w:pPr>
            <w:r/>
            <w:r>
              <w:rPr>
                <w:rFonts w:ascii="Arial" w:hAnsi="Arial"/>
                <w:b w:val="0"/>
                <w:sz w:val="17"/>
              </w:rPr>
              <w:t>Version</w:t>
            </w:r>
          </w:p>
        </w:tc>
        <w:tc>
          <w:tcPr>
            <w:tcW w:type="dxa" w:w="7776"/>
            <w:vAlign w:val="top"/>
            <w:shd w:fill="F2F6FB"/>
          </w:tcPr>
          <w:p>
            <w:pPr>
              <w:spacing w:after="0"/>
            </w:pPr>
            <w:r/>
            <w:r>
              <w:rPr>
                <w:rFonts w:ascii="Arial" w:hAnsi="Arial"/>
                <w:b w:val="0"/>
                <w:sz w:val="17"/>
              </w:rPr>
              <w:t>1.0</w:t>
            </w:r>
          </w:p>
        </w:tc>
      </w:tr>
      <w:tr>
        <w:tc>
          <w:tcPr>
            <w:tcW w:type="dxa" w:w="2592"/>
            <w:vAlign w:val="top"/>
          </w:tcPr>
          <w:p>
            <w:pPr>
              <w:spacing w:after="0"/>
            </w:pPr>
            <w:r/>
            <w:r>
              <w:rPr>
                <w:rFonts w:ascii="Arial" w:hAnsi="Arial"/>
                <w:b w:val="0"/>
                <w:sz w:val="17"/>
              </w:rPr>
              <w:t>Effective date</w:t>
            </w:r>
          </w:p>
        </w:tc>
        <w:tc>
          <w:tcPr>
            <w:tcW w:type="dxa" w:w="7776"/>
            <w:vAlign w:val="top"/>
          </w:tcPr>
          <w:p>
            <w:pPr>
              <w:spacing w:after="0"/>
            </w:pPr>
            <w:r/>
            <w:r>
              <w:rPr>
                <w:rFonts w:ascii="Arial" w:hAnsi="Arial"/>
                <w:b w:val="0"/>
                <w:sz w:val="17"/>
              </w:rPr>
              <w:t>To be assigned by Policy Governance</w:t>
            </w:r>
          </w:p>
        </w:tc>
      </w:tr>
      <w:tr>
        <w:tc>
          <w:tcPr>
            <w:tcW w:type="dxa" w:w="2592"/>
            <w:vAlign w:val="top"/>
            <w:shd w:fill="F2F6FB"/>
          </w:tcPr>
          <w:p>
            <w:pPr>
              <w:spacing w:after="0"/>
            </w:pPr>
            <w:r/>
            <w:r>
              <w:rPr>
                <w:rFonts w:ascii="Arial" w:hAnsi="Arial"/>
                <w:b w:val="0"/>
                <w:sz w:val="17"/>
              </w:rPr>
              <w:t>Review cycle</w:t>
            </w:r>
          </w:p>
        </w:tc>
        <w:tc>
          <w:tcPr>
            <w:tcW w:type="dxa" w:w="7776"/>
            <w:vAlign w:val="top"/>
            <w:shd w:fill="F2F6FB"/>
          </w:tcPr>
          <w:p>
            <w:pPr>
              <w:spacing w:after="0"/>
            </w:pPr>
            <w:r/>
            <w:r>
              <w:rPr>
                <w:rFonts w:ascii="Arial" w:hAnsi="Arial"/>
                <w:b w:val="0"/>
                <w:sz w:val="17"/>
              </w:rPr>
              <w:t>At least annually, or earlier following regulatory change, material audit issue, model incident, technology change, or material policy update</w:t>
            </w:r>
          </w:p>
        </w:tc>
      </w:tr>
      <w:tr>
        <w:tc>
          <w:tcPr>
            <w:tcW w:type="dxa" w:w="2592"/>
            <w:vAlign w:val="top"/>
          </w:tcPr>
          <w:p>
            <w:pPr>
              <w:spacing w:after="0"/>
            </w:pPr>
            <w:r/>
            <w:r>
              <w:rPr>
                <w:rFonts w:ascii="Arial" w:hAnsi="Arial"/>
                <w:b w:val="0"/>
                <w:sz w:val="17"/>
              </w:rPr>
              <w:t>Approver</w:t>
            </w:r>
          </w:p>
        </w:tc>
        <w:tc>
          <w:tcPr>
            <w:tcW w:type="dxa" w:w="7776"/>
            <w:vAlign w:val="top"/>
          </w:tcPr>
          <w:p>
            <w:pPr>
              <w:spacing w:after="0"/>
            </w:pPr>
            <w:r/>
            <w:r>
              <w:rPr>
                <w:rFonts w:ascii="Arial" w:hAnsi="Arial"/>
                <w:b w:val="0"/>
                <w:sz w:val="17"/>
              </w:rPr>
              <w:t>Model Risk Committee / Enterprise Risk Committee as applicable</w:t>
            </w:r>
          </w:p>
        </w:tc>
      </w:tr>
      <w:tr>
        <w:tc>
          <w:tcPr>
            <w:tcW w:type="dxa" w:w="2592"/>
            <w:vAlign w:val="top"/>
            <w:shd w:fill="F2F6FB"/>
          </w:tcPr>
          <w:p>
            <w:pPr>
              <w:spacing w:after="0"/>
            </w:pPr>
            <w:r/>
            <w:r>
              <w:rPr>
                <w:rFonts w:ascii="Arial" w:hAnsi="Arial"/>
                <w:b w:val="0"/>
                <w:sz w:val="17"/>
              </w:rPr>
              <w:t>Authoring function</w:t>
            </w:r>
          </w:p>
        </w:tc>
        <w:tc>
          <w:tcPr>
            <w:tcW w:type="dxa" w:w="7776"/>
            <w:vAlign w:val="top"/>
            <w:shd w:fill="F2F6FB"/>
          </w:tcPr>
          <w:p>
            <w:pPr>
              <w:spacing w:after="0"/>
            </w:pPr>
            <w:r/>
            <w:r>
              <w:rPr>
                <w:rFonts w:ascii="Arial" w:hAnsi="Arial"/>
                <w:b w:val="0"/>
                <w:sz w:val="17"/>
              </w:rPr>
              <w:t>Model Risk Management with input from Data Science, Technology, Compliance, Legal, Information Security, Privacy, and Internal Audit</w:t>
            </w:r>
          </w:p>
        </w:tc>
      </w:tr>
      <w:tr>
        <w:tc>
          <w:tcPr>
            <w:tcW w:type="dxa" w:w="2592"/>
            <w:vAlign w:val="top"/>
          </w:tcPr>
          <w:p>
            <w:pPr>
              <w:spacing w:after="0"/>
            </w:pPr>
            <w:r/>
            <w:r>
              <w:rPr>
                <w:rFonts w:ascii="Arial" w:hAnsi="Arial"/>
                <w:b w:val="0"/>
                <w:sz w:val="17"/>
              </w:rPr>
              <w:t>Supersedes</w:t>
            </w:r>
          </w:p>
        </w:tc>
        <w:tc>
          <w:tcPr>
            <w:tcW w:type="dxa" w:w="7776"/>
            <w:vAlign w:val="top"/>
          </w:tcPr>
          <w:p>
            <w:pPr>
              <w:spacing w:after="0"/>
            </w:pPr>
            <w:r/>
            <w:r>
              <w:rPr>
                <w:rFonts w:ascii="Arial" w:hAnsi="Arial"/>
                <w:b w:val="0"/>
                <w:sz w:val="17"/>
              </w:rPr>
              <w:t>New SOP unless mapped to existing model development procedure</w:t>
            </w:r>
          </w:p>
        </w:tc>
      </w:tr>
    </w:tbl>
    <w:p>
      <w:pPr>
        <w:spacing w:after="20"/>
      </w:pPr>
    </w:p>
    <w:p>
      <w:pPr>
        <w:pStyle w:val="Heading2"/>
        <w:keepNext/>
      </w:pPr>
      <w:r>
        <w:t>Reference Frameworks and Regulatory Sources</w:t>
      </w:r>
    </w:p>
    <w:p>
      <w:r>
        <w:t>This SOP is written as a bank operating procedure and should be adapted to the jurisdiction, charter, product, and risk appetite of the institution. It is aligned to widely used model risk concepts such as sound development, independent validation, implementation control, ongoing monitoring, and board/senior management oversight. In 2026, U.S. federal banking agencies issued revised model risk management guidance updating the 2011 guidance; banks should use the version applicable to their supervisor and effective date. The NIST AI Risk Management Framework is also referenced for AI and machine-learning trustworthiness controls, and BCBS 239 is referenced where model data supports risk aggregation and reporting.</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1F4E79"/>
          </w:tcPr>
          <w:p>
            <w:pPr>
              <w:spacing w:after="0"/>
            </w:pPr>
            <w:r/>
            <w:r>
              <w:rPr>
                <w:rFonts w:ascii="Arial" w:hAnsi="Arial"/>
                <w:b/>
                <w:color w:val="FFFFFF"/>
                <w:sz w:val="17"/>
              </w:rPr>
              <w:t>Reference</w:t>
            </w:r>
          </w:p>
        </w:tc>
        <w:tc>
          <w:tcPr>
            <w:tcW w:type="dxa" w:w="6768"/>
            <w:vAlign w:val="top"/>
            <w:shd w:fill="1F4E79"/>
          </w:tcPr>
          <w:p>
            <w:pPr>
              <w:spacing w:after="0"/>
            </w:pPr>
            <w:r/>
            <w:r>
              <w:rPr>
                <w:rFonts w:ascii="Arial" w:hAnsi="Arial"/>
                <w:b/>
                <w:color w:val="FFFFFF"/>
                <w:sz w:val="17"/>
              </w:rPr>
              <w:t>How it is used in this SOP</w:t>
            </w:r>
          </w:p>
        </w:tc>
      </w:tr>
      <w:tr>
        <w:tc>
          <w:tcPr>
            <w:tcW w:type="dxa" w:w="3600"/>
            <w:vAlign w:val="top"/>
          </w:tcPr>
          <w:p>
            <w:pPr>
              <w:spacing w:after="0"/>
            </w:pPr>
            <w:r/>
            <w:r>
              <w:rPr>
                <w:rFonts w:ascii="Arial" w:hAnsi="Arial"/>
                <w:b w:val="0"/>
                <w:sz w:val="17"/>
              </w:rPr>
              <w:t>Federal Reserve / OCC / FDIC model risk management guidance, including the 2026 revised guidance and legacy SR 11-7 / OCC 2011-12 concepts</w:t>
            </w:r>
          </w:p>
        </w:tc>
        <w:tc>
          <w:tcPr>
            <w:tcW w:type="dxa" w:w="6768"/>
            <w:vAlign w:val="top"/>
          </w:tcPr>
          <w:p>
            <w:pPr>
              <w:spacing w:after="0"/>
            </w:pPr>
            <w:r/>
            <w:r>
              <w:rPr>
                <w:rFonts w:ascii="Arial" w:hAnsi="Arial"/>
                <w:b w:val="0"/>
                <w:sz w:val="17"/>
              </w:rPr>
              <w:t>Core model lifecycle expectations: development discipline, model use controls, independent review, governance, inventory, change control, and ongoing monitoring.</w:t>
            </w:r>
          </w:p>
        </w:tc>
      </w:tr>
      <w:tr>
        <w:tc>
          <w:tcPr>
            <w:tcW w:type="dxa" w:w="3600"/>
            <w:vAlign w:val="top"/>
            <w:shd w:fill="F2F6FB"/>
          </w:tcPr>
          <w:p>
            <w:pPr>
              <w:spacing w:after="0"/>
            </w:pPr>
            <w:r/>
            <w:r>
              <w:rPr>
                <w:rFonts w:ascii="Arial" w:hAnsi="Arial"/>
                <w:b w:val="0"/>
                <w:sz w:val="17"/>
              </w:rPr>
              <w:t>NIST AI Risk Management Framework 1.0</w:t>
            </w:r>
          </w:p>
        </w:tc>
        <w:tc>
          <w:tcPr>
            <w:tcW w:type="dxa" w:w="6768"/>
            <w:vAlign w:val="top"/>
            <w:shd w:fill="F2F6FB"/>
          </w:tcPr>
          <w:p>
            <w:pPr>
              <w:spacing w:after="0"/>
            </w:pPr>
            <w:r/>
            <w:r>
              <w:rPr>
                <w:rFonts w:ascii="Arial" w:hAnsi="Arial"/>
                <w:b w:val="0"/>
                <w:sz w:val="17"/>
              </w:rPr>
              <w:t>Additional AI/ML controls for fairness, explainability, robustness, transparency, privacy, safety, security, and human oversight.</w:t>
            </w:r>
          </w:p>
        </w:tc>
      </w:tr>
      <w:tr>
        <w:tc>
          <w:tcPr>
            <w:tcW w:type="dxa" w:w="3600"/>
            <w:vAlign w:val="top"/>
          </w:tcPr>
          <w:p>
            <w:pPr>
              <w:spacing w:after="0"/>
            </w:pPr>
            <w:r/>
            <w:r>
              <w:rPr>
                <w:rFonts w:ascii="Arial" w:hAnsi="Arial"/>
                <w:b w:val="0"/>
                <w:sz w:val="17"/>
              </w:rPr>
              <w:t>BCBS 239 principles for risk data aggregation and reporting</w:t>
            </w:r>
          </w:p>
        </w:tc>
        <w:tc>
          <w:tcPr>
            <w:tcW w:type="dxa" w:w="6768"/>
            <w:vAlign w:val="top"/>
          </w:tcPr>
          <w:p>
            <w:pPr>
              <w:spacing w:after="0"/>
            </w:pPr>
            <w:r/>
            <w:r>
              <w:rPr>
                <w:rFonts w:ascii="Arial" w:hAnsi="Arial"/>
                <w:b w:val="0"/>
                <w:sz w:val="17"/>
              </w:rPr>
              <w:t>Data governance, lineage, accuracy, completeness, timeliness, adaptability, and risk reporting controls where model outputs support risk management or regulatory reporting.</w:t>
            </w:r>
          </w:p>
        </w:tc>
      </w:tr>
      <w:tr>
        <w:tc>
          <w:tcPr>
            <w:tcW w:type="dxa" w:w="3600"/>
            <w:vAlign w:val="top"/>
            <w:shd w:fill="F2F6FB"/>
          </w:tcPr>
          <w:p>
            <w:pPr>
              <w:spacing w:after="0"/>
            </w:pPr>
            <w:r/>
            <w:r>
              <w:rPr>
                <w:rFonts w:ascii="Arial" w:hAnsi="Arial"/>
                <w:b w:val="0"/>
                <w:sz w:val="17"/>
              </w:rPr>
              <w:t>Internal bank policies</w:t>
            </w:r>
          </w:p>
        </w:tc>
        <w:tc>
          <w:tcPr>
            <w:tcW w:type="dxa" w:w="6768"/>
            <w:vAlign w:val="top"/>
            <w:shd w:fill="F2F6FB"/>
          </w:tcPr>
          <w:p>
            <w:pPr>
              <w:spacing w:after="0"/>
            </w:pPr>
            <w:r/>
            <w:r>
              <w:rPr>
                <w:rFonts w:ascii="Arial" w:hAnsi="Arial"/>
                <w:b w:val="0"/>
                <w:sz w:val="17"/>
              </w:rPr>
              <w:t>Model Risk Management Policy, Data Governance Policy, Information Security Policy, Privacy Policy, Third Party Risk Management Policy, Change Management Policy, Records Retention Policy, End User Computing Policy, and Credit/Fraud/Market/Operational Risk policies.</w:t>
            </w:r>
          </w:p>
        </w:tc>
      </w:tr>
    </w:tbl>
    <w:p>
      <w:pPr>
        <w:spacing w:after="20"/>
      </w:pPr>
    </w:p>
    <w:p>
      <w:pPr>
        <w:pStyle w:val="Heading2"/>
        <w:keepNext/>
      </w:pPr>
      <w:r>
        <w:t>How to Use This SOP</w:t>
      </w:r>
    </w:p>
    <w:p>
      <w:pPr>
        <w:pStyle w:val="ListBullet"/>
        <w:spacing w:after="40"/>
      </w:pPr>
      <w:r>
        <w:t>Use this SOP for every new model build, regardless of whether the model is developed internally, acquired from a vendor, configured from a platform, redeveloped from an existing model, or created as an interim tactical model.</w:t>
      </w:r>
    </w:p>
    <w:p>
      <w:pPr>
        <w:pStyle w:val="ListBullet"/>
        <w:spacing w:after="40"/>
      </w:pPr>
      <w:r>
        <w:t>Apply a risk-based approach: higher-risk models require deeper documentation, stronger testing, more senior approval, and tighter monitoring. Lower-risk tools may follow a proportionate pathway only if the model tiering decision is documented and approved.</w:t>
      </w:r>
    </w:p>
    <w:p>
      <w:pPr>
        <w:pStyle w:val="ListBullet"/>
        <w:spacing w:after="40"/>
      </w:pPr>
      <w:r>
        <w:t>Do not move a model into production, pilot decisioning, customer-impacting use, financial reporting, regulatory reporting, or automated decision workflow until the minimum approval gates in this SOP are satisfied.</w:t>
      </w:r>
    </w:p>
    <w:p>
      <w:pPr>
        <w:pStyle w:val="ListBullet"/>
        <w:spacing w:after="40"/>
      </w:pPr>
      <w:r>
        <w:t>Where local law, regulator expectations, or internal policy is stricter than this SOP, the stricter requirement prevails.</w:t>
      </w:r>
    </w:p>
    <w:p>
      <w:r>
        <w:br w:type="page"/>
      </w:r>
    </w:p>
    <w:p>
      <w:pPr>
        <w:pStyle w:val="Heading1"/>
        <w:keepNext/>
      </w:pPr>
      <w:r>
        <w:t>Table of Contents</w:t>
      </w:r>
    </w:p>
    <w:p>
      <w:r>
        <w:t>1. Purpose, Scope, and Definitions</w:t>
      </w:r>
    </w:p>
    <w:p>
      <w:r>
        <w:t>2. Model Lifecycle Overview</w:t>
      </w:r>
    </w:p>
    <w:p>
      <w:r>
        <w:t>3. Roles, Responsibilities, and Segregation of Duties</w:t>
      </w:r>
    </w:p>
    <w:p>
      <w:r>
        <w:t>4. Model Intake and Request Assessment</w:t>
      </w:r>
    </w:p>
    <w:p>
      <w:r>
        <w:t>5. Risk Tiering and Materiality Assessment</w:t>
      </w:r>
    </w:p>
    <w:p>
      <w:r>
        <w:t>6. Business Requirements and Use Case Definition</w:t>
      </w:r>
    </w:p>
    <w:p>
      <w:r>
        <w:t>7. Data Sourcing, Data Governance, and Data Readiness</w:t>
      </w:r>
    </w:p>
    <w:p>
      <w:r>
        <w:t>8. Model Design, Methodology Selection, and Development Plan</w:t>
      </w:r>
    </w:p>
    <w:p>
      <w:r>
        <w:t>9. Development Environment and Engineering Controls</w:t>
      </w:r>
    </w:p>
    <w:p>
      <w:r>
        <w:t>10. Model Build, Training, Calibration, and Feature Engineering</w:t>
      </w:r>
    </w:p>
    <w:p>
      <w:r>
        <w:t>11. Testing, Performance Assessment, and Benchmarking</w:t>
      </w:r>
    </w:p>
    <w:p>
      <w:r>
        <w:t>12. Explainability, Fairness, Ethics, and Consumer Impact Controls</w:t>
      </w:r>
    </w:p>
    <w:p>
      <w:r>
        <w:t>13. Documentation and Developer Evidence Pack</w:t>
      </w:r>
    </w:p>
    <w:p>
      <w:r>
        <w:t>14. Independent Model Validation</w:t>
      </w:r>
    </w:p>
    <w:p>
      <w:r>
        <w:t>15. Remediation, Challenge, and Issue Management</w:t>
      </w:r>
    </w:p>
    <w:p>
      <w:r>
        <w:t>16. Approval Governance and Decision Outcomes</w:t>
      </w:r>
    </w:p>
    <w:p>
      <w:r>
        <w:t>17. Implementation, Deployment, and Production Readiness</w:t>
      </w:r>
    </w:p>
    <w:p>
      <w:r>
        <w:t>18. Post-Implementation Verification</w:t>
      </w:r>
    </w:p>
    <w:p>
      <w:r>
        <w:t>19. Ongoing Monitoring and Periodic Review</w:t>
      </w:r>
    </w:p>
    <w:p>
      <w:r>
        <w:t>20. Model Change Management and Re-development</w:t>
      </w:r>
    </w:p>
    <w:p>
      <w:r>
        <w:t>21. Vendor and Third-Party Model Requirements</w:t>
      </w:r>
    </w:p>
    <w:p>
      <w:r>
        <w:t>22. End User Computing, Spreadsheets, and Tactical Models</w:t>
      </w:r>
    </w:p>
    <w:p>
      <w:r>
        <w:t>23. Security, Privacy, Records, and Auditability</w:t>
      </w:r>
    </w:p>
    <w:p>
      <w:r>
        <w:t>24. Exceptions and Non-Compliance</w:t>
      </w:r>
    </w:p>
    <w:p>
      <w:r>
        <w:t>25. Metrics, SLAs, and Management Reporting</w:t>
      </w:r>
    </w:p>
    <w:p>
      <w:r>
        <w:t>26. Appendices: Checklists, Templates, RACI, and Decision Logs</w:t>
      </w:r>
    </w:p>
    <w:p>
      <w:r>
        <w:br w:type="page"/>
      </w:r>
    </w:p>
    <w:p>
      <w:pPr>
        <w:pStyle w:val="Heading1"/>
        <w:keepNext/>
      </w:pPr>
      <w:r>
        <w:t>1. Purpose, Scope, and Definitions</w:t>
      </w:r>
    </w:p>
    <w:p>
      <w:pPr>
        <w:pStyle w:val="Heading2"/>
        <w:keepNext/>
      </w:pPr>
      <w:r>
        <w:t>1.1 Purpose</w:t>
      </w:r>
    </w:p>
    <w:p>
      <w:r>
        <w:t>The purpose of this Standard Operating Procedure is to define a controlled, repeatable, auditable process for developing new models within a bank. The SOP ensures that every model is developed for a clearly approved business purpose, supported by appropriate data, assessed for risk, independently challenged, approved by the appropriate governance body, implemented safely, and monitored after deployment.</w:t>
      </w:r>
    </w:p>
    <w:p>
      <w:r>
        <w:t>The SOP is intended to prevent model misuse, unapproved deployment, hidden assumptions, weak data lineage, undocumented overrides, unmanaged bias, security exposure, privacy breach, regulatory non-compliance, and operational failures. It is also intended to support effective business decisioning by ensuring models are fit for purpose, stable, explainable, reproducible, and controlled throughout their lifecycle.</w:t>
      </w:r>
    </w:p>
    <w:p>
      <w:pPr>
        <w:pStyle w:val="Heading2"/>
        <w:keepNext/>
      </w:pPr>
      <w:r>
        <w:t>1.2 In Scope</w:t>
      </w:r>
    </w:p>
    <w:p>
      <w:pPr>
        <w:pStyle w:val="ListBullet"/>
        <w:spacing w:after="40"/>
      </w:pPr>
      <w:r>
        <w:t>Credit underwriting, credit scoring, affordability, collections, provisioning, stress testing, capital, liquidity, market risk, counterparty credit risk, anti-money laundering, fraud, sanctions screening, pricing, profitability, customer segmentation, marketing eligibility, operational risk, finance forecasting, and regulatory reporting models.</w:t>
      </w:r>
    </w:p>
    <w:p>
      <w:pPr>
        <w:pStyle w:val="ListBullet"/>
        <w:spacing w:after="40"/>
      </w:pPr>
      <w:r>
        <w:t>AI/ML models including supervised learning, unsupervised learning, reinforcement learning, deep learning, generative AI components, natural language processing, computer vision, graph analytics, and automated feature generation.</w:t>
      </w:r>
    </w:p>
    <w:p>
      <w:pPr>
        <w:pStyle w:val="ListBullet"/>
        <w:spacing w:after="40"/>
      </w:pPr>
      <w:r>
        <w:t>Vendor models, hosted models, software-as-a-service analytics, bureau or third-party scorecards, decision engines, black-box models, challenger models, overlays, and model components embedded in platforms.</w:t>
      </w:r>
    </w:p>
    <w:p>
      <w:pPr>
        <w:pStyle w:val="ListBullet"/>
        <w:spacing w:after="40"/>
      </w:pPr>
      <w:r>
        <w:t>Rules engines, scorecards, algorithms, statistical forecasts, spreadsheets, calculators, end-user computing tools, and expert-judgement tools when they materially influence bank decisions.</w:t>
      </w:r>
    </w:p>
    <w:p>
      <w:pPr>
        <w:pStyle w:val="ListBullet"/>
        <w:spacing w:after="40"/>
      </w:pPr>
      <w:r>
        <w:t>Models used in production, pilots, parallel runs, champion/challenger tests, shadow mode, management reporting, regulatory reporting, and internal risk assessment.</w:t>
      </w:r>
    </w:p>
    <w:p>
      <w:pPr>
        <w:pStyle w:val="Heading2"/>
        <w:keepNext/>
      </w:pPr>
      <w:r>
        <w:t>1.3 Out of Scope</w:t>
      </w:r>
    </w:p>
    <w:p>
      <w:pPr>
        <w:pStyle w:val="ListBullet"/>
        <w:spacing w:after="40"/>
      </w:pPr>
      <w:r>
        <w:t>Simple calculations with no assumptions, no estimation, no predictive element, no judgemental calibration, and no material decision impact.</w:t>
      </w:r>
    </w:p>
    <w:p>
      <w:pPr>
        <w:pStyle w:val="ListBullet"/>
        <w:spacing w:after="40"/>
      </w:pPr>
      <w:r>
        <w:t>Standard reports that only retrieve and display approved data without transformation logic, unless the report embeds formulas, thresholds, rules, forecasts, scoring, or decisioning logic.</w:t>
      </w:r>
    </w:p>
    <w:p>
      <w:pPr>
        <w:pStyle w:val="ListBullet"/>
        <w:spacing w:after="40"/>
      </w:pPr>
      <w:r>
        <w:t>Temporary exploratory analysis that is not used to make, recommend, justify, or automate a bank decision. Exploratory work becomes in scope if it is shared as decision support or reused as a control.</w:t>
      </w:r>
    </w:p>
    <w:p>
      <w:r>
        <w:br w:type="page"/>
      </w:r>
    </w:p>
    <w:p>
      <w:pPr>
        <w:pStyle w:val="Heading2"/>
        <w:keepNext/>
      </w:pPr>
      <w:r>
        <w:t>1.4 Definitions</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4E79"/>
          </w:tcPr>
          <w:p>
            <w:pPr>
              <w:spacing w:after="0"/>
            </w:pPr>
            <w:r/>
            <w:r>
              <w:rPr>
                <w:rFonts w:ascii="Arial" w:hAnsi="Arial"/>
                <w:b/>
                <w:color w:val="FFFFFF"/>
                <w:sz w:val="17"/>
              </w:rPr>
              <w:t>Term</w:t>
            </w:r>
          </w:p>
        </w:tc>
        <w:tc>
          <w:tcPr>
            <w:tcW w:type="dxa" w:w="7920"/>
            <w:vAlign w:val="top"/>
            <w:shd w:fill="1F4E79"/>
          </w:tcPr>
          <w:p>
            <w:pPr>
              <w:spacing w:after="0"/>
            </w:pPr>
            <w:r/>
            <w:r>
              <w:rPr>
                <w:rFonts w:ascii="Arial" w:hAnsi="Arial"/>
                <w:b/>
                <w:color w:val="FFFFFF"/>
                <w:sz w:val="17"/>
              </w:rPr>
              <w:t>Definition</w:t>
            </w:r>
          </w:p>
        </w:tc>
      </w:tr>
      <w:tr>
        <w:tc>
          <w:tcPr>
            <w:tcW w:type="dxa" w:w="2448"/>
            <w:vAlign w:val="top"/>
          </w:tcPr>
          <w:p>
            <w:pPr>
              <w:spacing w:after="0"/>
            </w:pPr>
            <w:r/>
            <w:r>
              <w:rPr>
                <w:rFonts w:ascii="Arial" w:hAnsi="Arial"/>
                <w:b w:val="0"/>
                <w:sz w:val="17"/>
              </w:rPr>
              <w:t>Model</w:t>
            </w:r>
          </w:p>
        </w:tc>
        <w:tc>
          <w:tcPr>
            <w:tcW w:type="dxa" w:w="7920"/>
            <w:vAlign w:val="top"/>
          </w:tcPr>
          <w:p>
            <w:pPr>
              <w:spacing w:after="0"/>
            </w:pPr>
            <w:r/>
            <w:r>
              <w:rPr>
                <w:rFonts w:ascii="Arial" w:hAnsi="Arial"/>
                <w:b w:val="0"/>
                <w:sz w:val="17"/>
              </w:rPr>
              <w:t>A quantitative, statistical, algorithmic, rules-based, AI/ML, judgemental, or hybrid method that processes inputs and assumptions to produce outputs used for business, risk, financial, operational, customer, or regulatory decisions.</w:t>
            </w:r>
          </w:p>
        </w:tc>
      </w:tr>
      <w:tr>
        <w:tc>
          <w:tcPr>
            <w:tcW w:type="dxa" w:w="2448"/>
            <w:vAlign w:val="top"/>
            <w:shd w:fill="F2F6FB"/>
          </w:tcPr>
          <w:p>
            <w:pPr>
              <w:spacing w:after="0"/>
            </w:pPr>
            <w:r/>
            <w:r>
              <w:rPr>
                <w:rFonts w:ascii="Arial" w:hAnsi="Arial"/>
                <w:b w:val="0"/>
                <w:sz w:val="17"/>
              </w:rPr>
              <w:t>Model owner</w:t>
            </w:r>
          </w:p>
        </w:tc>
        <w:tc>
          <w:tcPr>
            <w:tcW w:type="dxa" w:w="7920"/>
            <w:vAlign w:val="top"/>
            <w:shd w:fill="F2F6FB"/>
          </w:tcPr>
          <w:p>
            <w:pPr>
              <w:spacing w:after="0"/>
            </w:pPr>
            <w:r/>
            <w:r>
              <w:rPr>
                <w:rFonts w:ascii="Arial" w:hAnsi="Arial"/>
                <w:b w:val="0"/>
                <w:sz w:val="17"/>
              </w:rPr>
              <w:t>The accountable business or risk executive responsible for the model purpose, use, performance, controls, funding, and compliance with this SOP.</w:t>
            </w:r>
          </w:p>
        </w:tc>
      </w:tr>
      <w:tr>
        <w:tc>
          <w:tcPr>
            <w:tcW w:type="dxa" w:w="2448"/>
            <w:vAlign w:val="top"/>
          </w:tcPr>
          <w:p>
            <w:pPr>
              <w:spacing w:after="0"/>
            </w:pPr>
            <w:r/>
            <w:r>
              <w:rPr>
                <w:rFonts w:ascii="Arial" w:hAnsi="Arial"/>
                <w:b w:val="0"/>
                <w:sz w:val="17"/>
              </w:rPr>
              <w:t>Model developer</w:t>
            </w:r>
          </w:p>
        </w:tc>
        <w:tc>
          <w:tcPr>
            <w:tcW w:type="dxa" w:w="7920"/>
            <w:vAlign w:val="top"/>
          </w:tcPr>
          <w:p>
            <w:pPr>
              <w:spacing w:after="0"/>
            </w:pPr>
            <w:r/>
            <w:r>
              <w:rPr>
                <w:rFonts w:ascii="Arial" w:hAnsi="Arial"/>
                <w:b w:val="0"/>
                <w:sz w:val="17"/>
              </w:rPr>
              <w:t>The individual or team designing, coding, training, calibrating, documenting, and testing the model before independent validation.</w:t>
            </w:r>
          </w:p>
        </w:tc>
      </w:tr>
      <w:tr>
        <w:tc>
          <w:tcPr>
            <w:tcW w:type="dxa" w:w="2448"/>
            <w:vAlign w:val="top"/>
            <w:shd w:fill="F2F6FB"/>
          </w:tcPr>
          <w:p>
            <w:pPr>
              <w:spacing w:after="0"/>
            </w:pPr>
            <w:r/>
            <w:r>
              <w:rPr>
                <w:rFonts w:ascii="Arial" w:hAnsi="Arial"/>
                <w:b w:val="0"/>
                <w:sz w:val="17"/>
              </w:rPr>
              <w:t>Model validator</w:t>
            </w:r>
          </w:p>
        </w:tc>
        <w:tc>
          <w:tcPr>
            <w:tcW w:type="dxa" w:w="7920"/>
            <w:vAlign w:val="top"/>
            <w:shd w:fill="F2F6FB"/>
          </w:tcPr>
          <w:p>
            <w:pPr>
              <w:spacing w:after="0"/>
            </w:pPr>
            <w:r/>
            <w:r>
              <w:rPr>
                <w:rFonts w:ascii="Arial" w:hAnsi="Arial"/>
                <w:b w:val="0"/>
                <w:sz w:val="17"/>
              </w:rPr>
              <w:t>The independent function that challenges model conceptual soundness, data, implementation, performance, limitations, and use controls.</w:t>
            </w:r>
          </w:p>
        </w:tc>
      </w:tr>
      <w:tr>
        <w:tc>
          <w:tcPr>
            <w:tcW w:type="dxa" w:w="2448"/>
            <w:vAlign w:val="top"/>
          </w:tcPr>
          <w:p>
            <w:pPr>
              <w:spacing w:after="0"/>
            </w:pPr>
            <w:r/>
            <w:r>
              <w:rPr>
                <w:rFonts w:ascii="Arial" w:hAnsi="Arial"/>
                <w:b w:val="0"/>
                <w:sz w:val="17"/>
              </w:rPr>
              <w:t>Model Risk Management (MRM)</w:t>
            </w:r>
          </w:p>
        </w:tc>
        <w:tc>
          <w:tcPr>
            <w:tcW w:type="dxa" w:w="7920"/>
            <w:vAlign w:val="top"/>
          </w:tcPr>
          <w:p>
            <w:pPr>
              <w:spacing w:after="0"/>
            </w:pPr>
            <w:r/>
            <w:r>
              <w:rPr>
                <w:rFonts w:ascii="Arial" w:hAnsi="Arial"/>
                <w:b w:val="0"/>
                <w:sz w:val="17"/>
              </w:rPr>
              <w:t>The second-line function responsible for model governance, inventory, tiering, validation standards, policy interpretation, approvals coordination, issues tracking, and model risk reporting.</w:t>
            </w:r>
          </w:p>
        </w:tc>
      </w:tr>
      <w:tr>
        <w:tc>
          <w:tcPr>
            <w:tcW w:type="dxa" w:w="2448"/>
            <w:vAlign w:val="top"/>
            <w:shd w:fill="F2F6FB"/>
          </w:tcPr>
          <w:p>
            <w:pPr>
              <w:spacing w:after="0"/>
            </w:pPr>
            <w:r/>
            <w:r>
              <w:rPr>
                <w:rFonts w:ascii="Arial" w:hAnsi="Arial"/>
                <w:b w:val="0"/>
                <w:sz w:val="17"/>
              </w:rPr>
              <w:t>Material model change</w:t>
            </w:r>
          </w:p>
        </w:tc>
        <w:tc>
          <w:tcPr>
            <w:tcW w:type="dxa" w:w="7920"/>
            <w:vAlign w:val="top"/>
            <w:shd w:fill="F2F6FB"/>
          </w:tcPr>
          <w:p>
            <w:pPr>
              <w:spacing w:after="0"/>
            </w:pPr>
            <w:r/>
            <w:r>
              <w:rPr>
                <w:rFonts w:ascii="Arial" w:hAnsi="Arial"/>
                <w:b w:val="0"/>
                <w:sz w:val="17"/>
              </w:rPr>
              <w:t>A change to methodology, data, segmentation, assumptions, code, platform, thresholds, use, population, output interpretation, monitoring, or governance that may materially affect model performance, risk, fairness, compliance, or business outcome.</w:t>
            </w:r>
          </w:p>
        </w:tc>
      </w:tr>
      <w:tr>
        <w:tc>
          <w:tcPr>
            <w:tcW w:type="dxa" w:w="2448"/>
            <w:vAlign w:val="top"/>
          </w:tcPr>
          <w:p>
            <w:pPr>
              <w:spacing w:after="0"/>
            </w:pPr>
            <w:r/>
            <w:r>
              <w:rPr>
                <w:rFonts w:ascii="Arial" w:hAnsi="Arial"/>
                <w:b w:val="0"/>
                <w:sz w:val="17"/>
              </w:rPr>
              <w:t>Production use</w:t>
            </w:r>
          </w:p>
        </w:tc>
        <w:tc>
          <w:tcPr>
            <w:tcW w:type="dxa" w:w="7920"/>
            <w:vAlign w:val="top"/>
          </w:tcPr>
          <w:p>
            <w:pPr>
              <w:spacing w:after="0"/>
            </w:pPr>
            <w:r/>
            <w:r>
              <w:rPr>
                <w:rFonts w:ascii="Arial" w:hAnsi="Arial"/>
                <w:b w:val="0"/>
                <w:sz w:val="17"/>
              </w:rPr>
              <w:t>Any use of a model output to make, recommend, approve, decline, price, limit, report, reserve, monitor, or control a bank decision or obligation.</w:t>
            </w:r>
          </w:p>
        </w:tc>
      </w:tr>
      <w:tr>
        <w:tc>
          <w:tcPr>
            <w:tcW w:type="dxa" w:w="2448"/>
            <w:vAlign w:val="top"/>
            <w:shd w:fill="F2F6FB"/>
          </w:tcPr>
          <w:p>
            <w:pPr>
              <w:spacing w:after="0"/>
            </w:pPr>
            <w:r/>
            <w:r>
              <w:rPr>
                <w:rFonts w:ascii="Arial" w:hAnsi="Arial"/>
                <w:b w:val="0"/>
                <w:sz w:val="17"/>
              </w:rPr>
              <w:t>Pilot or shadow use</w:t>
            </w:r>
          </w:p>
        </w:tc>
        <w:tc>
          <w:tcPr>
            <w:tcW w:type="dxa" w:w="7920"/>
            <w:vAlign w:val="top"/>
            <w:shd w:fill="F2F6FB"/>
          </w:tcPr>
          <w:p>
            <w:pPr>
              <w:spacing w:after="0"/>
            </w:pPr>
            <w:r/>
            <w:r>
              <w:rPr>
                <w:rFonts w:ascii="Arial" w:hAnsi="Arial"/>
                <w:b w:val="0"/>
                <w:sz w:val="17"/>
              </w:rPr>
              <w:t>Controlled use where results are observed or compared but do not directly drive final decisions unless specifically approved with safeguards.</w:t>
            </w:r>
          </w:p>
        </w:tc>
      </w:tr>
      <w:tr>
        <w:tc>
          <w:tcPr>
            <w:tcW w:type="dxa" w:w="2448"/>
            <w:vAlign w:val="top"/>
          </w:tcPr>
          <w:p>
            <w:pPr>
              <w:spacing w:after="0"/>
            </w:pPr>
            <w:r/>
            <w:r>
              <w:rPr>
                <w:rFonts w:ascii="Arial" w:hAnsi="Arial"/>
                <w:b w:val="0"/>
                <w:sz w:val="17"/>
              </w:rPr>
              <w:t>Decline decision</w:t>
            </w:r>
          </w:p>
        </w:tc>
        <w:tc>
          <w:tcPr>
            <w:tcW w:type="dxa" w:w="7920"/>
            <w:vAlign w:val="top"/>
          </w:tcPr>
          <w:p>
            <w:pPr>
              <w:spacing w:after="0"/>
            </w:pPr>
            <w:r/>
            <w:r>
              <w:rPr>
                <w:rFonts w:ascii="Arial" w:hAnsi="Arial"/>
                <w:b w:val="0"/>
                <w:sz w:val="17"/>
              </w:rPr>
              <w:t>A governance outcome where the proposed model is not approved for development continuation, validation, implementation, or use.</w:t>
            </w:r>
          </w:p>
        </w:tc>
      </w:tr>
    </w:tbl>
    <w:p>
      <w:pPr>
        <w:spacing w:after="20"/>
      </w:pPr>
    </w:p>
    <w:p>
      <w:r>
        <w:br w:type="page"/>
      </w:r>
    </w:p>
    <w:p>
      <w:pPr>
        <w:pStyle w:val="Heading1"/>
        <w:keepNext/>
      </w:pPr>
      <w:r>
        <w:t>2. Model Lifecycle Overview</w:t>
      </w:r>
    </w:p>
    <w:p>
      <w:r>
        <w:t>The lifecycle is structured as a sequence of control gates. A model may not advance to the next gate unless required evidence is complete, required reviewers have signed off, and open issues are within approved tolerance.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vAlign w:val="top"/>
            <w:shd w:fill="1F4E79"/>
          </w:tcPr>
          <w:p>
            <w:pPr>
              <w:spacing w:after="0"/>
            </w:pPr>
            <w:r/>
            <w:r>
              <w:rPr>
                <w:rFonts w:ascii="Arial" w:hAnsi="Arial"/>
                <w:b/>
                <w:color w:val="FFFFFF"/>
                <w:sz w:val="17"/>
              </w:rPr>
              <w:t>Gate</w:t>
            </w:r>
          </w:p>
        </w:tc>
        <w:tc>
          <w:tcPr>
            <w:tcW w:type="dxa" w:w="2016"/>
            <w:vAlign w:val="top"/>
            <w:shd w:fill="1F4E79"/>
          </w:tcPr>
          <w:p>
            <w:pPr>
              <w:spacing w:after="0"/>
            </w:pPr>
            <w:r/>
            <w:r>
              <w:rPr>
                <w:rFonts w:ascii="Arial" w:hAnsi="Arial"/>
                <w:b/>
                <w:color w:val="FFFFFF"/>
                <w:sz w:val="17"/>
              </w:rPr>
              <w:t>Stage</w:t>
            </w:r>
          </w:p>
        </w:tc>
        <w:tc>
          <w:tcPr>
            <w:tcW w:type="dxa" w:w="3312"/>
            <w:vAlign w:val="top"/>
            <w:shd w:fill="1F4E79"/>
          </w:tcPr>
          <w:p>
            <w:pPr>
              <w:spacing w:after="0"/>
            </w:pPr>
            <w:r/>
            <w:r>
              <w:rPr>
                <w:rFonts w:ascii="Arial" w:hAnsi="Arial"/>
                <w:b/>
                <w:color w:val="FFFFFF"/>
                <w:sz w:val="17"/>
              </w:rPr>
              <w:t>Primary objective</w:t>
            </w:r>
          </w:p>
        </w:tc>
        <w:tc>
          <w:tcPr>
            <w:tcW w:type="dxa" w:w="4176"/>
            <w:vAlign w:val="top"/>
            <w:shd w:fill="1F4E79"/>
          </w:tcPr>
          <w:p>
            <w:pPr>
              <w:spacing w:after="0"/>
            </w:pPr>
            <w:r/>
            <w:r>
              <w:rPr>
                <w:rFonts w:ascii="Arial" w:hAnsi="Arial"/>
                <w:b/>
                <w:color w:val="FFFFFF"/>
                <w:sz w:val="17"/>
              </w:rPr>
              <w:t>Minimum evidence</w:t>
            </w:r>
          </w:p>
        </w:tc>
      </w:tr>
      <w:tr>
        <w:tc>
          <w:tcPr>
            <w:tcW w:type="dxa" w:w="864"/>
            <w:vAlign w:val="top"/>
          </w:tcPr>
          <w:p>
            <w:pPr>
              <w:spacing w:after="0"/>
            </w:pPr>
            <w:r/>
            <w:r>
              <w:rPr>
                <w:rFonts w:ascii="Arial" w:hAnsi="Arial"/>
                <w:b w:val="0"/>
                <w:sz w:val="17"/>
              </w:rPr>
              <w:t>G0</w:t>
            </w:r>
          </w:p>
        </w:tc>
        <w:tc>
          <w:tcPr>
            <w:tcW w:type="dxa" w:w="2016"/>
            <w:vAlign w:val="top"/>
          </w:tcPr>
          <w:p>
            <w:pPr>
              <w:spacing w:after="0"/>
            </w:pPr>
            <w:r/>
            <w:r>
              <w:rPr>
                <w:rFonts w:ascii="Arial" w:hAnsi="Arial"/>
                <w:b w:val="0"/>
                <w:sz w:val="17"/>
              </w:rPr>
              <w:t>Idea and Intake</w:t>
            </w:r>
          </w:p>
        </w:tc>
        <w:tc>
          <w:tcPr>
            <w:tcW w:type="dxa" w:w="3312"/>
            <w:vAlign w:val="top"/>
          </w:tcPr>
          <w:p>
            <w:pPr>
              <w:spacing w:after="0"/>
            </w:pPr>
            <w:r/>
            <w:r>
              <w:rPr>
                <w:rFonts w:ascii="Arial" w:hAnsi="Arial"/>
                <w:b w:val="0"/>
                <w:sz w:val="17"/>
              </w:rPr>
              <w:t>Confirm the model request is legitimate, aligned to strategy, and entered into governance.</w:t>
            </w:r>
          </w:p>
        </w:tc>
        <w:tc>
          <w:tcPr>
            <w:tcW w:type="dxa" w:w="4176"/>
            <w:vAlign w:val="top"/>
          </w:tcPr>
          <w:p>
            <w:pPr>
              <w:spacing w:after="0"/>
            </w:pPr>
            <w:r/>
            <w:r>
              <w:rPr>
                <w:rFonts w:ascii="Arial" w:hAnsi="Arial"/>
                <w:b w:val="0"/>
                <w:sz w:val="17"/>
              </w:rPr>
              <w:t>Intake form, sponsor, use case, preliminary risk, initial data sources, target date, expected users.</w:t>
            </w:r>
          </w:p>
        </w:tc>
      </w:tr>
      <w:tr>
        <w:tc>
          <w:tcPr>
            <w:tcW w:type="dxa" w:w="864"/>
            <w:vAlign w:val="top"/>
            <w:shd w:fill="F2F6FB"/>
          </w:tcPr>
          <w:p>
            <w:pPr>
              <w:spacing w:after="0"/>
            </w:pPr>
            <w:r/>
            <w:r>
              <w:rPr>
                <w:rFonts w:ascii="Arial" w:hAnsi="Arial"/>
                <w:b w:val="0"/>
                <w:sz w:val="17"/>
              </w:rPr>
              <w:t>G1</w:t>
            </w:r>
          </w:p>
        </w:tc>
        <w:tc>
          <w:tcPr>
            <w:tcW w:type="dxa" w:w="2016"/>
            <w:vAlign w:val="top"/>
            <w:shd w:fill="F2F6FB"/>
          </w:tcPr>
          <w:p>
            <w:pPr>
              <w:spacing w:after="0"/>
            </w:pPr>
            <w:r/>
            <w:r>
              <w:rPr>
                <w:rFonts w:ascii="Arial" w:hAnsi="Arial"/>
                <w:b w:val="0"/>
                <w:sz w:val="17"/>
              </w:rPr>
              <w:t>Triage and Tiering</w:t>
            </w:r>
          </w:p>
        </w:tc>
        <w:tc>
          <w:tcPr>
            <w:tcW w:type="dxa" w:w="3312"/>
            <w:vAlign w:val="top"/>
            <w:shd w:fill="F2F6FB"/>
          </w:tcPr>
          <w:p>
            <w:pPr>
              <w:spacing w:after="0"/>
            </w:pPr>
            <w:r/>
            <w:r>
              <w:rPr>
                <w:rFonts w:ascii="Arial" w:hAnsi="Arial"/>
                <w:b w:val="0"/>
                <w:sz w:val="17"/>
              </w:rPr>
              <w:t>Classify model type, risk tier, materiality, validation route, and approval path.</w:t>
            </w:r>
          </w:p>
        </w:tc>
        <w:tc>
          <w:tcPr>
            <w:tcW w:type="dxa" w:w="4176"/>
            <w:vAlign w:val="top"/>
            <w:shd w:fill="F2F6FB"/>
          </w:tcPr>
          <w:p>
            <w:pPr>
              <w:spacing w:after="0"/>
            </w:pPr>
            <w:r/>
            <w:r>
              <w:rPr>
                <w:rFonts w:ascii="Arial" w:hAnsi="Arial"/>
                <w:b w:val="0"/>
                <w:sz w:val="17"/>
              </w:rPr>
              <w:t>Tiering assessment, policy applicability decision, inventory shell record, governance owner.</w:t>
            </w:r>
          </w:p>
        </w:tc>
      </w:tr>
      <w:tr>
        <w:tc>
          <w:tcPr>
            <w:tcW w:type="dxa" w:w="864"/>
            <w:vAlign w:val="top"/>
          </w:tcPr>
          <w:p>
            <w:pPr>
              <w:spacing w:after="0"/>
            </w:pPr>
            <w:r/>
            <w:r>
              <w:rPr>
                <w:rFonts w:ascii="Arial" w:hAnsi="Arial"/>
                <w:b w:val="0"/>
                <w:sz w:val="17"/>
              </w:rPr>
              <w:t>G2</w:t>
            </w:r>
          </w:p>
        </w:tc>
        <w:tc>
          <w:tcPr>
            <w:tcW w:type="dxa" w:w="2016"/>
            <w:vAlign w:val="top"/>
          </w:tcPr>
          <w:p>
            <w:pPr>
              <w:spacing w:after="0"/>
            </w:pPr>
            <w:r/>
            <w:r>
              <w:rPr>
                <w:rFonts w:ascii="Arial" w:hAnsi="Arial"/>
                <w:b w:val="0"/>
                <w:sz w:val="17"/>
              </w:rPr>
              <w:t>Requirements Approval</w:t>
            </w:r>
          </w:p>
        </w:tc>
        <w:tc>
          <w:tcPr>
            <w:tcW w:type="dxa" w:w="3312"/>
            <w:vAlign w:val="top"/>
          </w:tcPr>
          <w:p>
            <w:pPr>
              <w:spacing w:after="0"/>
            </w:pPr>
            <w:r/>
            <w:r>
              <w:rPr>
                <w:rFonts w:ascii="Arial" w:hAnsi="Arial"/>
                <w:b w:val="0"/>
                <w:sz w:val="17"/>
              </w:rPr>
              <w:t>Approve business purpose, decision use, constraints, success criteria, and prohibited uses.</w:t>
            </w:r>
          </w:p>
        </w:tc>
        <w:tc>
          <w:tcPr>
            <w:tcW w:type="dxa" w:w="4176"/>
            <w:vAlign w:val="top"/>
          </w:tcPr>
          <w:p>
            <w:pPr>
              <w:spacing w:after="0"/>
            </w:pPr>
            <w:r/>
            <w:r>
              <w:rPr>
                <w:rFonts w:ascii="Arial" w:hAnsi="Arial"/>
                <w:b w:val="0"/>
                <w:sz w:val="17"/>
              </w:rPr>
              <w:t>Requirements document, target population, outcome definition, KPIs, control requirements.</w:t>
            </w:r>
          </w:p>
        </w:tc>
      </w:tr>
      <w:tr>
        <w:tc>
          <w:tcPr>
            <w:tcW w:type="dxa" w:w="864"/>
            <w:vAlign w:val="top"/>
            <w:shd w:fill="F2F6FB"/>
          </w:tcPr>
          <w:p>
            <w:pPr>
              <w:spacing w:after="0"/>
            </w:pPr>
            <w:r/>
            <w:r>
              <w:rPr>
                <w:rFonts w:ascii="Arial" w:hAnsi="Arial"/>
                <w:b w:val="0"/>
                <w:sz w:val="17"/>
              </w:rPr>
              <w:t>G3</w:t>
            </w:r>
          </w:p>
        </w:tc>
        <w:tc>
          <w:tcPr>
            <w:tcW w:type="dxa" w:w="2016"/>
            <w:vAlign w:val="top"/>
            <w:shd w:fill="F2F6FB"/>
          </w:tcPr>
          <w:p>
            <w:pPr>
              <w:spacing w:after="0"/>
            </w:pPr>
            <w:r/>
            <w:r>
              <w:rPr>
                <w:rFonts w:ascii="Arial" w:hAnsi="Arial"/>
                <w:b w:val="0"/>
                <w:sz w:val="17"/>
              </w:rPr>
              <w:t>Data Readiness</w:t>
            </w:r>
          </w:p>
        </w:tc>
        <w:tc>
          <w:tcPr>
            <w:tcW w:type="dxa" w:w="3312"/>
            <w:vAlign w:val="top"/>
            <w:shd w:fill="F2F6FB"/>
          </w:tcPr>
          <w:p>
            <w:pPr>
              <w:spacing w:after="0"/>
            </w:pPr>
            <w:r/>
            <w:r>
              <w:rPr>
                <w:rFonts w:ascii="Arial" w:hAnsi="Arial"/>
                <w:b w:val="0"/>
                <w:sz w:val="17"/>
              </w:rPr>
              <w:t>Confirm data is approved, available, lawful, representative, traceable, and fit for development.</w:t>
            </w:r>
          </w:p>
        </w:tc>
        <w:tc>
          <w:tcPr>
            <w:tcW w:type="dxa" w:w="4176"/>
            <w:vAlign w:val="top"/>
            <w:shd w:fill="F2F6FB"/>
          </w:tcPr>
          <w:p>
            <w:pPr>
              <w:spacing w:after="0"/>
            </w:pPr>
            <w:r/>
            <w:r>
              <w:rPr>
                <w:rFonts w:ascii="Arial" w:hAnsi="Arial"/>
                <w:b w:val="0"/>
                <w:sz w:val="17"/>
              </w:rPr>
              <w:t>Data source approvals, lineage, data quality results, privacy assessment, sample design.</w:t>
            </w:r>
          </w:p>
        </w:tc>
      </w:tr>
      <w:tr>
        <w:tc>
          <w:tcPr>
            <w:tcW w:type="dxa" w:w="864"/>
            <w:vAlign w:val="top"/>
          </w:tcPr>
          <w:p>
            <w:pPr>
              <w:spacing w:after="0"/>
            </w:pPr>
            <w:r/>
            <w:r>
              <w:rPr>
                <w:rFonts w:ascii="Arial" w:hAnsi="Arial"/>
                <w:b w:val="0"/>
                <w:sz w:val="17"/>
              </w:rPr>
              <w:t>G4</w:t>
            </w:r>
          </w:p>
        </w:tc>
        <w:tc>
          <w:tcPr>
            <w:tcW w:type="dxa" w:w="2016"/>
            <w:vAlign w:val="top"/>
          </w:tcPr>
          <w:p>
            <w:pPr>
              <w:spacing w:after="0"/>
            </w:pPr>
            <w:r/>
            <w:r>
              <w:rPr>
                <w:rFonts w:ascii="Arial" w:hAnsi="Arial"/>
                <w:b w:val="0"/>
                <w:sz w:val="17"/>
              </w:rPr>
              <w:t>Development Complete</w:t>
            </w:r>
          </w:p>
        </w:tc>
        <w:tc>
          <w:tcPr>
            <w:tcW w:type="dxa" w:w="3312"/>
            <w:vAlign w:val="top"/>
          </w:tcPr>
          <w:p>
            <w:pPr>
              <w:spacing w:after="0"/>
            </w:pPr>
            <w:r/>
            <w:r>
              <w:rPr>
                <w:rFonts w:ascii="Arial" w:hAnsi="Arial"/>
                <w:b w:val="0"/>
                <w:sz w:val="17"/>
              </w:rPr>
              <w:t>Complete model build, internal testing, documentation, and developer challenge.</w:t>
            </w:r>
          </w:p>
        </w:tc>
        <w:tc>
          <w:tcPr>
            <w:tcW w:type="dxa" w:w="4176"/>
            <w:vAlign w:val="top"/>
          </w:tcPr>
          <w:p>
            <w:pPr>
              <w:spacing w:after="0"/>
            </w:pPr>
            <w:r/>
            <w:r>
              <w:rPr>
                <w:rFonts w:ascii="Arial" w:hAnsi="Arial"/>
                <w:b w:val="0"/>
                <w:sz w:val="17"/>
              </w:rPr>
              <w:t>Code, model documentation, performance results, limitations, explainability, reproducibility pack.</w:t>
            </w:r>
          </w:p>
        </w:tc>
      </w:tr>
      <w:tr>
        <w:tc>
          <w:tcPr>
            <w:tcW w:type="dxa" w:w="864"/>
            <w:vAlign w:val="top"/>
            <w:shd w:fill="F2F6FB"/>
          </w:tcPr>
          <w:p>
            <w:pPr>
              <w:spacing w:after="0"/>
            </w:pPr>
            <w:r/>
            <w:r>
              <w:rPr>
                <w:rFonts w:ascii="Arial" w:hAnsi="Arial"/>
                <w:b w:val="0"/>
                <w:sz w:val="17"/>
              </w:rPr>
              <w:t>G5</w:t>
            </w:r>
          </w:p>
        </w:tc>
        <w:tc>
          <w:tcPr>
            <w:tcW w:type="dxa" w:w="2016"/>
            <w:vAlign w:val="top"/>
            <w:shd w:fill="F2F6FB"/>
          </w:tcPr>
          <w:p>
            <w:pPr>
              <w:spacing w:after="0"/>
            </w:pPr>
            <w:r/>
            <w:r>
              <w:rPr>
                <w:rFonts w:ascii="Arial" w:hAnsi="Arial"/>
                <w:b w:val="0"/>
                <w:sz w:val="17"/>
              </w:rPr>
              <w:t>Independent Validation</w:t>
            </w:r>
          </w:p>
        </w:tc>
        <w:tc>
          <w:tcPr>
            <w:tcW w:type="dxa" w:w="3312"/>
            <w:vAlign w:val="top"/>
            <w:shd w:fill="F2F6FB"/>
          </w:tcPr>
          <w:p>
            <w:pPr>
              <w:spacing w:after="0"/>
            </w:pPr>
            <w:r/>
            <w:r>
              <w:rPr>
                <w:rFonts w:ascii="Arial" w:hAnsi="Arial"/>
                <w:b w:val="0"/>
                <w:sz w:val="17"/>
              </w:rPr>
              <w:t>Challenge model soundness, implementation, data, performance, use, monitoring, and limitations.</w:t>
            </w:r>
          </w:p>
        </w:tc>
        <w:tc>
          <w:tcPr>
            <w:tcW w:type="dxa" w:w="4176"/>
            <w:vAlign w:val="top"/>
            <w:shd w:fill="F2F6FB"/>
          </w:tcPr>
          <w:p>
            <w:pPr>
              <w:spacing w:after="0"/>
            </w:pPr>
            <w:r/>
            <w:r>
              <w:rPr>
                <w:rFonts w:ascii="Arial" w:hAnsi="Arial"/>
                <w:b w:val="0"/>
                <w:sz w:val="17"/>
              </w:rPr>
              <w:t>Validation report, findings, severity ratings, required remediation, validation opinion.</w:t>
            </w:r>
          </w:p>
        </w:tc>
      </w:tr>
      <w:tr>
        <w:tc>
          <w:tcPr>
            <w:tcW w:type="dxa" w:w="864"/>
            <w:vAlign w:val="top"/>
          </w:tcPr>
          <w:p>
            <w:pPr>
              <w:spacing w:after="0"/>
            </w:pPr>
            <w:r/>
            <w:r>
              <w:rPr>
                <w:rFonts w:ascii="Arial" w:hAnsi="Arial"/>
                <w:b w:val="0"/>
                <w:sz w:val="17"/>
              </w:rPr>
              <w:t>G6</w:t>
            </w:r>
          </w:p>
        </w:tc>
        <w:tc>
          <w:tcPr>
            <w:tcW w:type="dxa" w:w="2016"/>
            <w:vAlign w:val="top"/>
          </w:tcPr>
          <w:p>
            <w:pPr>
              <w:spacing w:after="0"/>
            </w:pPr>
            <w:r/>
            <w:r>
              <w:rPr>
                <w:rFonts w:ascii="Arial" w:hAnsi="Arial"/>
                <w:b w:val="0"/>
                <w:sz w:val="17"/>
              </w:rPr>
              <w:t>Approval Decision</w:t>
            </w:r>
          </w:p>
        </w:tc>
        <w:tc>
          <w:tcPr>
            <w:tcW w:type="dxa" w:w="3312"/>
            <w:vAlign w:val="top"/>
          </w:tcPr>
          <w:p>
            <w:pPr>
              <w:spacing w:after="0"/>
            </w:pPr>
            <w:r/>
            <w:r>
              <w:rPr>
                <w:rFonts w:ascii="Arial" w:hAnsi="Arial"/>
                <w:b w:val="0"/>
                <w:sz w:val="17"/>
              </w:rPr>
              <w:t>Approve, conditionally approve, defer, or decline the model for production or pilot use.</w:t>
            </w:r>
          </w:p>
        </w:tc>
        <w:tc>
          <w:tcPr>
            <w:tcW w:type="dxa" w:w="4176"/>
            <w:vAlign w:val="top"/>
          </w:tcPr>
          <w:p>
            <w:pPr>
              <w:spacing w:after="0"/>
            </w:pPr>
            <w:r/>
            <w:r>
              <w:rPr>
                <w:rFonts w:ascii="Arial" w:hAnsi="Arial"/>
                <w:b w:val="0"/>
                <w:sz w:val="17"/>
              </w:rPr>
              <w:t>Committee minutes, approvals, conditions, issue acceptance, production readiness sign-off.</w:t>
            </w:r>
          </w:p>
        </w:tc>
      </w:tr>
      <w:tr>
        <w:tc>
          <w:tcPr>
            <w:tcW w:type="dxa" w:w="864"/>
            <w:vAlign w:val="top"/>
            <w:shd w:fill="F2F6FB"/>
          </w:tcPr>
          <w:p>
            <w:pPr>
              <w:spacing w:after="0"/>
            </w:pPr>
            <w:r/>
            <w:r>
              <w:rPr>
                <w:rFonts w:ascii="Arial" w:hAnsi="Arial"/>
                <w:b w:val="0"/>
                <w:sz w:val="17"/>
              </w:rPr>
              <w:t>G7</w:t>
            </w:r>
          </w:p>
        </w:tc>
        <w:tc>
          <w:tcPr>
            <w:tcW w:type="dxa" w:w="2016"/>
            <w:vAlign w:val="top"/>
            <w:shd w:fill="F2F6FB"/>
          </w:tcPr>
          <w:p>
            <w:pPr>
              <w:spacing w:after="0"/>
            </w:pPr>
            <w:r/>
            <w:r>
              <w:rPr>
                <w:rFonts w:ascii="Arial" w:hAnsi="Arial"/>
                <w:b w:val="0"/>
                <w:sz w:val="17"/>
              </w:rPr>
              <w:t>Implementation and Release</w:t>
            </w:r>
          </w:p>
        </w:tc>
        <w:tc>
          <w:tcPr>
            <w:tcW w:type="dxa" w:w="3312"/>
            <w:vAlign w:val="top"/>
            <w:shd w:fill="F2F6FB"/>
          </w:tcPr>
          <w:p>
            <w:pPr>
              <w:spacing w:after="0"/>
            </w:pPr>
            <w:r/>
            <w:r>
              <w:rPr>
                <w:rFonts w:ascii="Arial" w:hAnsi="Arial"/>
                <w:b w:val="0"/>
                <w:sz w:val="17"/>
              </w:rPr>
              <w:t>Deploy through controlled technology and business change management.</w:t>
            </w:r>
          </w:p>
        </w:tc>
        <w:tc>
          <w:tcPr>
            <w:tcW w:type="dxa" w:w="4176"/>
            <w:vAlign w:val="top"/>
            <w:shd w:fill="F2F6FB"/>
          </w:tcPr>
          <w:p>
            <w:pPr>
              <w:spacing w:after="0"/>
            </w:pPr>
            <w:r/>
            <w:r>
              <w:rPr>
                <w:rFonts w:ascii="Arial" w:hAnsi="Arial"/>
                <w:b w:val="0"/>
                <w:sz w:val="17"/>
              </w:rPr>
              <w:t>Implementation plan, UAT, access control, release evidence, rollback plan, monitoring setup.</w:t>
            </w:r>
          </w:p>
        </w:tc>
      </w:tr>
      <w:tr>
        <w:tc>
          <w:tcPr>
            <w:tcW w:type="dxa" w:w="864"/>
            <w:vAlign w:val="top"/>
          </w:tcPr>
          <w:p>
            <w:pPr>
              <w:spacing w:after="0"/>
            </w:pPr>
            <w:r/>
            <w:r>
              <w:rPr>
                <w:rFonts w:ascii="Arial" w:hAnsi="Arial"/>
                <w:b w:val="0"/>
                <w:sz w:val="17"/>
              </w:rPr>
              <w:t>G8</w:t>
            </w:r>
          </w:p>
        </w:tc>
        <w:tc>
          <w:tcPr>
            <w:tcW w:type="dxa" w:w="2016"/>
            <w:vAlign w:val="top"/>
          </w:tcPr>
          <w:p>
            <w:pPr>
              <w:spacing w:after="0"/>
            </w:pPr>
            <w:r/>
            <w:r>
              <w:rPr>
                <w:rFonts w:ascii="Arial" w:hAnsi="Arial"/>
                <w:b w:val="0"/>
                <w:sz w:val="17"/>
              </w:rPr>
              <w:t>Post-Implementation Verification</w:t>
            </w:r>
          </w:p>
        </w:tc>
        <w:tc>
          <w:tcPr>
            <w:tcW w:type="dxa" w:w="3312"/>
            <w:vAlign w:val="top"/>
          </w:tcPr>
          <w:p>
            <w:pPr>
              <w:spacing w:after="0"/>
            </w:pPr>
            <w:r/>
            <w:r>
              <w:rPr>
                <w:rFonts w:ascii="Arial" w:hAnsi="Arial"/>
                <w:b w:val="0"/>
                <w:sz w:val="17"/>
              </w:rPr>
              <w:t>Confirm the production model matches the approved model and produces expected outputs.</w:t>
            </w:r>
          </w:p>
        </w:tc>
        <w:tc>
          <w:tcPr>
            <w:tcW w:type="dxa" w:w="4176"/>
            <w:vAlign w:val="top"/>
          </w:tcPr>
          <w:p>
            <w:pPr>
              <w:spacing w:after="0"/>
            </w:pPr>
            <w:r/>
            <w:r>
              <w:rPr>
                <w:rFonts w:ascii="Arial" w:hAnsi="Arial"/>
                <w:b w:val="0"/>
                <w:sz w:val="17"/>
              </w:rPr>
              <w:t>PIV test results, reconciliation, sign-off, incident review if variance occurs.</w:t>
            </w:r>
          </w:p>
        </w:tc>
      </w:tr>
      <w:tr>
        <w:tc>
          <w:tcPr>
            <w:tcW w:type="dxa" w:w="864"/>
            <w:vAlign w:val="top"/>
            <w:shd w:fill="F2F6FB"/>
          </w:tcPr>
          <w:p>
            <w:pPr>
              <w:spacing w:after="0"/>
            </w:pPr>
            <w:r/>
            <w:r>
              <w:rPr>
                <w:rFonts w:ascii="Arial" w:hAnsi="Arial"/>
                <w:b w:val="0"/>
                <w:sz w:val="17"/>
              </w:rPr>
              <w:t>G9</w:t>
            </w:r>
          </w:p>
        </w:tc>
        <w:tc>
          <w:tcPr>
            <w:tcW w:type="dxa" w:w="2016"/>
            <w:vAlign w:val="top"/>
            <w:shd w:fill="F2F6FB"/>
          </w:tcPr>
          <w:p>
            <w:pPr>
              <w:spacing w:after="0"/>
            </w:pPr>
            <w:r/>
            <w:r>
              <w:rPr>
                <w:rFonts w:ascii="Arial" w:hAnsi="Arial"/>
                <w:b w:val="0"/>
                <w:sz w:val="17"/>
              </w:rPr>
              <w:t>Ongoing Monitoring</w:t>
            </w:r>
          </w:p>
        </w:tc>
        <w:tc>
          <w:tcPr>
            <w:tcW w:type="dxa" w:w="3312"/>
            <w:vAlign w:val="top"/>
            <w:shd w:fill="F2F6FB"/>
          </w:tcPr>
          <w:p>
            <w:pPr>
              <w:spacing w:after="0"/>
            </w:pPr>
            <w:r/>
            <w:r>
              <w:rPr>
                <w:rFonts w:ascii="Arial" w:hAnsi="Arial"/>
                <w:b w:val="0"/>
                <w:sz w:val="17"/>
              </w:rPr>
              <w:t>Monitor performance, stability, data drift, usage, overrides, incidents, and continued fit for purpose.</w:t>
            </w:r>
          </w:p>
        </w:tc>
        <w:tc>
          <w:tcPr>
            <w:tcW w:type="dxa" w:w="4176"/>
            <w:vAlign w:val="top"/>
            <w:shd w:fill="F2F6FB"/>
          </w:tcPr>
          <w:p>
            <w:pPr>
              <w:spacing w:after="0"/>
            </w:pPr>
            <w:r/>
            <w:r>
              <w:rPr>
                <w:rFonts w:ascii="Arial" w:hAnsi="Arial"/>
                <w:b w:val="0"/>
                <w:sz w:val="17"/>
              </w:rPr>
              <w:t>Monitoring reports, periodic reviews, breach escalations, annual attestation.</w:t>
            </w:r>
          </w:p>
        </w:tc>
      </w:tr>
    </w:tbl>
    <w:p>
      <w:pPr>
        <w:spacing w:after="20"/>
      </w:pPr>
    </w:p>
    <w:p>
      <w:r>
        <w:br w:type="page"/>
      </w:r>
    </w:p>
    <w:p>
      <w:pPr>
        <w:pStyle w:val="Heading2"/>
        <w:keepNext/>
      </w:pPr>
      <w:r>
        <w:t>2.1 Required End States</w:t>
      </w:r>
    </w:p>
    <w:p>
      <w:r>
        <w:t>Every model development request must end in one of the following states. The status must be recorded in the model inventory or intake register.</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1F4E79"/>
          </w:tcPr>
          <w:p>
            <w:pPr>
              <w:spacing w:after="0"/>
            </w:pPr>
            <w:r/>
            <w:r>
              <w:rPr>
                <w:rFonts w:ascii="Arial" w:hAnsi="Arial"/>
                <w:b/>
                <w:color w:val="FFFFFF"/>
                <w:sz w:val="17"/>
              </w:rPr>
              <w:t>End state</w:t>
            </w:r>
          </w:p>
        </w:tc>
        <w:tc>
          <w:tcPr>
            <w:tcW w:type="dxa" w:w="4320"/>
            <w:vAlign w:val="top"/>
            <w:shd w:fill="1F4E79"/>
          </w:tcPr>
          <w:p>
            <w:pPr>
              <w:spacing w:after="0"/>
            </w:pPr>
            <w:r/>
            <w:r>
              <w:rPr>
                <w:rFonts w:ascii="Arial" w:hAnsi="Arial"/>
                <w:b/>
                <w:color w:val="FFFFFF"/>
                <w:sz w:val="17"/>
              </w:rPr>
              <w:t>Meaning</w:t>
            </w:r>
          </w:p>
        </w:tc>
        <w:tc>
          <w:tcPr>
            <w:tcW w:type="dxa" w:w="3888"/>
            <w:vAlign w:val="top"/>
            <w:shd w:fill="1F4E79"/>
          </w:tcPr>
          <w:p>
            <w:pPr>
              <w:spacing w:after="0"/>
            </w:pPr>
            <w:r/>
            <w:r>
              <w:rPr>
                <w:rFonts w:ascii="Arial" w:hAnsi="Arial"/>
                <w:b/>
                <w:color w:val="FFFFFF"/>
                <w:sz w:val="17"/>
              </w:rPr>
              <w:t>Required action</w:t>
            </w:r>
          </w:p>
        </w:tc>
      </w:tr>
      <w:tr>
        <w:tc>
          <w:tcPr>
            <w:tcW w:type="dxa" w:w="2160"/>
            <w:vAlign w:val="top"/>
          </w:tcPr>
          <w:p>
            <w:pPr>
              <w:spacing w:after="0"/>
            </w:pPr>
            <w:r/>
            <w:r>
              <w:rPr>
                <w:rFonts w:ascii="Arial" w:hAnsi="Arial"/>
                <w:b w:val="0"/>
                <w:sz w:val="17"/>
              </w:rPr>
              <w:t>Approved for production</w:t>
            </w:r>
          </w:p>
        </w:tc>
        <w:tc>
          <w:tcPr>
            <w:tcW w:type="dxa" w:w="4320"/>
            <w:vAlign w:val="top"/>
          </w:tcPr>
          <w:p>
            <w:pPr>
              <w:spacing w:after="0"/>
            </w:pPr>
            <w:r/>
            <w:r>
              <w:rPr>
                <w:rFonts w:ascii="Arial" w:hAnsi="Arial"/>
                <w:b w:val="0"/>
                <w:sz w:val="17"/>
              </w:rPr>
              <w:t>The model has passed validation and governance approval with no blocking conditions.</w:t>
            </w:r>
          </w:p>
        </w:tc>
        <w:tc>
          <w:tcPr>
            <w:tcW w:type="dxa" w:w="3888"/>
            <w:vAlign w:val="top"/>
          </w:tcPr>
          <w:p>
            <w:pPr>
              <w:spacing w:after="0"/>
            </w:pPr>
            <w:r/>
            <w:r>
              <w:rPr>
                <w:rFonts w:ascii="Arial" w:hAnsi="Arial"/>
                <w:b w:val="0"/>
                <w:sz w:val="17"/>
              </w:rPr>
              <w:t>Proceed to controlled implementation and post-implementation verification.</w:t>
            </w:r>
          </w:p>
        </w:tc>
      </w:tr>
      <w:tr>
        <w:tc>
          <w:tcPr>
            <w:tcW w:type="dxa" w:w="2160"/>
            <w:vAlign w:val="top"/>
            <w:shd w:fill="F2F6FB"/>
          </w:tcPr>
          <w:p>
            <w:pPr>
              <w:spacing w:after="0"/>
            </w:pPr>
            <w:r/>
            <w:r>
              <w:rPr>
                <w:rFonts w:ascii="Arial" w:hAnsi="Arial"/>
                <w:b w:val="0"/>
                <w:sz w:val="17"/>
              </w:rPr>
              <w:t>Conditionally approved</w:t>
            </w:r>
          </w:p>
        </w:tc>
        <w:tc>
          <w:tcPr>
            <w:tcW w:type="dxa" w:w="4320"/>
            <w:vAlign w:val="top"/>
            <w:shd w:fill="F2F6FB"/>
          </w:tcPr>
          <w:p>
            <w:pPr>
              <w:spacing w:after="0"/>
            </w:pPr>
            <w:r/>
            <w:r>
              <w:rPr>
                <w:rFonts w:ascii="Arial" w:hAnsi="Arial"/>
                <w:b w:val="0"/>
                <w:sz w:val="17"/>
              </w:rPr>
              <w:t>The model may be used subject to time-bound conditions, compensating controls, or limitations.</w:t>
            </w:r>
          </w:p>
        </w:tc>
        <w:tc>
          <w:tcPr>
            <w:tcW w:type="dxa" w:w="3888"/>
            <w:vAlign w:val="top"/>
            <w:shd w:fill="F2F6FB"/>
          </w:tcPr>
          <w:p>
            <w:pPr>
              <w:spacing w:after="0"/>
            </w:pPr>
            <w:r/>
            <w:r>
              <w:rPr>
                <w:rFonts w:ascii="Arial" w:hAnsi="Arial"/>
                <w:b w:val="0"/>
                <w:sz w:val="17"/>
              </w:rPr>
              <w:t>Track conditions as issues, define expiry, and monitor use within approved constraints.</w:t>
            </w:r>
          </w:p>
        </w:tc>
      </w:tr>
      <w:tr>
        <w:tc>
          <w:tcPr>
            <w:tcW w:type="dxa" w:w="2160"/>
            <w:vAlign w:val="top"/>
          </w:tcPr>
          <w:p>
            <w:pPr>
              <w:spacing w:after="0"/>
            </w:pPr>
            <w:r/>
            <w:r>
              <w:rPr>
                <w:rFonts w:ascii="Arial" w:hAnsi="Arial"/>
                <w:b w:val="0"/>
                <w:sz w:val="17"/>
              </w:rPr>
              <w:t>Approved for pilot/shadow only</w:t>
            </w:r>
          </w:p>
        </w:tc>
        <w:tc>
          <w:tcPr>
            <w:tcW w:type="dxa" w:w="4320"/>
            <w:vAlign w:val="top"/>
          </w:tcPr>
          <w:p>
            <w:pPr>
              <w:spacing w:after="0"/>
            </w:pPr>
            <w:r/>
            <w:r>
              <w:rPr>
                <w:rFonts w:ascii="Arial" w:hAnsi="Arial"/>
                <w:b w:val="0"/>
                <w:sz w:val="17"/>
              </w:rPr>
              <w:t>The model may be tested in a controlled environment but may not make final decisions.</w:t>
            </w:r>
          </w:p>
        </w:tc>
        <w:tc>
          <w:tcPr>
            <w:tcW w:type="dxa" w:w="3888"/>
            <w:vAlign w:val="top"/>
          </w:tcPr>
          <w:p>
            <w:pPr>
              <w:spacing w:after="0"/>
            </w:pPr>
            <w:r/>
            <w:r>
              <w:rPr>
                <w:rFonts w:ascii="Arial" w:hAnsi="Arial"/>
                <w:b w:val="0"/>
                <w:sz w:val="17"/>
              </w:rPr>
              <w:t>Define pilot scope, sample, duration, monitoring, and customer/non-customer impact boundaries.</w:t>
            </w:r>
          </w:p>
        </w:tc>
      </w:tr>
      <w:tr>
        <w:tc>
          <w:tcPr>
            <w:tcW w:type="dxa" w:w="2160"/>
            <w:vAlign w:val="top"/>
            <w:shd w:fill="F2F6FB"/>
          </w:tcPr>
          <w:p>
            <w:pPr>
              <w:spacing w:after="0"/>
            </w:pPr>
            <w:r/>
            <w:r>
              <w:rPr>
                <w:rFonts w:ascii="Arial" w:hAnsi="Arial"/>
                <w:b w:val="0"/>
                <w:sz w:val="17"/>
              </w:rPr>
              <w:t>Deferred</w:t>
            </w:r>
          </w:p>
        </w:tc>
        <w:tc>
          <w:tcPr>
            <w:tcW w:type="dxa" w:w="4320"/>
            <w:vAlign w:val="top"/>
            <w:shd w:fill="F2F6FB"/>
          </w:tcPr>
          <w:p>
            <w:pPr>
              <w:spacing w:after="0"/>
            </w:pPr>
            <w:r/>
            <w:r>
              <w:rPr>
                <w:rFonts w:ascii="Arial" w:hAnsi="Arial"/>
                <w:b w:val="0"/>
                <w:sz w:val="17"/>
              </w:rPr>
              <w:t>Approval is paused because information, remediation, data, validation, or governance is incomplete.</w:t>
            </w:r>
          </w:p>
        </w:tc>
        <w:tc>
          <w:tcPr>
            <w:tcW w:type="dxa" w:w="3888"/>
            <w:vAlign w:val="top"/>
            <w:shd w:fill="F2F6FB"/>
          </w:tcPr>
          <w:p>
            <w:pPr>
              <w:spacing w:after="0"/>
            </w:pPr>
            <w:r/>
            <w:r>
              <w:rPr>
                <w:rFonts w:ascii="Arial" w:hAnsi="Arial"/>
                <w:b w:val="0"/>
                <w:sz w:val="17"/>
              </w:rPr>
              <w:t>Assign owners, due dates, and re-entry requirements.</w:t>
            </w:r>
          </w:p>
        </w:tc>
      </w:tr>
      <w:tr>
        <w:tc>
          <w:tcPr>
            <w:tcW w:type="dxa" w:w="2160"/>
            <w:vAlign w:val="top"/>
          </w:tcPr>
          <w:p>
            <w:pPr>
              <w:spacing w:after="0"/>
            </w:pPr>
            <w:r/>
            <w:r>
              <w:rPr>
                <w:rFonts w:ascii="Arial" w:hAnsi="Arial"/>
                <w:b w:val="0"/>
                <w:sz w:val="17"/>
              </w:rPr>
              <w:t>Declined</w:t>
            </w:r>
          </w:p>
        </w:tc>
        <w:tc>
          <w:tcPr>
            <w:tcW w:type="dxa" w:w="4320"/>
            <w:vAlign w:val="top"/>
          </w:tcPr>
          <w:p>
            <w:pPr>
              <w:spacing w:after="0"/>
            </w:pPr>
            <w:r/>
            <w:r>
              <w:rPr>
                <w:rFonts w:ascii="Arial" w:hAnsi="Arial"/>
                <w:b w:val="0"/>
                <w:sz w:val="17"/>
              </w:rPr>
              <w:t>The model is not approved because risk, evidence, performance, compliance, or business justification is unacceptable.</w:t>
            </w:r>
          </w:p>
        </w:tc>
        <w:tc>
          <w:tcPr>
            <w:tcW w:type="dxa" w:w="3888"/>
            <w:vAlign w:val="top"/>
          </w:tcPr>
          <w:p>
            <w:pPr>
              <w:spacing w:after="0"/>
            </w:pPr>
            <w:r/>
            <w:r>
              <w:rPr>
                <w:rFonts w:ascii="Arial" w:hAnsi="Arial"/>
                <w:b w:val="0"/>
                <w:sz w:val="17"/>
              </w:rPr>
              <w:t>Record rationale, notify stakeholders, prevent deployment, and archive evidence.</w:t>
            </w:r>
          </w:p>
        </w:tc>
      </w:tr>
      <w:tr>
        <w:tc>
          <w:tcPr>
            <w:tcW w:type="dxa" w:w="2160"/>
            <w:vAlign w:val="top"/>
            <w:shd w:fill="F2F6FB"/>
          </w:tcPr>
          <w:p>
            <w:pPr>
              <w:spacing w:after="0"/>
            </w:pPr>
            <w:r/>
            <w:r>
              <w:rPr>
                <w:rFonts w:ascii="Arial" w:hAnsi="Arial"/>
                <w:b w:val="0"/>
                <w:sz w:val="17"/>
              </w:rPr>
              <w:t>Withdrawn</w:t>
            </w:r>
          </w:p>
        </w:tc>
        <w:tc>
          <w:tcPr>
            <w:tcW w:type="dxa" w:w="4320"/>
            <w:vAlign w:val="top"/>
            <w:shd w:fill="F2F6FB"/>
          </w:tcPr>
          <w:p>
            <w:pPr>
              <w:spacing w:after="0"/>
            </w:pPr>
            <w:r/>
            <w:r>
              <w:rPr>
                <w:rFonts w:ascii="Arial" w:hAnsi="Arial"/>
                <w:b w:val="0"/>
                <w:sz w:val="17"/>
              </w:rPr>
              <w:t>The sponsor cancels the request before final decision.</w:t>
            </w:r>
          </w:p>
        </w:tc>
        <w:tc>
          <w:tcPr>
            <w:tcW w:type="dxa" w:w="3888"/>
            <w:vAlign w:val="top"/>
            <w:shd w:fill="F2F6FB"/>
          </w:tcPr>
          <w:p>
            <w:pPr>
              <w:spacing w:after="0"/>
            </w:pPr>
            <w:r/>
            <w:r>
              <w:rPr>
                <w:rFonts w:ascii="Arial" w:hAnsi="Arial"/>
                <w:b w:val="0"/>
                <w:sz w:val="17"/>
              </w:rPr>
              <w:t>Record reason and close inventory shell, retaining evidence according to records policy.</w:t>
            </w:r>
          </w:p>
        </w:tc>
      </w:tr>
    </w:tbl>
    <w:p>
      <w:pPr>
        <w:spacing w:after="20"/>
      </w:pPr>
    </w:p>
    <w:p>
      <w:r>
        <w:br w:type="page"/>
      </w:r>
    </w:p>
    <w:p>
      <w:pPr>
        <w:pStyle w:val="Heading1"/>
        <w:keepNext/>
      </w:pPr>
      <w:r>
        <w:t>3. Roles, Responsibilities, and Segregation of Duties</w:t>
      </w:r>
    </w:p>
    <w:p>
      <w:r>
        <w:t>Clear accountability is mandatory. The bank must maintain independence between model development, model ownership, model validation, implementation approval, and audit assurance. The same individual may support multiple tasks only where independence is not compromised and the arrangement is documented.</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4E79"/>
          </w:tcPr>
          <w:p>
            <w:pPr>
              <w:spacing w:after="0"/>
            </w:pPr>
            <w:r/>
            <w:r>
              <w:rPr>
                <w:rFonts w:ascii="Arial" w:hAnsi="Arial"/>
                <w:b/>
                <w:color w:val="FFFFFF"/>
                <w:sz w:val="17"/>
              </w:rPr>
              <w:t>Role</w:t>
            </w:r>
          </w:p>
        </w:tc>
        <w:tc>
          <w:tcPr>
            <w:tcW w:type="dxa" w:w="7920"/>
            <w:vAlign w:val="top"/>
            <w:shd w:fill="1F4E79"/>
          </w:tcPr>
          <w:p>
            <w:pPr>
              <w:spacing w:after="0"/>
            </w:pPr>
            <w:r/>
            <w:r>
              <w:rPr>
                <w:rFonts w:ascii="Arial" w:hAnsi="Arial"/>
                <w:b/>
                <w:color w:val="FFFFFF"/>
                <w:sz w:val="17"/>
              </w:rPr>
              <w:t>Key responsibilities</w:t>
            </w:r>
          </w:p>
        </w:tc>
      </w:tr>
      <w:tr>
        <w:tc>
          <w:tcPr>
            <w:tcW w:type="dxa" w:w="2448"/>
            <w:vAlign w:val="top"/>
          </w:tcPr>
          <w:p>
            <w:pPr>
              <w:spacing w:after="0"/>
            </w:pPr>
            <w:r/>
            <w:r>
              <w:rPr>
                <w:rFonts w:ascii="Arial" w:hAnsi="Arial"/>
                <w:b w:val="0"/>
                <w:sz w:val="17"/>
              </w:rPr>
              <w:t>Executive sponsor</w:t>
            </w:r>
          </w:p>
        </w:tc>
        <w:tc>
          <w:tcPr>
            <w:tcW w:type="dxa" w:w="7920"/>
            <w:vAlign w:val="top"/>
          </w:tcPr>
          <w:p>
            <w:pPr>
              <w:spacing w:after="0"/>
            </w:pPr>
            <w:r/>
            <w:r>
              <w:rPr>
                <w:rFonts w:ascii="Arial" w:hAnsi="Arial"/>
                <w:b w:val="0"/>
                <w:sz w:val="17"/>
              </w:rPr>
              <w:t>Approves the business case, funding, strategic alignment, and risk appetite for the model initiative. Owns escalation of material issues.</w:t>
            </w:r>
          </w:p>
        </w:tc>
      </w:tr>
      <w:tr>
        <w:tc>
          <w:tcPr>
            <w:tcW w:type="dxa" w:w="2448"/>
            <w:vAlign w:val="top"/>
            <w:shd w:fill="F2F6FB"/>
          </w:tcPr>
          <w:p>
            <w:pPr>
              <w:spacing w:after="0"/>
            </w:pPr>
            <w:r/>
            <w:r>
              <w:rPr>
                <w:rFonts w:ascii="Arial" w:hAnsi="Arial"/>
                <w:b w:val="0"/>
                <w:sz w:val="17"/>
              </w:rPr>
              <w:t>Model owner</w:t>
            </w:r>
          </w:p>
        </w:tc>
        <w:tc>
          <w:tcPr>
            <w:tcW w:type="dxa" w:w="7920"/>
            <w:vAlign w:val="top"/>
            <w:shd w:fill="F2F6FB"/>
          </w:tcPr>
          <w:p>
            <w:pPr>
              <w:spacing w:after="0"/>
            </w:pPr>
            <w:r/>
            <w:r>
              <w:rPr>
                <w:rFonts w:ascii="Arial" w:hAnsi="Arial"/>
                <w:b w:val="0"/>
                <w:sz w:val="17"/>
              </w:rPr>
              <w:t>Defines model purpose, use, target population, success criteria, limitations, users, monitoring requirements, and business controls. Accountable for ongoing use.</w:t>
            </w:r>
          </w:p>
        </w:tc>
      </w:tr>
      <w:tr>
        <w:tc>
          <w:tcPr>
            <w:tcW w:type="dxa" w:w="2448"/>
            <w:vAlign w:val="top"/>
          </w:tcPr>
          <w:p>
            <w:pPr>
              <w:spacing w:after="0"/>
            </w:pPr>
            <w:r/>
            <w:r>
              <w:rPr>
                <w:rFonts w:ascii="Arial" w:hAnsi="Arial"/>
                <w:b w:val="0"/>
                <w:sz w:val="17"/>
              </w:rPr>
              <w:t>Model developer</w:t>
            </w:r>
          </w:p>
        </w:tc>
        <w:tc>
          <w:tcPr>
            <w:tcW w:type="dxa" w:w="7920"/>
            <w:vAlign w:val="top"/>
          </w:tcPr>
          <w:p>
            <w:pPr>
              <w:spacing w:after="0"/>
            </w:pPr>
            <w:r/>
            <w:r>
              <w:rPr>
                <w:rFonts w:ascii="Arial" w:hAnsi="Arial"/>
                <w:b w:val="0"/>
                <w:sz w:val="17"/>
              </w:rPr>
              <w:t>Builds the model, manages development evidence, performs developer testing, documents assumptions, packages code, and responds to validation findings.</w:t>
            </w:r>
          </w:p>
        </w:tc>
      </w:tr>
      <w:tr>
        <w:tc>
          <w:tcPr>
            <w:tcW w:type="dxa" w:w="2448"/>
            <w:vAlign w:val="top"/>
            <w:shd w:fill="F2F6FB"/>
          </w:tcPr>
          <w:p>
            <w:pPr>
              <w:spacing w:after="0"/>
            </w:pPr>
            <w:r/>
            <w:r>
              <w:rPr>
                <w:rFonts w:ascii="Arial" w:hAnsi="Arial"/>
                <w:b w:val="0"/>
                <w:sz w:val="17"/>
              </w:rPr>
              <w:t>Data owner</w:t>
            </w:r>
          </w:p>
        </w:tc>
        <w:tc>
          <w:tcPr>
            <w:tcW w:type="dxa" w:w="7920"/>
            <w:vAlign w:val="top"/>
            <w:shd w:fill="F2F6FB"/>
          </w:tcPr>
          <w:p>
            <w:pPr>
              <w:spacing w:after="0"/>
            </w:pPr>
            <w:r/>
            <w:r>
              <w:rPr>
                <w:rFonts w:ascii="Arial" w:hAnsi="Arial"/>
                <w:b w:val="0"/>
                <w:sz w:val="17"/>
              </w:rPr>
              <w:t>Approves source data use, confirms data definitions, lineage, quality controls, access rights, retention, and data issue remediation.</w:t>
            </w:r>
          </w:p>
        </w:tc>
      </w:tr>
      <w:tr>
        <w:tc>
          <w:tcPr>
            <w:tcW w:type="dxa" w:w="2448"/>
            <w:vAlign w:val="top"/>
          </w:tcPr>
          <w:p>
            <w:pPr>
              <w:spacing w:after="0"/>
            </w:pPr>
            <w:r/>
            <w:r>
              <w:rPr>
                <w:rFonts w:ascii="Arial" w:hAnsi="Arial"/>
                <w:b w:val="0"/>
                <w:sz w:val="17"/>
              </w:rPr>
              <w:t>Technology owner</w:t>
            </w:r>
          </w:p>
        </w:tc>
        <w:tc>
          <w:tcPr>
            <w:tcW w:type="dxa" w:w="7920"/>
            <w:vAlign w:val="top"/>
          </w:tcPr>
          <w:p>
            <w:pPr>
              <w:spacing w:after="0"/>
            </w:pPr>
            <w:r/>
            <w:r>
              <w:rPr>
                <w:rFonts w:ascii="Arial" w:hAnsi="Arial"/>
                <w:b w:val="0"/>
                <w:sz w:val="17"/>
              </w:rPr>
              <w:t>Provides secure development and production environments, release management, access controls, monitoring tools, logging, backup, and disaster recovery.</w:t>
            </w:r>
          </w:p>
        </w:tc>
      </w:tr>
      <w:tr>
        <w:tc>
          <w:tcPr>
            <w:tcW w:type="dxa" w:w="2448"/>
            <w:vAlign w:val="top"/>
            <w:shd w:fill="F2F6FB"/>
          </w:tcPr>
          <w:p>
            <w:pPr>
              <w:spacing w:after="0"/>
            </w:pPr>
            <w:r/>
            <w:r>
              <w:rPr>
                <w:rFonts w:ascii="Arial" w:hAnsi="Arial"/>
                <w:b w:val="0"/>
                <w:sz w:val="17"/>
              </w:rPr>
              <w:t>Information Security</w:t>
            </w:r>
          </w:p>
        </w:tc>
        <w:tc>
          <w:tcPr>
            <w:tcW w:type="dxa" w:w="7920"/>
            <w:vAlign w:val="top"/>
            <w:shd w:fill="F2F6FB"/>
          </w:tcPr>
          <w:p>
            <w:pPr>
              <w:spacing w:after="0"/>
            </w:pPr>
            <w:r/>
            <w:r>
              <w:rPr>
                <w:rFonts w:ascii="Arial" w:hAnsi="Arial"/>
                <w:b w:val="0"/>
                <w:sz w:val="17"/>
              </w:rPr>
              <w:t>Reviews cyber, access, encryption, secrets management, vulnerability, cloud, API, and third-party connectivity risks.</w:t>
            </w:r>
          </w:p>
        </w:tc>
      </w:tr>
      <w:tr>
        <w:tc>
          <w:tcPr>
            <w:tcW w:type="dxa" w:w="2448"/>
            <w:vAlign w:val="top"/>
          </w:tcPr>
          <w:p>
            <w:pPr>
              <w:spacing w:after="0"/>
            </w:pPr>
            <w:r/>
            <w:r>
              <w:rPr>
                <w:rFonts w:ascii="Arial" w:hAnsi="Arial"/>
                <w:b w:val="0"/>
                <w:sz w:val="17"/>
              </w:rPr>
              <w:t>Privacy / Legal</w:t>
            </w:r>
          </w:p>
        </w:tc>
        <w:tc>
          <w:tcPr>
            <w:tcW w:type="dxa" w:w="7920"/>
            <w:vAlign w:val="top"/>
          </w:tcPr>
          <w:p>
            <w:pPr>
              <w:spacing w:after="0"/>
            </w:pPr>
            <w:r/>
            <w:r>
              <w:rPr>
                <w:rFonts w:ascii="Arial" w:hAnsi="Arial"/>
                <w:b w:val="0"/>
                <w:sz w:val="17"/>
              </w:rPr>
              <w:t>Reviews personal data use, consent, lawful basis, disclosure, retention, cross-border transfer, adverse action obligations, and customer fairness implications.</w:t>
            </w:r>
          </w:p>
        </w:tc>
      </w:tr>
      <w:tr>
        <w:tc>
          <w:tcPr>
            <w:tcW w:type="dxa" w:w="2448"/>
            <w:vAlign w:val="top"/>
            <w:shd w:fill="F2F6FB"/>
          </w:tcPr>
          <w:p>
            <w:pPr>
              <w:spacing w:after="0"/>
            </w:pPr>
            <w:r/>
            <w:r>
              <w:rPr>
                <w:rFonts w:ascii="Arial" w:hAnsi="Arial"/>
                <w:b w:val="0"/>
                <w:sz w:val="17"/>
              </w:rPr>
              <w:t>Compliance</w:t>
            </w:r>
          </w:p>
        </w:tc>
        <w:tc>
          <w:tcPr>
            <w:tcW w:type="dxa" w:w="7920"/>
            <w:vAlign w:val="top"/>
            <w:shd w:fill="F2F6FB"/>
          </w:tcPr>
          <w:p>
            <w:pPr>
              <w:spacing w:after="0"/>
            </w:pPr>
            <w:r/>
            <w:r>
              <w:rPr>
                <w:rFonts w:ascii="Arial" w:hAnsi="Arial"/>
                <w:b w:val="0"/>
                <w:sz w:val="17"/>
              </w:rPr>
              <w:t>Reviews regulatory obligations, consumer protection, anti-discrimination, conduct, AML/sanctions, disclosure, recordkeeping, and control impacts.</w:t>
            </w:r>
          </w:p>
        </w:tc>
      </w:tr>
      <w:tr>
        <w:tc>
          <w:tcPr>
            <w:tcW w:type="dxa" w:w="2448"/>
            <w:vAlign w:val="top"/>
          </w:tcPr>
          <w:p>
            <w:pPr>
              <w:spacing w:after="0"/>
            </w:pPr>
            <w:r/>
            <w:r>
              <w:rPr>
                <w:rFonts w:ascii="Arial" w:hAnsi="Arial"/>
                <w:b w:val="0"/>
                <w:sz w:val="17"/>
              </w:rPr>
              <w:t>Model validator</w:t>
            </w:r>
          </w:p>
        </w:tc>
        <w:tc>
          <w:tcPr>
            <w:tcW w:type="dxa" w:w="7920"/>
            <w:vAlign w:val="top"/>
          </w:tcPr>
          <w:p>
            <w:pPr>
              <w:spacing w:after="0"/>
            </w:pPr>
            <w:r/>
            <w:r>
              <w:rPr>
                <w:rFonts w:ascii="Arial" w:hAnsi="Arial"/>
                <w:b w:val="0"/>
                <w:sz w:val="17"/>
              </w:rPr>
              <w:t>Performs independent challenge and recommends validation opinion, restrictions, or decline.</w:t>
            </w:r>
          </w:p>
        </w:tc>
      </w:tr>
      <w:tr>
        <w:tc>
          <w:tcPr>
            <w:tcW w:type="dxa" w:w="2448"/>
            <w:vAlign w:val="top"/>
            <w:shd w:fill="F2F6FB"/>
          </w:tcPr>
          <w:p>
            <w:pPr>
              <w:spacing w:after="0"/>
            </w:pPr>
            <w:r/>
            <w:r>
              <w:rPr>
                <w:rFonts w:ascii="Arial" w:hAnsi="Arial"/>
                <w:b w:val="0"/>
                <w:sz w:val="17"/>
              </w:rPr>
              <w:t>MRM</w:t>
            </w:r>
          </w:p>
        </w:tc>
        <w:tc>
          <w:tcPr>
            <w:tcW w:type="dxa" w:w="7920"/>
            <w:vAlign w:val="top"/>
            <w:shd w:fill="F2F6FB"/>
          </w:tcPr>
          <w:p>
            <w:pPr>
              <w:spacing w:after="0"/>
            </w:pPr>
            <w:r/>
            <w:r>
              <w:rPr>
                <w:rFonts w:ascii="Arial" w:hAnsi="Arial"/>
                <w:b w:val="0"/>
                <w:sz w:val="17"/>
              </w:rPr>
              <w:t>Maintains governance standards, inventory, tiering, validation workflow, issue tracking, approval packs, management reporting, and policy exceptions.</w:t>
            </w:r>
          </w:p>
        </w:tc>
      </w:tr>
      <w:tr>
        <w:tc>
          <w:tcPr>
            <w:tcW w:type="dxa" w:w="2448"/>
            <w:vAlign w:val="top"/>
          </w:tcPr>
          <w:p>
            <w:pPr>
              <w:spacing w:after="0"/>
            </w:pPr>
            <w:r/>
            <w:r>
              <w:rPr>
                <w:rFonts w:ascii="Arial" w:hAnsi="Arial"/>
                <w:b w:val="0"/>
                <w:sz w:val="17"/>
              </w:rPr>
              <w:t>Approving committee</w:t>
            </w:r>
          </w:p>
        </w:tc>
        <w:tc>
          <w:tcPr>
            <w:tcW w:type="dxa" w:w="7920"/>
            <w:vAlign w:val="top"/>
          </w:tcPr>
          <w:p>
            <w:pPr>
              <w:spacing w:after="0"/>
            </w:pPr>
            <w:r/>
            <w:r>
              <w:rPr>
                <w:rFonts w:ascii="Arial" w:hAnsi="Arial"/>
                <w:b w:val="0"/>
                <w:sz w:val="17"/>
              </w:rPr>
              <w:t>Makes final approval, conditional approval, deferral, or decline decision according to delegated authority.</w:t>
            </w:r>
          </w:p>
        </w:tc>
      </w:tr>
      <w:tr>
        <w:tc>
          <w:tcPr>
            <w:tcW w:type="dxa" w:w="2448"/>
            <w:vAlign w:val="top"/>
            <w:shd w:fill="F2F6FB"/>
          </w:tcPr>
          <w:p>
            <w:pPr>
              <w:spacing w:after="0"/>
            </w:pPr>
            <w:r/>
            <w:r>
              <w:rPr>
                <w:rFonts w:ascii="Arial" w:hAnsi="Arial"/>
                <w:b w:val="0"/>
                <w:sz w:val="17"/>
              </w:rPr>
              <w:t>Internal Audit</w:t>
            </w:r>
          </w:p>
        </w:tc>
        <w:tc>
          <w:tcPr>
            <w:tcW w:type="dxa" w:w="7920"/>
            <w:vAlign w:val="top"/>
            <w:shd w:fill="F2F6FB"/>
          </w:tcPr>
          <w:p>
            <w:pPr>
              <w:spacing w:after="0"/>
            </w:pPr>
            <w:r/>
            <w:r>
              <w:rPr>
                <w:rFonts w:ascii="Arial" w:hAnsi="Arial"/>
                <w:b w:val="0"/>
                <w:sz w:val="17"/>
              </w:rPr>
              <w:t>Provides independent assurance over adherence to policy and effectiveness of the model risk management framework.</w:t>
            </w:r>
          </w:p>
        </w:tc>
      </w:tr>
    </w:tbl>
    <w:p>
      <w:pPr>
        <w:spacing w:after="20"/>
      </w:pPr>
    </w:p>
    <w:p>
      <w:pPr>
        <w:pStyle w:val="Heading2"/>
        <w:keepNext/>
      </w:pPr>
      <w:r>
        <w:t>3.1 RACI Matrix</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2376"/>
            <w:vAlign w:val="top"/>
            <w:shd w:fill="1F4E79"/>
          </w:tcPr>
          <w:p>
            <w:pPr>
              <w:spacing w:after="0"/>
            </w:pPr>
            <w:r/>
            <w:r>
              <w:rPr>
                <w:rFonts w:ascii="Arial" w:hAnsi="Arial"/>
                <w:b/>
                <w:color w:val="FFFFFF"/>
                <w:sz w:val="17"/>
              </w:rPr>
              <w:t>Activity</w:t>
            </w:r>
          </w:p>
        </w:tc>
        <w:tc>
          <w:tcPr>
            <w:tcW w:type="dxa" w:w="792"/>
            <w:vAlign w:val="top"/>
            <w:shd w:fill="1F4E79"/>
          </w:tcPr>
          <w:p>
            <w:pPr>
              <w:spacing w:after="0"/>
            </w:pPr>
            <w:r/>
            <w:r>
              <w:rPr>
                <w:rFonts w:ascii="Arial" w:hAnsi="Arial"/>
                <w:b/>
                <w:color w:val="FFFFFF"/>
                <w:sz w:val="17"/>
              </w:rPr>
              <w:t>Sponsor</w:t>
            </w:r>
          </w:p>
        </w:tc>
        <w:tc>
          <w:tcPr>
            <w:tcW w:type="dxa" w:w="792"/>
            <w:vAlign w:val="top"/>
            <w:shd w:fill="1F4E79"/>
          </w:tcPr>
          <w:p>
            <w:pPr>
              <w:spacing w:after="0"/>
            </w:pPr>
            <w:r/>
            <w:r>
              <w:rPr>
                <w:rFonts w:ascii="Arial" w:hAnsi="Arial"/>
                <w:b/>
                <w:color w:val="FFFFFF"/>
                <w:sz w:val="17"/>
              </w:rPr>
              <w:t>Owner</w:t>
            </w:r>
          </w:p>
        </w:tc>
        <w:tc>
          <w:tcPr>
            <w:tcW w:type="dxa" w:w="1008"/>
            <w:vAlign w:val="top"/>
            <w:shd w:fill="1F4E79"/>
          </w:tcPr>
          <w:p>
            <w:pPr>
              <w:spacing w:after="0"/>
            </w:pPr>
            <w:r/>
            <w:r>
              <w:rPr>
                <w:rFonts w:ascii="Arial" w:hAnsi="Arial"/>
                <w:b/>
                <w:color w:val="FFFFFF"/>
                <w:sz w:val="17"/>
              </w:rPr>
              <w:t>Developer</w:t>
            </w:r>
          </w:p>
        </w:tc>
        <w:tc>
          <w:tcPr>
            <w:tcW w:type="dxa" w:w="1080"/>
            <w:vAlign w:val="top"/>
            <w:shd w:fill="1F4E79"/>
          </w:tcPr>
          <w:p>
            <w:pPr>
              <w:spacing w:after="0"/>
            </w:pPr>
            <w:r/>
            <w:r>
              <w:rPr>
                <w:rFonts w:ascii="Arial" w:hAnsi="Arial"/>
                <w:b/>
                <w:color w:val="FFFFFF"/>
                <w:sz w:val="17"/>
              </w:rPr>
              <w:t>Data Owner</w:t>
            </w:r>
          </w:p>
        </w:tc>
        <w:tc>
          <w:tcPr>
            <w:tcW w:type="dxa" w:w="792"/>
            <w:vAlign w:val="top"/>
            <w:shd w:fill="1F4E79"/>
          </w:tcPr>
          <w:p>
            <w:pPr>
              <w:spacing w:after="0"/>
            </w:pPr>
            <w:r/>
            <w:r>
              <w:rPr>
                <w:rFonts w:ascii="Arial" w:hAnsi="Arial"/>
                <w:b/>
                <w:color w:val="FFFFFF"/>
                <w:sz w:val="17"/>
              </w:rPr>
              <w:t>Tech</w:t>
            </w:r>
          </w:p>
        </w:tc>
        <w:tc>
          <w:tcPr>
            <w:tcW w:type="dxa" w:w="1296"/>
            <w:vAlign w:val="top"/>
            <w:shd w:fill="1F4E79"/>
          </w:tcPr>
          <w:p>
            <w:pPr>
              <w:spacing w:after="0"/>
            </w:pPr>
            <w:r/>
            <w:r>
              <w:rPr>
                <w:rFonts w:ascii="Arial" w:hAnsi="Arial"/>
                <w:b/>
                <w:color w:val="FFFFFF"/>
                <w:sz w:val="17"/>
              </w:rPr>
              <w:t>Compliance/Legal</w:t>
            </w:r>
          </w:p>
        </w:tc>
        <w:tc>
          <w:tcPr>
            <w:tcW w:type="dxa" w:w="1080"/>
            <w:vAlign w:val="top"/>
            <w:shd w:fill="1F4E79"/>
          </w:tcPr>
          <w:p>
            <w:pPr>
              <w:spacing w:after="0"/>
            </w:pPr>
            <w:r/>
            <w:r>
              <w:rPr>
                <w:rFonts w:ascii="Arial" w:hAnsi="Arial"/>
                <w:b/>
                <w:color w:val="FFFFFF"/>
                <w:sz w:val="17"/>
              </w:rPr>
              <w:t>Validator</w:t>
            </w:r>
          </w:p>
        </w:tc>
        <w:tc>
          <w:tcPr>
            <w:tcW w:type="dxa" w:w="792"/>
            <w:vAlign w:val="top"/>
            <w:shd w:fill="1F4E79"/>
          </w:tcPr>
          <w:p>
            <w:pPr>
              <w:spacing w:after="0"/>
            </w:pPr>
            <w:r/>
            <w:r>
              <w:rPr>
                <w:rFonts w:ascii="Arial" w:hAnsi="Arial"/>
                <w:b/>
                <w:color w:val="FFFFFF"/>
                <w:sz w:val="17"/>
              </w:rPr>
              <w:t>MRM</w:t>
            </w:r>
          </w:p>
        </w:tc>
        <w:tc>
          <w:tcPr>
            <w:tcW w:type="dxa" w:w="1080"/>
            <w:vAlign w:val="top"/>
            <w:shd w:fill="1F4E79"/>
          </w:tcPr>
          <w:p>
            <w:pPr>
              <w:spacing w:after="0"/>
            </w:pPr>
            <w:r/>
            <w:r>
              <w:rPr>
                <w:rFonts w:ascii="Arial" w:hAnsi="Arial"/>
                <w:b/>
                <w:color w:val="FFFFFF"/>
                <w:sz w:val="17"/>
              </w:rPr>
              <w:t>Committee</w:t>
            </w:r>
          </w:p>
        </w:tc>
      </w:tr>
      <w:tr>
        <w:tc>
          <w:tcPr>
            <w:tcW w:type="dxa" w:w="2376"/>
            <w:vAlign w:val="top"/>
          </w:tcPr>
          <w:p>
            <w:pPr>
              <w:spacing w:after="0"/>
            </w:pPr>
            <w:r/>
            <w:r>
              <w:rPr>
                <w:rFonts w:ascii="Arial" w:hAnsi="Arial"/>
                <w:b w:val="0"/>
                <w:sz w:val="17"/>
              </w:rPr>
              <w:t>Model intake</w:t>
            </w:r>
          </w:p>
        </w:tc>
        <w:tc>
          <w:tcPr>
            <w:tcW w:type="dxa" w:w="792"/>
            <w:vAlign w:val="top"/>
          </w:tcPr>
          <w:p>
            <w:pPr>
              <w:spacing w:after="0"/>
            </w:pPr>
            <w:r/>
            <w:r>
              <w:rPr>
                <w:rFonts w:ascii="Arial" w:hAnsi="Arial"/>
                <w:b w:val="0"/>
                <w:sz w:val="17"/>
              </w:rPr>
              <w:t>A</w:t>
            </w:r>
          </w:p>
        </w:tc>
        <w:tc>
          <w:tcPr>
            <w:tcW w:type="dxa" w:w="792"/>
            <w:vAlign w:val="top"/>
          </w:tcPr>
          <w:p>
            <w:pPr>
              <w:spacing w:after="0"/>
            </w:pPr>
            <w:r/>
            <w:r>
              <w:rPr>
                <w:rFonts w:ascii="Arial" w:hAnsi="Arial"/>
                <w:b w:val="0"/>
                <w:sz w:val="17"/>
              </w:rPr>
              <w:t>R</w:t>
            </w:r>
          </w:p>
        </w:tc>
        <w:tc>
          <w:tcPr>
            <w:tcW w:type="dxa" w:w="1008"/>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C</w:t>
            </w:r>
          </w:p>
        </w:tc>
        <w:tc>
          <w:tcPr>
            <w:tcW w:type="dxa" w:w="792"/>
            <w:vAlign w:val="top"/>
          </w:tcPr>
          <w:p>
            <w:pPr>
              <w:spacing w:after="0"/>
            </w:pPr>
            <w:r/>
            <w:r>
              <w:rPr>
                <w:rFonts w:ascii="Arial" w:hAnsi="Arial"/>
                <w:b w:val="0"/>
                <w:sz w:val="17"/>
              </w:rPr>
              <w:t>C</w:t>
            </w:r>
          </w:p>
        </w:tc>
        <w:tc>
          <w:tcPr>
            <w:tcW w:type="dxa" w:w="1296"/>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I</w:t>
            </w:r>
          </w:p>
        </w:tc>
        <w:tc>
          <w:tcPr>
            <w:tcW w:type="dxa" w:w="792"/>
            <w:vAlign w:val="top"/>
          </w:tcPr>
          <w:p>
            <w:pPr>
              <w:spacing w:after="0"/>
            </w:pPr>
            <w:r/>
            <w:r>
              <w:rPr>
                <w:rFonts w:ascii="Arial" w:hAnsi="Arial"/>
                <w:b w:val="0"/>
                <w:sz w:val="17"/>
              </w:rPr>
              <w:t>R</w:t>
            </w:r>
          </w:p>
        </w:tc>
        <w:tc>
          <w:tcPr>
            <w:tcW w:type="dxa" w:w="1080"/>
            <w:vAlign w:val="top"/>
          </w:tcPr>
          <w:p>
            <w:pPr>
              <w:spacing w:after="0"/>
            </w:pPr>
            <w:r/>
            <w:r>
              <w:rPr>
                <w:rFonts w:ascii="Arial" w:hAnsi="Arial"/>
                <w:b w:val="0"/>
                <w:sz w:val="17"/>
              </w:rPr>
              <w:t>I</w:t>
            </w:r>
          </w:p>
        </w:tc>
      </w:tr>
      <w:tr>
        <w:tc>
          <w:tcPr>
            <w:tcW w:type="dxa" w:w="2376"/>
            <w:vAlign w:val="top"/>
            <w:shd w:fill="F2F6FB"/>
          </w:tcPr>
          <w:p>
            <w:pPr>
              <w:spacing w:after="0"/>
            </w:pPr>
            <w:r/>
            <w:r>
              <w:rPr>
                <w:rFonts w:ascii="Arial" w:hAnsi="Arial"/>
                <w:b w:val="0"/>
                <w:sz w:val="17"/>
              </w:rPr>
              <w:t>Tiering</w:t>
            </w:r>
          </w:p>
        </w:tc>
        <w:tc>
          <w:tcPr>
            <w:tcW w:type="dxa" w:w="792"/>
            <w:vAlign w:val="top"/>
            <w:shd w:fill="F2F6FB"/>
          </w:tcPr>
          <w:p>
            <w:pPr>
              <w:spacing w:after="0"/>
            </w:pPr>
            <w:r/>
            <w:r>
              <w:rPr>
                <w:rFonts w:ascii="Arial" w:hAnsi="Arial"/>
                <w:b w:val="0"/>
                <w:sz w:val="17"/>
              </w:rPr>
              <w:t>C</w:t>
            </w:r>
          </w:p>
        </w:tc>
        <w:tc>
          <w:tcPr>
            <w:tcW w:type="dxa" w:w="792"/>
            <w:vAlign w:val="top"/>
            <w:shd w:fill="F2F6FB"/>
          </w:tcPr>
          <w:p>
            <w:pPr>
              <w:spacing w:after="0"/>
            </w:pPr>
            <w:r/>
            <w:r>
              <w:rPr>
                <w:rFonts w:ascii="Arial" w:hAnsi="Arial"/>
                <w:b w:val="0"/>
                <w:sz w:val="17"/>
              </w:rPr>
              <w:t>R</w:t>
            </w:r>
          </w:p>
        </w:tc>
        <w:tc>
          <w:tcPr>
            <w:tcW w:type="dxa" w:w="1008"/>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C</w:t>
            </w:r>
          </w:p>
        </w:tc>
        <w:tc>
          <w:tcPr>
            <w:tcW w:type="dxa" w:w="792"/>
            <w:vAlign w:val="top"/>
            <w:shd w:fill="F2F6FB"/>
          </w:tcPr>
          <w:p>
            <w:pPr>
              <w:spacing w:after="0"/>
            </w:pPr>
            <w:r/>
            <w:r>
              <w:rPr>
                <w:rFonts w:ascii="Arial" w:hAnsi="Arial"/>
                <w:b w:val="0"/>
                <w:sz w:val="17"/>
              </w:rPr>
              <w:t>I</w:t>
            </w:r>
          </w:p>
        </w:tc>
        <w:tc>
          <w:tcPr>
            <w:tcW w:type="dxa" w:w="1296"/>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C</w:t>
            </w:r>
          </w:p>
        </w:tc>
        <w:tc>
          <w:tcPr>
            <w:tcW w:type="dxa" w:w="792"/>
            <w:vAlign w:val="top"/>
            <w:shd w:fill="F2F6FB"/>
          </w:tcPr>
          <w:p>
            <w:pPr>
              <w:spacing w:after="0"/>
            </w:pPr>
            <w:r/>
            <w:r>
              <w:rPr>
                <w:rFonts w:ascii="Arial" w:hAnsi="Arial"/>
                <w:b w:val="0"/>
                <w:sz w:val="17"/>
              </w:rPr>
              <w:t>A/R</w:t>
            </w:r>
          </w:p>
        </w:tc>
        <w:tc>
          <w:tcPr>
            <w:tcW w:type="dxa" w:w="1080"/>
            <w:vAlign w:val="top"/>
            <w:shd w:fill="F2F6FB"/>
          </w:tcPr>
          <w:p>
            <w:pPr>
              <w:spacing w:after="0"/>
            </w:pPr>
            <w:r/>
            <w:r>
              <w:rPr>
                <w:rFonts w:ascii="Arial" w:hAnsi="Arial"/>
                <w:b w:val="0"/>
                <w:sz w:val="17"/>
              </w:rPr>
              <w:t>I</w:t>
            </w:r>
          </w:p>
        </w:tc>
      </w:tr>
      <w:tr>
        <w:tc>
          <w:tcPr>
            <w:tcW w:type="dxa" w:w="2376"/>
            <w:vAlign w:val="top"/>
          </w:tcPr>
          <w:p>
            <w:pPr>
              <w:spacing w:after="0"/>
            </w:pPr>
            <w:r/>
            <w:r>
              <w:rPr>
                <w:rFonts w:ascii="Arial" w:hAnsi="Arial"/>
                <w:b w:val="0"/>
                <w:sz w:val="17"/>
              </w:rPr>
              <w:t>Requirements</w:t>
            </w:r>
          </w:p>
        </w:tc>
        <w:tc>
          <w:tcPr>
            <w:tcW w:type="dxa" w:w="792"/>
            <w:vAlign w:val="top"/>
          </w:tcPr>
          <w:p>
            <w:pPr>
              <w:spacing w:after="0"/>
            </w:pPr>
            <w:r/>
            <w:r>
              <w:rPr>
                <w:rFonts w:ascii="Arial" w:hAnsi="Arial"/>
                <w:b w:val="0"/>
                <w:sz w:val="17"/>
              </w:rPr>
              <w:t>A</w:t>
            </w:r>
          </w:p>
        </w:tc>
        <w:tc>
          <w:tcPr>
            <w:tcW w:type="dxa" w:w="792"/>
            <w:vAlign w:val="top"/>
          </w:tcPr>
          <w:p>
            <w:pPr>
              <w:spacing w:after="0"/>
            </w:pPr>
            <w:r/>
            <w:r>
              <w:rPr>
                <w:rFonts w:ascii="Arial" w:hAnsi="Arial"/>
                <w:b w:val="0"/>
                <w:sz w:val="17"/>
              </w:rPr>
              <w:t>R</w:t>
            </w:r>
          </w:p>
        </w:tc>
        <w:tc>
          <w:tcPr>
            <w:tcW w:type="dxa" w:w="1008"/>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C</w:t>
            </w:r>
          </w:p>
        </w:tc>
        <w:tc>
          <w:tcPr>
            <w:tcW w:type="dxa" w:w="792"/>
            <w:vAlign w:val="top"/>
          </w:tcPr>
          <w:p>
            <w:pPr>
              <w:spacing w:after="0"/>
            </w:pPr>
            <w:r/>
            <w:r>
              <w:rPr>
                <w:rFonts w:ascii="Arial" w:hAnsi="Arial"/>
                <w:b w:val="0"/>
                <w:sz w:val="17"/>
              </w:rPr>
              <w:t>C</w:t>
            </w:r>
          </w:p>
        </w:tc>
        <w:tc>
          <w:tcPr>
            <w:tcW w:type="dxa" w:w="1296"/>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I</w:t>
            </w:r>
          </w:p>
        </w:tc>
        <w:tc>
          <w:tcPr>
            <w:tcW w:type="dxa" w:w="792"/>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I</w:t>
            </w:r>
          </w:p>
        </w:tc>
      </w:tr>
      <w:tr>
        <w:tc>
          <w:tcPr>
            <w:tcW w:type="dxa" w:w="2376"/>
            <w:vAlign w:val="top"/>
            <w:shd w:fill="F2F6FB"/>
          </w:tcPr>
          <w:p>
            <w:pPr>
              <w:spacing w:after="0"/>
            </w:pPr>
            <w:r/>
            <w:r>
              <w:rPr>
                <w:rFonts w:ascii="Arial" w:hAnsi="Arial"/>
                <w:b w:val="0"/>
                <w:sz w:val="17"/>
              </w:rPr>
              <w:t>Data approvals</w:t>
            </w:r>
          </w:p>
        </w:tc>
        <w:tc>
          <w:tcPr>
            <w:tcW w:type="dxa" w:w="792"/>
            <w:vAlign w:val="top"/>
            <w:shd w:fill="F2F6FB"/>
          </w:tcPr>
          <w:p>
            <w:pPr>
              <w:spacing w:after="0"/>
            </w:pPr>
            <w:r/>
            <w:r>
              <w:rPr>
                <w:rFonts w:ascii="Arial" w:hAnsi="Arial"/>
                <w:b w:val="0"/>
                <w:sz w:val="17"/>
              </w:rPr>
              <w:t>I</w:t>
            </w:r>
          </w:p>
        </w:tc>
        <w:tc>
          <w:tcPr>
            <w:tcW w:type="dxa" w:w="792"/>
            <w:vAlign w:val="top"/>
            <w:shd w:fill="F2F6FB"/>
          </w:tcPr>
          <w:p>
            <w:pPr>
              <w:spacing w:after="0"/>
            </w:pPr>
            <w:r/>
            <w:r>
              <w:rPr>
                <w:rFonts w:ascii="Arial" w:hAnsi="Arial"/>
                <w:b w:val="0"/>
                <w:sz w:val="17"/>
              </w:rPr>
              <w:t>C</w:t>
            </w:r>
          </w:p>
        </w:tc>
        <w:tc>
          <w:tcPr>
            <w:tcW w:type="dxa" w:w="1008"/>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A/R</w:t>
            </w:r>
          </w:p>
        </w:tc>
        <w:tc>
          <w:tcPr>
            <w:tcW w:type="dxa" w:w="792"/>
            <w:vAlign w:val="top"/>
            <w:shd w:fill="F2F6FB"/>
          </w:tcPr>
          <w:p>
            <w:pPr>
              <w:spacing w:after="0"/>
            </w:pPr>
            <w:r/>
            <w:r>
              <w:rPr>
                <w:rFonts w:ascii="Arial" w:hAnsi="Arial"/>
                <w:b w:val="0"/>
                <w:sz w:val="17"/>
              </w:rPr>
              <w:t>C</w:t>
            </w:r>
          </w:p>
        </w:tc>
        <w:tc>
          <w:tcPr>
            <w:tcW w:type="dxa" w:w="1296"/>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I</w:t>
            </w:r>
          </w:p>
        </w:tc>
        <w:tc>
          <w:tcPr>
            <w:tcW w:type="dxa" w:w="792"/>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I</w:t>
            </w:r>
          </w:p>
        </w:tc>
      </w:tr>
      <w:tr>
        <w:tc>
          <w:tcPr>
            <w:tcW w:type="dxa" w:w="2376"/>
            <w:vAlign w:val="top"/>
          </w:tcPr>
          <w:p>
            <w:pPr>
              <w:spacing w:after="0"/>
            </w:pPr>
            <w:r/>
            <w:r>
              <w:rPr>
                <w:rFonts w:ascii="Arial" w:hAnsi="Arial"/>
                <w:b w:val="0"/>
                <w:sz w:val="17"/>
              </w:rPr>
              <w:t>Development</w:t>
            </w:r>
          </w:p>
        </w:tc>
        <w:tc>
          <w:tcPr>
            <w:tcW w:type="dxa" w:w="792"/>
            <w:vAlign w:val="top"/>
          </w:tcPr>
          <w:p>
            <w:pPr>
              <w:spacing w:after="0"/>
            </w:pPr>
            <w:r/>
            <w:r>
              <w:rPr>
                <w:rFonts w:ascii="Arial" w:hAnsi="Arial"/>
                <w:b w:val="0"/>
                <w:sz w:val="17"/>
              </w:rPr>
              <w:t>I</w:t>
            </w:r>
          </w:p>
        </w:tc>
        <w:tc>
          <w:tcPr>
            <w:tcW w:type="dxa" w:w="792"/>
            <w:vAlign w:val="top"/>
          </w:tcPr>
          <w:p>
            <w:pPr>
              <w:spacing w:after="0"/>
            </w:pPr>
            <w:r/>
            <w:r>
              <w:rPr>
                <w:rFonts w:ascii="Arial" w:hAnsi="Arial"/>
                <w:b w:val="0"/>
                <w:sz w:val="17"/>
              </w:rPr>
              <w:t>A</w:t>
            </w:r>
          </w:p>
        </w:tc>
        <w:tc>
          <w:tcPr>
            <w:tcW w:type="dxa" w:w="1008"/>
            <w:vAlign w:val="top"/>
          </w:tcPr>
          <w:p>
            <w:pPr>
              <w:spacing w:after="0"/>
            </w:pPr>
            <w:r/>
            <w:r>
              <w:rPr>
                <w:rFonts w:ascii="Arial" w:hAnsi="Arial"/>
                <w:b w:val="0"/>
                <w:sz w:val="17"/>
              </w:rPr>
              <w:t>R</w:t>
            </w:r>
          </w:p>
        </w:tc>
        <w:tc>
          <w:tcPr>
            <w:tcW w:type="dxa" w:w="1080"/>
            <w:vAlign w:val="top"/>
          </w:tcPr>
          <w:p>
            <w:pPr>
              <w:spacing w:after="0"/>
            </w:pPr>
            <w:r/>
            <w:r>
              <w:rPr>
                <w:rFonts w:ascii="Arial" w:hAnsi="Arial"/>
                <w:b w:val="0"/>
                <w:sz w:val="17"/>
              </w:rPr>
              <w:t>C</w:t>
            </w:r>
          </w:p>
        </w:tc>
        <w:tc>
          <w:tcPr>
            <w:tcW w:type="dxa" w:w="792"/>
            <w:vAlign w:val="top"/>
          </w:tcPr>
          <w:p>
            <w:pPr>
              <w:spacing w:after="0"/>
            </w:pPr>
            <w:r/>
            <w:r>
              <w:rPr>
                <w:rFonts w:ascii="Arial" w:hAnsi="Arial"/>
                <w:b w:val="0"/>
                <w:sz w:val="17"/>
              </w:rPr>
              <w:t>C</w:t>
            </w:r>
          </w:p>
        </w:tc>
        <w:tc>
          <w:tcPr>
            <w:tcW w:type="dxa" w:w="1296"/>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I</w:t>
            </w:r>
          </w:p>
        </w:tc>
        <w:tc>
          <w:tcPr>
            <w:tcW w:type="dxa" w:w="792"/>
            <w:vAlign w:val="top"/>
          </w:tcPr>
          <w:p>
            <w:pPr>
              <w:spacing w:after="0"/>
            </w:pPr>
            <w:r/>
            <w:r>
              <w:rPr>
                <w:rFonts w:ascii="Arial" w:hAnsi="Arial"/>
                <w:b w:val="0"/>
                <w:sz w:val="17"/>
              </w:rPr>
              <w:t>I</w:t>
            </w:r>
          </w:p>
        </w:tc>
        <w:tc>
          <w:tcPr>
            <w:tcW w:type="dxa" w:w="1080"/>
            <w:vAlign w:val="top"/>
          </w:tcPr>
          <w:p>
            <w:pPr>
              <w:spacing w:after="0"/>
            </w:pPr>
            <w:r/>
            <w:r>
              <w:rPr>
                <w:rFonts w:ascii="Arial" w:hAnsi="Arial"/>
                <w:b w:val="0"/>
                <w:sz w:val="17"/>
              </w:rPr>
              <w:t>I</w:t>
            </w:r>
          </w:p>
        </w:tc>
      </w:tr>
      <w:tr>
        <w:tc>
          <w:tcPr>
            <w:tcW w:type="dxa" w:w="2376"/>
            <w:vAlign w:val="top"/>
            <w:shd w:fill="F2F6FB"/>
          </w:tcPr>
          <w:p>
            <w:pPr>
              <w:spacing w:after="0"/>
            </w:pPr>
            <w:r/>
            <w:r>
              <w:rPr>
                <w:rFonts w:ascii="Arial" w:hAnsi="Arial"/>
                <w:b w:val="0"/>
                <w:sz w:val="17"/>
              </w:rPr>
              <w:t>Developer testing</w:t>
            </w:r>
          </w:p>
        </w:tc>
        <w:tc>
          <w:tcPr>
            <w:tcW w:type="dxa" w:w="792"/>
            <w:vAlign w:val="top"/>
            <w:shd w:fill="F2F6FB"/>
          </w:tcPr>
          <w:p>
            <w:pPr>
              <w:spacing w:after="0"/>
            </w:pPr>
            <w:r/>
            <w:r>
              <w:rPr>
                <w:rFonts w:ascii="Arial" w:hAnsi="Arial"/>
                <w:b w:val="0"/>
                <w:sz w:val="17"/>
              </w:rPr>
              <w:t>I</w:t>
            </w:r>
          </w:p>
        </w:tc>
        <w:tc>
          <w:tcPr>
            <w:tcW w:type="dxa" w:w="792"/>
            <w:vAlign w:val="top"/>
            <w:shd w:fill="F2F6FB"/>
          </w:tcPr>
          <w:p>
            <w:pPr>
              <w:spacing w:after="0"/>
            </w:pPr>
            <w:r/>
            <w:r>
              <w:rPr>
                <w:rFonts w:ascii="Arial" w:hAnsi="Arial"/>
                <w:b w:val="0"/>
                <w:sz w:val="17"/>
              </w:rPr>
              <w:t>A</w:t>
            </w:r>
          </w:p>
        </w:tc>
        <w:tc>
          <w:tcPr>
            <w:tcW w:type="dxa" w:w="1008"/>
            <w:vAlign w:val="top"/>
            <w:shd w:fill="F2F6FB"/>
          </w:tcPr>
          <w:p>
            <w:pPr>
              <w:spacing w:after="0"/>
            </w:pPr>
            <w:r/>
            <w:r>
              <w:rPr>
                <w:rFonts w:ascii="Arial" w:hAnsi="Arial"/>
                <w:b w:val="0"/>
                <w:sz w:val="17"/>
              </w:rPr>
              <w:t>R</w:t>
            </w:r>
          </w:p>
        </w:tc>
        <w:tc>
          <w:tcPr>
            <w:tcW w:type="dxa" w:w="1080"/>
            <w:vAlign w:val="top"/>
            <w:shd w:fill="F2F6FB"/>
          </w:tcPr>
          <w:p>
            <w:pPr>
              <w:spacing w:after="0"/>
            </w:pPr>
            <w:r/>
            <w:r>
              <w:rPr>
                <w:rFonts w:ascii="Arial" w:hAnsi="Arial"/>
                <w:b w:val="0"/>
                <w:sz w:val="17"/>
              </w:rPr>
              <w:t>C</w:t>
            </w:r>
          </w:p>
        </w:tc>
        <w:tc>
          <w:tcPr>
            <w:tcW w:type="dxa" w:w="792"/>
            <w:vAlign w:val="top"/>
            <w:shd w:fill="F2F6FB"/>
          </w:tcPr>
          <w:p>
            <w:pPr>
              <w:spacing w:after="0"/>
            </w:pPr>
            <w:r/>
            <w:r>
              <w:rPr>
                <w:rFonts w:ascii="Arial" w:hAnsi="Arial"/>
                <w:b w:val="0"/>
                <w:sz w:val="17"/>
              </w:rPr>
              <w:t>C</w:t>
            </w:r>
          </w:p>
        </w:tc>
        <w:tc>
          <w:tcPr>
            <w:tcW w:type="dxa" w:w="1296"/>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I</w:t>
            </w:r>
          </w:p>
        </w:tc>
        <w:tc>
          <w:tcPr>
            <w:tcW w:type="dxa" w:w="792"/>
            <w:vAlign w:val="top"/>
            <w:shd w:fill="F2F6FB"/>
          </w:tcPr>
          <w:p>
            <w:pPr>
              <w:spacing w:after="0"/>
            </w:pPr>
            <w:r/>
            <w:r>
              <w:rPr>
                <w:rFonts w:ascii="Arial" w:hAnsi="Arial"/>
                <w:b w:val="0"/>
                <w:sz w:val="17"/>
              </w:rPr>
              <w:t>I</w:t>
            </w:r>
          </w:p>
        </w:tc>
        <w:tc>
          <w:tcPr>
            <w:tcW w:type="dxa" w:w="1080"/>
            <w:vAlign w:val="top"/>
            <w:shd w:fill="F2F6FB"/>
          </w:tcPr>
          <w:p>
            <w:pPr>
              <w:spacing w:after="0"/>
            </w:pPr>
            <w:r/>
            <w:r>
              <w:rPr>
                <w:rFonts w:ascii="Arial" w:hAnsi="Arial"/>
                <w:b w:val="0"/>
                <w:sz w:val="17"/>
              </w:rPr>
              <w:t>I</w:t>
            </w:r>
          </w:p>
        </w:tc>
      </w:tr>
      <w:tr>
        <w:tc>
          <w:tcPr>
            <w:tcW w:type="dxa" w:w="2376"/>
            <w:vAlign w:val="top"/>
          </w:tcPr>
          <w:p>
            <w:pPr>
              <w:spacing w:after="0"/>
            </w:pPr>
            <w:r/>
            <w:r>
              <w:rPr>
                <w:rFonts w:ascii="Arial" w:hAnsi="Arial"/>
                <w:b w:val="0"/>
                <w:sz w:val="17"/>
              </w:rPr>
              <w:t>Independent validation</w:t>
            </w:r>
          </w:p>
        </w:tc>
        <w:tc>
          <w:tcPr>
            <w:tcW w:type="dxa" w:w="792"/>
            <w:vAlign w:val="top"/>
          </w:tcPr>
          <w:p>
            <w:pPr>
              <w:spacing w:after="0"/>
            </w:pPr>
            <w:r/>
            <w:r>
              <w:rPr>
                <w:rFonts w:ascii="Arial" w:hAnsi="Arial"/>
                <w:b w:val="0"/>
                <w:sz w:val="17"/>
              </w:rPr>
              <w:t>I</w:t>
            </w:r>
          </w:p>
        </w:tc>
        <w:tc>
          <w:tcPr>
            <w:tcW w:type="dxa" w:w="792"/>
            <w:vAlign w:val="top"/>
          </w:tcPr>
          <w:p>
            <w:pPr>
              <w:spacing w:after="0"/>
            </w:pPr>
            <w:r/>
            <w:r>
              <w:rPr>
                <w:rFonts w:ascii="Arial" w:hAnsi="Arial"/>
                <w:b w:val="0"/>
                <w:sz w:val="17"/>
              </w:rPr>
              <w:t>C</w:t>
            </w:r>
          </w:p>
        </w:tc>
        <w:tc>
          <w:tcPr>
            <w:tcW w:type="dxa" w:w="1008"/>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C</w:t>
            </w:r>
          </w:p>
        </w:tc>
        <w:tc>
          <w:tcPr>
            <w:tcW w:type="dxa" w:w="792"/>
            <w:vAlign w:val="top"/>
          </w:tcPr>
          <w:p>
            <w:pPr>
              <w:spacing w:after="0"/>
            </w:pPr>
            <w:r/>
            <w:r>
              <w:rPr>
                <w:rFonts w:ascii="Arial" w:hAnsi="Arial"/>
                <w:b w:val="0"/>
                <w:sz w:val="17"/>
              </w:rPr>
              <w:t>C</w:t>
            </w:r>
          </w:p>
        </w:tc>
        <w:tc>
          <w:tcPr>
            <w:tcW w:type="dxa" w:w="1296"/>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A/R</w:t>
            </w:r>
          </w:p>
        </w:tc>
        <w:tc>
          <w:tcPr>
            <w:tcW w:type="dxa" w:w="792"/>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I</w:t>
            </w:r>
          </w:p>
        </w:tc>
      </w:tr>
      <w:tr>
        <w:tc>
          <w:tcPr>
            <w:tcW w:type="dxa" w:w="2376"/>
            <w:vAlign w:val="top"/>
            <w:shd w:fill="F2F6FB"/>
          </w:tcPr>
          <w:p>
            <w:pPr>
              <w:spacing w:after="0"/>
            </w:pPr>
            <w:r/>
            <w:r>
              <w:rPr>
                <w:rFonts w:ascii="Arial" w:hAnsi="Arial"/>
                <w:b w:val="0"/>
                <w:sz w:val="17"/>
              </w:rPr>
              <w:t>Issue remediation</w:t>
            </w:r>
          </w:p>
        </w:tc>
        <w:tc>
          <w:tcPr>
            <w:tcW w:type="dxa" w:w="792"/>
            <w:vAlign w:val="top"/>
            <w:shd w:fill="F2F6FB"/>
          </w:tcPr>
          <w:p>
            <w:pPr>
              <w:spacing w:after="0"/>
            </w:pPr>
            <w:r/>
            <w:r>
              <w:rPr>
                <w:rFonts w:ascii="Arial" w:hAnsi="Arial"/>
                <w:b w:val="0"/>
                <w:sz w:val="17"/>
              </w:rPr>
              <w:t>C</w:t>
            </w:r>
          </w:p>
        </w:tc>
        <w:tc>
          <w:tcPr>
            <w:tcW w:type="dxa" w:w="792"/>
            <w:vAlign w:val="top"/>
            <w:shd w:fill="F2F6FB"/>
          </w:tcPr>
          <w:p>
            <w:pPr>
              <w:spacing w:after="0"/>
            </w:pPr>
            <w:r/>
            <w:r>
              <w:rPr>
                <w:rFonts w:ascii="Arial" w:hAnsi="Arial"/>
                <w:b w:val="0"/>
                <w:sz w:val="17"/>
              </w:rPr>
              <w:t>A/R</w:t>
            </w:r>
          </w:p>
        </w:tc>
        <w:tc>
          <w:tcPr>
            <w:tcW w:type="dxa" w:w="1008"/>
            <w:vAlign w:val="top"/>
            <w:shd w:fill="F2F6FB"/>
          </w:tcPr>
          <w:p>
            <w:pPr>
              <w:spacing w:after="0"/>
            </w:pPr>
            <w:r/>
            <w:r>
              <w:rPr>
                <w:rFonts w:ascii="Arial" w:hAnsi="Arial"/>
                <w:b w:val="0"/>
                <w:sz w:val="17"/>
              </w:rPr>
              <w:t>R</w:t>
            </w:r>
          </w:p>
        </w:tc>
        <w:tc>
          <w:tcPr>
            <w:tcW w:type="dxa" w:w="1080"/>
            <w:vAlign w:val="top"/>
            <w:shd w:fill="F2F6FB"/>
          </w:tcPr>
          <w:p>
            <w:pPr>
              <w:spacing w:after="0"/>
            </w:pPr>
            <w:r/>
            <w:r>
              <w:rPr>
                <w:rFonts w:ascii="Arial" w:hAnsi="Arial"/>
                <w:b w:val="0"/>
                <w:sz w:val="17"/>
              </w:rPr>
              <w:t>C</w:t>
            </w:r>
          </w:p>
        </w:tc>
        <w:tc>
          <w:tcPr>
            <w:tcW w:type="dxa" w:w="792"/>
            <w:vAlign w:val="top"/>
            <w:shd w:fill="F2F6FB"/>
          </w:tcPr>
          <w:p>
            <w:pPr>
              <w:spacing w:after="0"/>
            </w:pPr>
            <w:r/>
            <w:r>
              <w:rPr>
                <w:rFonts w:ascii="Arial" w:hAnsi="Arial"/>
                <w:b w:val="0"/>
                <w:sz w:val="17"/>
              </w:rPr>
              <w:t>C</w:t>
            </w:r>
          </w:p>
        </w:tc>
        <w:tc>
          <w:tcPr>
            <w:tcW w:type="dxa" w:w="1296"/>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C</w:t>
            </w:r>
          </w:p>
        </w:tc>
        <w:tc>
          <w:tcPr>
            <w:tcW w:type="dxa" w:w="792"/>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I</w:t>
            </w:r>
          </w:p>
        </w:tc>
      </w:tr>
      <w:tr>
        <w:tc>
          <w:tcPr>
            <w:tcW w:type="dxa" w:w="2376"/>
            <w:vAlign w:val="top"/>
          </w:tcPr>
          <w:p>
            <w:pPr>
              <w:spacing w:after="0"/>
            </w:pPr>
            <w:r/>
            <w:r>
              <w:rPr>
                <w:rFonts w:ascii="Arial" w:hAnsi="Arial"/>
                <w:b w:val="0"/>
                <w:sz w:val="17"/>
              </w:rPr>
              <w:t>Approval decision</w:t>
            </w:r>
          </w:p>
        </w:tc>
        <w:tc>
          <w:tcPr>
            <w:tcW w:type="dxa" w:w="792"/>
            <w:vAlign w:val="top"/>
          </w:tcPr>
          <w:p>
            <w:pPr>
              <w:spacing w:after="0"/>
            </w:pPr>
            <w:r/>
            <w:r>
              <w:rPr>
                <w:rFonts w:ascii="Arial" w:hAnsi="Arial"/>
                <w:b w:val="0"/>
                <w:sz w:val="17"/>
              </w:rPr>
              <w:t>I</w:t>
            </w:r>
          </w:p>
        </w:tc>
        <w:tc>
          <w:tcPr>
            <w:tcW w:type="dxa" w:w="792"/>
            <w:vAlign w:val="top"/>
          </w:tcPr>
          <w:p>
            <w:pPr>
              <w:spacing w:after="0"/>
            </w:pPr>
            <w:r/>
            <w:r>
              <w:rPr>
                <w:rFonts w:ascii="Arial" w:hAnsi="Arial"/>
                <w:b w:val="0"/>
                <w:sz w:val="17"/>
              </w:rPr>
              <w:t>C</w:t>
            </w:r>
          </w:p>
        </w:tc>
        <w:tc>
          <w:tcPr>
            <w:tcW w:type="dxa" w:w="1008"/>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I</w:t>
            </w:r>
          </w:p>
        </w:tc>
        <w:tc>
          <w:tcPr>
            <w:tcW w:type="dxa" w:w="792"/>
            <w:vAlign w:val="top"/>
          </w:tcPr>
          <w:p>
            <w:pPr>
              <w:spacing w:after="0"/>
            </w:pPr>
            <w:r/>
            <w:r>
              <w:rPr>
                <w:rFonts w:ascii="Arial" w:hAnsi="Arial"/>
                <w:b w:val="0"/>
                <w:sz w:val="17"/>
              </w:rPr>
              <w:t>I</w:t>
            </w:r>
          </w:p>
        </w:tc>
        <w:tc>
          <w:tcPr>
            <w:tcW w:type="dxa" w:w="1296"/>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C</w:t>
            </w:r>
          </w:p>
        </w:tc>
        <w:tc>
          <w:tcPr>
            <w:tcW w:type="dxa" w:w="792"/>
            <w:vAlign w:val="top"/>
          </w:tcPr>
          <w:p>
            <w:pPr>
              <w:spacing w:after="0"/>
            </w:pPr>
            <w:r/>
            <w:r>
              <w:rPr>
                <w:rFonts w:ascii="Arial" w:hAnsi="Arial"/>
                <w:b w:val="0"/>
                <w:sz w:val="17"/>
              </w:rPr>
              <w:t>R</w:t>
            </w:r>
          </w:p>
        </w:tc>
        <w:tc>
          <w:tcPr>
            <w:tcW w:type="dxa" w:w="1080"/>
            <w:vAlign w:val="top"/>
          </w:tcPr>
          <w:p>
            <w:pPr>
              <w:spacing w:after="0"/>
            </w:pPr>
            <w:r/>
            <w:r>
              <w:rPr>
                <w:rFonts w:ascii="Arial" w:hAnsi="Arial"/>
                <w:b w:val="0"/>
                <w:sz w:val="17"/>
              </w:rPr>
              <w:t>A</w:t>
            </w:r>
          </w:p>
        </w:tc>
      </w:tr>
      <w:tr>
        <w:tc>
          <w:tcPr>
            <w:tcW w:type="dxa" w:w="2376"/>
            <w:vAlign w:val="top"/>
            <w:shd w:fill="F2F6FB"/>
          </w:tcPr>
          <w:p>
            <w:pPr>
              <w:spacing w:after="0"/>
            </w:pPr>
            <w:r/>
            <w:r>
              <w:rPr>
                <w:rFonts w:ascii="Arial" w:hAnsi="Arial"/>
                <w:b w:val="0"/>
                <w:sz w:val="17"/>
              </w:rPr>
              <w:t>Implementation</w:t>
            </w:r>
          </w:p>
        </w:tc>
        <w:tc>
          <w:tcPr>
            <w:tcW w:type="dxa" w:w="792"/>
            <w:vAlign w:val="top"/>
            <w:shd w:fill="F2F6FB"/>
          </w:tcPr>
          <w:p>
            <w:pPr>
              <w:spacing w:after="0"/>
            </w:pPr>
            <w:r/>
            <w:r>
              <w:rPr>
                <w:rFonts w:ascii="Arial" w:hAnsi="Arial"/>
                <w:b w:val="0"/>
                <w:sz w:val="17"/>
              </w:rPr>
              <w:t>I</w:t>
            </w:r>
          </w:p>
        </w:tc>
        <w:tc>
          <w:tcPr>
            <w:tcW w:type="dxa" w:w="792"/>
            <w:vAlign w:val="top"/>
            <w:shd w:fill="F2F6FB"/>
          </w:tcPr>
          <w:p>
            <w:pPr>
              <w:spacing w:after="0"/>
            </w:pPr>
            <w:r/>
            <w:r>
              <w:rPr>
                <w:rFonts w:ascii="Arial" w:hAnsi="Arial"/>
                <w:b w:val="0"/>
                <w:sz w:val="17"/>
              </w:rPr>
              <w:t>A</w:t>
            </w:r>
          </w:p>
        </w:tc>
        <w:tc>
          <w:tcPr>
            <w:tcW w:type="dxa" w:w="1008"/>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C</w:t>
            </w:r>
          </w:p>
        </w:tc>
        <w:tc>
          <w:tcPr>
            <w:tcW w:type="dxa" w:w="792"/>
            <w:vAlign w:val="top"/>
            <w:shd w:fill="F2F6FB"/>
          </w:tcPr>
          <w:p>
            <w:pPr>
              <w:spacing w:after="0"/>
            </w:pPr>
            <w:r/>
            <w:r>
              <w:rPr>
                <w:rFonts w:ascii="Arial" w:hAnsi="Arial"/>
                <w:b w:val="0"/>
                <w:sz w:val="17"/>
              </w:rPr>
              <w:t>R</w:t>
            </w:r>
          </w:p>
        </w:tc>
        <w:tc>
          <w:tcPr>
            <w:tcW w:type="dxa" w:w="1296"/>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I</w:t>
            </w:r>
          </w:p>
        </w:tc>
        <w:tc>
          <w:tcPr>
            <w:tcW w:type="dxa" w:w="792"/>
            <w:vAlign w:val="top"/>
            <w:shd w:fill="F2F6FB"/>
          </w:tcPr>
          <w:p>
            <w:pPr>
              <w:spacing w:after="0"/>
            </w:pPr>
            <w:r/>
            <w:r>
              <w:rPr>
                <w:rFonts w:ascii="Arial" w:hAnsi="Arial"/>
                <w:b w:val="0"/>
                <w:sz w:val="17"/>
              </w:rPr>
              <w:t>C</w:t>
            </w:r>
          </w:p>
        </w:tc>
        <w:tc>
          <w:tcPr>
            <w:tcW w:type="dxa" w:w="1080"/>
            <w:vAlign w:val="top"/>
            <w:shd w:fill="F2F6FB"/>
          </w:tcPr>
          <w:p>
            <w:pPr>
              <w:spacing w:after="0"/>
            </w:pPr>
            <w:r/>
            <w:r>
              <w:rPr>
                <w:rFonts w:ascii="Arial" w:hAnsi="Arial"/>
                <w:b w:val="0"/>
                <w:sz w:val="17"/>
              </w:rPr>
              <w:t>I</w:t>
            </w:r>
          </w:p>
        </w:tc>
      </w:tr>
      <w:tr>
        <w:tc>
          <w:tcPr>
            <w:tcW w:type="dxa" w:w="2376"/>
            <w:vAlign w:val="top"/>
          </w:tcPr>
          <w:p>
            <w:pPr>
              <w:spacing w:after="0"/>
            </w:pPr>
            <w:r/>
            <w:r>
              <w:rPr>
                <w:rFonts w:ascii="Arial" w:hAnsi="Arial"/>
                <w:b w:val="0"/>
                <w:sz w:val="17"/>
              </w:rPr>
              <w:t>Ongoing monitoring</w:t>
            </w:r>
          </w:p>
        </w:tc>
        <w:tc>
          <w:tcPr>
            <w:tcW w:type="dxa" w:w="792"/>
            <w:vAlign w:val="top"/>
          </w:tcPr>
          <w:p>
            <w:pPr>
              <w:spacing w:after="0"/>
            </w:pPr>
            <w:r/>
            <w:r>
              <w:rPr>
                <w:rFonts w:ascii="Arial" w:hAnsi="Arial"/>
                <w:b w:val="0"/>
                <w:sz w:val="17"/>
              </w:rPr>
              <w:t>I</w:t>
            </w:r>
          </w:p>
        </w:tc>
        <w:tc>
          <w:tcPr>
            <w:tcW w:type="dxa" w:w="792"/>
            <w:vAlign w:val="top"/>
          </w:tcPr>
          <w:p>
            <w:pPr>
              <w:spacing w:after="0"/>
            </w:pPr>
            <w:r/>
            <w:r>
              <w:rPr>
                <w:rFonts w:ascii="Arial" w:hAnsi="Arial"/>
                <w:b w:val="0"/>
                <w:sz w:val="17"/>
              </w:rPr>
              <w:t>A/R</w:t>
            </w:r>
          </w:p>
        </w:tc>
        <w:tc>
          <w:tcPr>
            <w:tcW w:type="dxa" w:w="1008"/>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C</w:t>
            </w:r>
          </w:p>
        </w:tc>
        <w:tc>
          <w:tcPr>
            <w:tcW w:type="dxa" w:w="792"/>
            <w:vAlign w:val="top"/>
          </w:tcPr>
          <w:p>
            <w:pPr>
              <w:spacing w:after="0"/>
            </w:pPr>
            <w:r/>
            <w:r>
              <w:rPr>
                <w:rFonts w:ascii="Arial" w:hAnsi="Arial"/>
                <w:b w:val="0"/>
                <w:sz w:val="17"/>
              </w:rPr>
              <w:t>C</w:t>
            </w:r>
          </w:p>
        </w:tc>
        <w:tc>
          <w:tcPr>
            <w:tcW w:type="dxa" w:w="1296"/>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C</w:t>
            </w:r>
          </w:p>
        </w:tc>
        <w:tc>
          <w:tcPr>
            <w:tcW w:type="dxa" w:w="792"/>
            <w:vAlign w:val="top"/>
          </w:tcPr>
          <w:p>
            <w:pPr>
              <w:spacing w:after="0"/>
            </w:pPr>
            <w:r/>
            <w:r>
              <w:rPr>
                <w:rFonts w:ascii="Arial" w:hAnsi="Arial"/>
                <w:b w:val="0"/>
                <w:sz w:val="17"/>
              </w:rPr>
              <w:t>C</w:t>
            </w:r>
          </w:p>
        </w:tc>
        <w:tc>
          <w:tcPr>
            <w:tcW w:type="dxa" w:w="1080"/>
            <w:vAlign w:val="top"/>
          </w:tcPr>
          <w:p>
            <w:pPr>
              <w:spacing w:after="0"/>
            </w:pPr>
            <w:r/>
            <w:r>
              <w:rPr>
                <w:rFonts w:ascii="Arial" w:hAnsi="Arial"/>
                <w:b w:val="0"/>
                <w:sz w:val="17"/>
              </w:rPr>
              <w:t>I</w:t>
            </w:r>
          </w:p>
        </w:tc>
      </w:tr>
    </w:tbl>
    <w:p>
      <w:pPr>
        <w:spacing w:after="20"/>
      </w:pPr>
    </w:p>
    <w:p>
      <w:pPr>
        <w:pStyle w:val="SmallText"/>
      </w:pPr>
      <w:r>
        <w:t>Legend: R = Responsible, A = Accountable, C = Consulted, I = Informed.</w:t>
      </w:r>
    </w:p>
    <w:p>
      <w:pPr>
        <w:pStyle w:val="Heading2"/>
        <w:keepNext/>
      </w:pPr>
      <w:r>
        <w:t>3.2 Segregation Rules</w:t>
      </w:r>
    </w:p>
    <w:p>
      <w:pPr>
        <w:pStyle w:val="ListBullet"/>
        <w:spacing w:after="40"/>
      </w:pPr>
      <w:r>
        <w:t>A model developer must not independently validate their own model or approve model use.</w:t>
      </w:r>
    </w:p>
    <w:p>
      <w:pPr>
        <w:pStyle w:val="ListBullet"/>
        <w:spacing w:after="40"/>
      </w:pPr>
      <w:r>
        <w:t>A model owner may accept business risk only within delegated authority and may not waive independent validation for material models without approved policy exception.</w:t>
      </w:r>
    </w:p>
    <w:p>
      <w:pPr>
        <w:pStyle w:val="ListBullet"/>
        <w:spacing w:after="40"/>
      </w:pPr>
      <w:r>
        <w:t>Technology release approval must be separate from model conceptual approval.</w:t>
      </w:r>
    </w:p>
    <w:p>
      <w:pPr>
        <w:pStyle w:val="ListBullet"/>
        <w:spacing w:after="40"/>
      </w:pPr>
      <w:r>
        <w:t>Any conflict of interest must be disclosed to MRM before validation or approval begins.</w:t>
      </w:r>
    </w:p>
    <w:p>
      <w:pPr>
        <w:pStyle w:val="ListBullet"/>
        <w:spacing w:after="40"/>
      </w:pPr>
      <w:r>
        <w:t>Emergency use, tactical deployment, or senior management pressure must not bypass model risk controls unless a formal exception is approved and time-bound.</w:t>
      </w:r>
    </w:p>
    <w:p>
      <w:r>
        <w:br w:type="page"/>
      </w:r>
    </w:p>
    <w:p>
      <w:pPr>
        <w:pStyle w:val="Heading1"/>
        <w:keepNext/>
      </w:pPr>
      <w:r>
        <w:t>4. Model Intake and Request Assessment</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4.1 Trigger Events</w:t>
      </w:r>
    </w:p>
    <w:p>
      <w:pPr>
        <w:pStyle w:val="ListBullet"/>
        <w:spacing w:after="40"/>
      </w:pPr>
      <w:r>
        <w:t>New model idea from a business line, risk function, finance, operations, compliance, technology, or executive initiative.</w:t>
      </w:r>
    </w:p>
    <w:p>
      <w:pPr>
        <w:pStyle w:val="ListBullet"/>
        <w:spacing w:after="40"/>
      </w:pPr>
      <w:r>
        <w:t>Replacement of manual judgement with algorithmic decisioning.</w:t>
      </w:r>
    </w:p>
    <w:p>
      <w:pPr>
        <w:pStyle w:val="ListBullet"/>
        <w:spacing w:after="40"/>
      </w:pPr>
      <w:r>
        <w:t>Material enhancement or redevelopment of an existing model that changes purpose, data, methodology, population, thresholds, or decision impact.</w:t>
      </w:r>
    </w:p>
    <w:p>
      <w:pPr>
        <w:pStyle w:val="ListBullet"/>
        <w:spacing w:after="40"/>
      </w:pPr>
      <w:r>
        <w:t>Procurement or configuration of a third-party model, score, analytics platform, or decision engine.</w:t>
      </w:r>
    </w:p>
    <w:p>
      <w:pPr>
        <w:pStyle w:val="ListBullet"/>
        <w:spacing w:after="40"/>
      </w:pPr>
      <w:r>
        <w:t>Regulatory, audit, incident, or remediation requirement requiring a new model.</w:t>
      </w:r>
    </w:p>
    <w:p>
      <w:pPr>
        <w:pStyle w:val="Heading2"/>
        <w:keepNext/>
      </w:pPr>
      <w:r>
        <w:t>4.2 Required Intake Information</w:t>
      </w:r>
    </w:p>
    <w:p>
      <w:pPr>
        <w:pStyle w:val="ListBullet"/>
        <w:spacing w:after="40"/>
      </w:pPr>
      <w:r>
        <w:t>Model name and unique working title.</w:t>
      </w:r>
    </w:p>
    <w:p>
      <w:pPr>
        <w:pStyle w:val="ListBullet"/>
        <w:spacing w:after="40"/>
      </w:pPr>
      <w:r>
        <w:t>Sponsoring business unit and accountable executive.</w:t>
      </w:r>
    </w:p>
    <w:p>
      <w:pPr>
        <w:pStyle w:val="ListBullet"/>
        <w:spacing w:after="40"/>
      </w:pPr>
      <w:r>
        <w:t>Proposed model owner and development team.</w:t>
      </w:r>
    </w:p>
    <w:p>
      <w:pPr>
        <w:pStyle w:val="ListBullet"/>
        <w:spacing w:after="40"/>
      </w:pPr>
      <w:r>
        <w:t>Business problem, decision supported, and expected users.</w:t>
      </w:r>
    </w:p>
    <w:p>
      <w:pPr>
        <w:pStyle w:val="ListBullet"/>
        <w:spacing w:after="40"/>
      </w:pPr>
      <w:r>
        <w:t>Customer, product, portfolio, geography, and channel in scope.</w:t>
      </w:r>
    </w:p>
    <w:p>
      <w:pPr>
        <w:pStyle w:val="ListBullet"/>
        <w:spacing w:after="40"/>
      </w:pPr>
      <w:r>
        <w:t>Whether the output may approve, decline, price, limit, monitor, forecast, reserve, report, or trigger customer treatment.</w:t>
      </w:r>
    </w:p>
    <w:p>
      <w:pPr>
        <w:pStyle w:val="ListBullet"/>
        <w:spacing w:after="40"/>
      </w:pPr>
      <w:r>
        <w:t>Expected model type, methodology, data sources, vendor components, and use of AI/ML.</w:t>
      </w:r>
    </w:p>
    <w:p>
      <w:pPr>
        <w:pStyle w:val="ListBullet"/>
        <w:spacing w:after="40"/>
      </w:pPr>
      <w:r>
        <w:t>Target implementation date and rationale for urgency.</w:t>
      </w:r>
    </w:p>
    <w:p>
      <w:pPr>
        <w:pStyle w:val="ListBullet"/>
        <w:spacing w:after="40"/>
      </w:pPr>
      <w:r>
        <w:t>Known regulatory, privacy, fairness, conduct, financial reporting, or operational constraints.</w:t>
      </w:r>
    </w:p>
    <w:p>
      <w:pPr>
        <w:pStyle w:val="ListBullet"/>
        <w:spacing w:after="40"/>
      </w:pPr>
      <w:r>
        <w:t>Initial estimate of financial, customer, regulatory, and reputational impact if the model fails.</w:t>
      </w:r>
    </w:p>
    <w:p>
      <w:pPr>
        <w:pStyle w:val="Heading2"/>
        <w:keepNext/>
      </w:pPr>
      <w:r>
        <w:t>4.3 Intake Controls</w:t>
      </w:r>
    </w:p>
    <w:p>
      <w:pPr>
        <w:pStyle w:val="ListBullet"/>
        <w:spacing w:after="40"/>
      </w:pPr>
      <w:r>
        <w:t>All requests must be logged in the model intake register before development begins, except early exploratory research that has no decision use.</w:t>
      </w:r>
    </w:p>
    <w:p>
      <w:pPr>
        <w:pStyle w:val="ListBullet"/>
        <w:spacing w:after="40"/>
      </w:pPr>
      <w:r>
        <w:t>MRM must assign an intake reference and determine whether an inventory shell record is required.</w:t>
      </w:r>
    </w:p>
    <w:p>
      <w:pPr>
        <w:pStyle w:val="ListBullet"/>
        <w:spacing w:after="40"/>
      </w:pPr>
      <w:r>
        <w:t>The model owner must attest that the intended use is accurate and complete.</w:t>
      </w:r>
    </w:p>
    <w:p>
      <w:pPr>
        <w:pStyle w:val="ListBullet"/>
        <w:spacing w:after="40"/>
      </w:pPr>
      <w:r>
        <w:t>Compliance, privacy, information security, and data governance must be engaged during intake when personal data, customer impact, automated decisioning, third-party data, cloud tools, or regulated processes are involved.</w:t>
      </w:r>
    </w:p>
    <w:p>
      <w:pPr>
        <w:pStyle w:val="ListBullet"/>
        <w:spacing w:after="40"/>
      </w:pPr>
      <w:r>
        <w:t>Requests lacking a sponsor, model owner, business purpose, or proposed decision use must be rejected or returned as incomplete.</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r>
        <w:br w:type="page"/>
      </w:r>
    </w:p>
    <w:p>
      <w:pPr>
        <w:pStyle w:val="Heading1"/>
        <w:keepNext/>
      </w:pPr>
      <w:r>
        <w:t>5. Risk Tiering and Materiality Assessment</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5.1 Tiering Factors</w:t>
      </w:r>
    </w:p>
    <w:p>
      <w:pPr>
        <w:pStyle w:val="ListBullet"/>
        <w:spacing w:after="40"/>
      </w:pPr>
      <w:r>
        <w:t>Customer impact, including approval, decline, pricing, limit assignment, collections treatment, fraud blocking, or complaint sensitivity.</w:t>
      </w:r>
    </w:p>
    <w:p>
      <w:pPr>
        <w:pStyle w:val="ListBullet"/>
        <w:spacing w:after="40"/>
      </w:pPr>
      <w:r>
        <w:t>Financial impact, including capital, reserves, profitability, valuation, liquidity, stress testing, and management reporting.</w:t>
      </w:r>
    </w:p>
    <w:p>
      <w:pPr>
        <w:pStyle w:val="ListBullet"/>
        <w:spacing w:after="40"/>
      </w:pPr>
      <w:r>
        <w:t>Regulatory impact, including reporting, compliance monitoring, AML/sanctions, consumer obligations, and prudential supervision.</w:t>
      </w:r>
    </w:p>
    <w:p>
      <w:pPr>
        <w:pStyle w:val="ListBullet"/>
        <w:spacing w:after="40"/>
      </w:pPr>
      <w:r>
        <w:t>Model complexity, including AI/ML, black-box approaches, non-linear methods, dynamic learning, external dependencies, and opacity.</w:t>
      </w:r>
    </w:p>
    <w:p>
      <w:pPr>
        <w:pStyle w:val="ListBullet"/>
        <w:spacing w:after="40"/>
      </w:pPr>
      <w:r>
        <w:t>Data sensitivity, including personal information, protected characteristics, inferred attributes, alternative data, cross-border data, and unstructured data.</w:t>
      </w:r>
    </w:p>
    <w:p>
      <w:pPr>
        <w:pStyle w:val="ListBullet"/>
        <w:spacing w:after="40"/>
      </w:pPr>
      <w:r>
        <w:t>Operational dependency, including degree of automation, manual overrides, downstream system integration, and business continuity dependence.</w:t>
      </w:r>
    </w:p>
    <w:p>
      <w:pPr>
        <w:pStyle w:val="ListBullet"/>
        <w:spacing w:after="40"/>
      </w:pPr>
      <w:r>
        <w:t>History of incidents, audit findings, validation issues, model instability, or heightened supervisory attention.</w:t>
      </w:r>
    </w:p>
    <w:p>
      <w:pPr>
        <w:pStyle w:val="Heading2"/>
        <w:keepNext/>
      </w:pPr>
      <w:r>
        <w:t>5.2 Indicative Tier Definitions</w:t>
      </w:r>
    </w:p>
    <w:p>
      <w:pPr>
        <w:pStyle w:val="ListBullet"/>
        <w:spacing w:after="40"/>
      </w:pPr>
      <w:r>
        <w:t>Tier 1 Critical: High customer, financial, regulatory, or reputational impact; direct decisioning; regulatory reporting; capital/stress testing; high complexity; or low substitutability.</w:t>
      </w:r>
    </w:p>
    <w:p>
      <w:pPr>
        <w:pStyle w:val="ListBullet"/>
        <w:spacing w:after="40"/>
      </w:pPr>
      <w:r>
        <w:t>Tier 2 High: Material business process support, significant portfolio impact, moderate automation, or meaningful customer treatment impact.</w:t>
      </w:r>
    </w:p>
    <w:p>
      <w:pPr>
        <w:pStyle w:val="ListBullet"/>
        <w:spacing w:after="40"/>
      </w:pPr>
      <w:r>
        <w:t>Tier 3 Moderate: Decision support with human review, limited financial/customer impact, stable methodology, and controlled use.</w:t>
      </w:r>
    </w:p>
    <w:p>
      <w:pPr>
        <w:pStyle w:val="ListBullet"/>
        <w:spacing w:after="40"/>
      </w:pPr>
      <w:r>
        <w:t>Tier 4 Low: Low-impact tools with limited scope, simple logic, no direct customer or regulatory impact, and strong compensating controls.</w:t>
      </w:r>
    </w:p>
    <w:p>
      <w:pPr>
        <w:pStyle w:val="Heading2"/>
        <w:keepNext/>
      </w:pPr>
      <w:r>
        <w:t>5.3 Tiering Procedure</w:t>
      </w:r>
    </w:p>
    <w:p>
      <w:pPr>
        <w:pStyle w:val="ListBullet"/>
        <w:spacing w:after="40"/>
      </w:pPr>
      <w:r>
        <w:t>Developer and model owner complete the tiering questionnaire.</w:t>
      </w:r>
    </w:p>
    <w:p>
      <w:pPr>
        <w:pStyle w:val="ListBullet"/>
        <w:spacing w:after="40"/>
      </w:pPr>
      <w:r>
        <w:t>MRM reviews the questionnaire and challenges incomplete or understated risk responses.</w:t>
      </w:r>
    </w:p>
    <w:p>
      <w:pPr>
        <w:pStyle w:val="ListBullet"/>
        <w:spacing w:after="40"/>
      </w:pPr>
      <w:r>
        <w:t>Compliance and Legal review tiering where customer impact, regulated decisioning, adverse action, marketing eligibility, or consumer fairness may be involved.</w:t>
      </w:r>
    </w:p>
    <w:p>
      <w:pPr>
        <w:pStyle w:val="ListBullet"/>
        <w:spacing w:after="40"/>
      </w:pPr>
      <w:r>
        <w:t>Final tier is approved by MRM or the designated governance body according to delegated authority.</w:t>
      </w:r>
    </w:p>
    <w:p>
      <w:pPr>
        <w:pStyle w:val="ListBullet"/>
        <w:spacing w:after="40"/>
      </w:pPr>
      <w:r>
        <w:t>The model tier determines documentation depth, validation scope, approval committee, monitoring frequency, and periodic review cycle.</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r>
        <w:br w:type="page"/>
      </w:r>
    </w:p>
    <w:p>
      <w:pPr>
        <w:pStyle w:val="Heading1"/>
        <w:keepNext/>
      </w:pPr>
      <w:r>
        <w:t>6. Business Requirements and Use Case Definition</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6.1 Requirements Principles</w:t>
      </w:r>
    </w:p>
    <w:p>
      <w:pPr>
        <w:pStyle w:val="ListBullet"/>
        <w:spacing w:after="40"/>
      </w:pPr>
      <w:r>
        <w:t>Every model must have a specific, approved, and testable business purpose.</w:t>
      </w:r>
    </w:p>
    <w:p>
      <w:pPr>
        <w:pStyle w:val="ListBullet"/>
        <w:spacing w:after="40"/>
      </w:pPr>
      <w:r>
        <w:t>The model output must be mapped to actual decisions, workflows, controls, and accountable users.</w:t>
      </w:r>
    </w:p>
    <w:p>
      <w:pPr>
        <w:pStyle w:val="ListBullet"/>
        <w:spacing w:after="40"/>
      </w:pPr>
      <w:r>
        <w:t>Prohibited uses must be documented. A model approved for one purpose may not be reused for another purpose without change assessment.</w:t>
      </w:r>
    </w:p>
    <w:p>
      <w:pPr>
        <w:pStyle w:val="ListBullet"/>
        <w:spacing w:after="40"/>
      </w:pPr>
      <w:r>
        <w:t>Success criteria must include business performance, risk controls, compliance requirements, operational feasibility, explainability needs, and monitoring requirements.</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6.2 Required Requirements Content</w:t>
      </w:r>
    </w:p>
    <w:p>
      <w:pPr>
        <w:pStyle w:val="ListBullet"/>
        <w:spacing w:after="40"/>
      </w:pPr>
      <w:r>
        <w:t>Problem statement and decision context.</w:t>
      </w:r>
    </w:p>
    <w:p>
      <w:pPr>
        <w:pStyle w:val="ListBullet"/>
        <w:spacing w:after="40"/>
      </w:pPr>
      <w:r>
        <w:t>Target population and exclusions.</w:t>
      </w:r>
    </w:p>
    <w:p>
      <w:pPr>
        <w:pStyle w:val="ListBullet"/>
        <w:spacing w:after="40"/>
      </w:pPr>
      <w:r>
        <w:t>Outcome variable definition and observation window.</w:t>
      </w:r>
    </w:p>
    <w:p>
      <w:pPr>
        <w:pStyle w:val="ListBullet"/>
        <w:spacing w:after="40"/>
      </w:pPr>
      <w:r>
        <w:t>Inputs, outputs, thresholds, score bands, limits, or recommended actions.</w:t>
      </w:r>
    </w:p>
    <w:p>
      <w:pPr>
        <w:pStyle w:val="ListBullet"/>
        <w:spacing w:after="40"/>
      </w:pPr>
      <w:r>
        <w:t>Human review and override rules.</w:t>
      </w:r>
    </w:p>
    <w:p>
      <w:pPr>
        <w:pStyle w:val="ListBullet"/>
        <w:spacing w:after="40"/>
      </w:pPr>
      <w:r>
        <w:t>Customer communication or adverse action implications.</w:t>
      </w:r>
    </w:p>
    <w:p>
      <w:pPr>
        <w:pStyle w:val="ListBullet"/>
        <w:spacing w:after="40"/>
      </w:pPr>
      <w:r>
        <w:t>Expected frequency of execution and users of output.</w:t>
      </w:r>
    </w:p>
    <w:p>
      <w:pPr>
        <w:pStyle w:val="ListBullet"/>
        <w:spacing w:after="40"/>
      </w:pPr>
      <w:r>
        <w:t>Known limitations and assumptions.</w:t>
      </w:r>
    </w:p>
    <w:p>
      <w:pPr>
        <w:pStyle w:val="ListBullet"/>
        <w:spacing w:after="40"/>
      </w:pPr>
      <w:r>
        <w:t>Acceptance criteria and minimum performance thresholds.</w:t>
      </w:r>
    </w:p>
    <w:p>
      <w:pPr>
        <w:pStyle w:val="ListBullet"/>
        <w:spacing w:after="40"/>
      </w:pPr>
      <w:r>
        <w:t>Dependencies on systems, data feeds, APIs, vendors, or manual processes.</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6.3 Requirements Approval</w:t>
      </w:r>
    </w:p>
    <w:p>
      <w:pPr>
        <w:pStyle w:val="ListBullet"/>
        <w:spacing w:after="40"/>
      </w:pPr>
      <w:r>
        <w:t>The model owner approves business requirements before material development begins.</w:t>
      </w:r>
    </w:p>
    <w:p>
      <w:pPr>
        <w:pStyle w:val="ListBullet"/>
        <w:spacing w:after="40"/>
      </w:pPr>
      <w:r>
        <w:t>MRM confirms the requirements are sufficient for tiering and validation planning.</w:t>
      </w:r>
    </w:p>
    <w:p>
      <w:pPr>
        <w:pStyle w:val="ListBullet"/>
        <w:spacing w:after="40"/>
      </w:pPr>
      <w:r>
        <w:t>Compliance/Legal approve requirements where the model has customer, conduct, privacy, or regulatory impact.</w:t>
      </w:r>
    </w:p>
    <w:p>
      <w:pPr>
        <w:pStyle w:val="ListBullet"/>
        <w:spacing w:after="40"/>
      </w:pPr>
      <w:r>
        <w:t>Technology confirms the model can be implemented in a controlled architecture or documents constraints requiring mitigation.</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r>
        <w:br w:type="page"/>
      </w:r>
    </w:p>
    <w:p>
      <w:pPr>
        <w:pStyle w:val="Heading1"/>
        <w:keepNext/>
      </w:pPr>
      <w:r>
        <w:t>7. Data Sourcing, Data Governance, and Data Readiness</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7.1 Data Source Approval</w:t>
      </w:r>
    </w:p>
    <w:p>
      <w:pPr>
        <w:pStyle w:val="ListBullet"/>
        <w:spacing w:after="40"/>
      </w:pPr>
      <w:r>
        <w:t>All development data must have an approved source owner.</w:t>
      </w:r>
    </w:p>
    <w:p>
      <w:pPr>
        <w:pStyle w:val="ListBullet"/>
        <w:spacing w:after="40"/>
      </w:pPr>
      <w:r>
        <w:t>Data use must align with legal basis, consent, contractual rights, privacy notices, customer expectations, and data minimisation principles.</w:t>
      </w:r>
    </w:p>
    <w:p>
      <w:pPr>
        <w:pStyle w:val="ListBullet"/>
        <w:spacing w:after="40"/>
      </w:pPr>
      <w:r>
        <w:t>Alternative, inferred, proxy, third-party, social, geolocation, biometric, or unstructured data requires enhanced review.</w:t>
      </w:r>
    </w:p>
    <w:p>
      <w:pPr>
        <w:pStyle w:val="ListBullet"/>
        <w:spacing w:after="40"/>
      </w:pPr>
      <w:r>
        <w:t>Data extracts must be reproducible, versioned, access controlled, and retained according to policy.</w:t>
      </w:r>
    </w:p>
    <w:p>
      <w:pPr>
        <w:pStyle w:val="ListBullet"/>
        <w:spacing w:after="40"/>
      </w:pPr>
      <w:r>
        <w:t>Production data feeds must be mapped to development data fields to avoid training-serving skew.</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7.2 Data Quality Requirements</w:t>
      </w:r>
    </w:p>
    <w:p>
      <w:pPr>
        <w:pStyle w:val="ListBullet"/>
        <w:spacing w:after="40"/>
      </w:pPr>
      <w:r>
        <w:t>Completeness, accuracy, validity, uniqueness, consistency, timeliness, lineage, representativeness, stability, and reconciliation must be assessed.</w:t>
      </w:r>
    </w:p>
    <w:p>
      <w:pPr>
        <w:pStyle w:val="ListBullet"/>
        <w:spacing w:after="40"/>
      </w:pPr>
      <w:r>
        <w:t>Missing values must be analysed, not simply imputed without rationale.</w:t>
      </w:r>
    </w:p>
    <w:p>
      <w:pPr>
        <w:pStyle w:val="ListBullet"/>
        <w:spacing w:after="40"/>
      </w:pPr>
      <w:r>
        <w:t>Outliers must be investigated and treatment justified.</w:t>
      </w:r>
    </w:p>
    <w:p>
      <w:pPr>
        <w:pStyle w:val="ListBullet"/>
        <w:spacing w:after="40"/>
      </w:pPr>
      <w:r>
        <w:t>Data leakage must be tested, especially for variables that would not be available at decision time.</w:t>
      </w:r>
    </w:p>
    <w:p>
      <w:pPr>
        <w:pStyle w:val="ListBullet"/>
        <w:spacing w:after="40"/>
      </w:pPr>
      <w:r>
        <w:t>Label quality must be assessed, including delayed outcomes, censored outcomes, survivorship bias, and selection bias.</w:t>
      </w:r>
    </w:p>
    <w:p>
      <w:pPr>
        <w:pStyle w:val="ListBullet"/>
        <w:spacing w:after="40"/>
      </w:pPr>
      <w:r>
        <w:t>Data quality thresholds and breach escalation owners must be documented.</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7.3 Data Lineage and Reproducibility</w:t>
      </w:r>
    </w:p>
    <w:p>
      <w:pPr>
        <w:pStyle w:val="ListBullet"/>
        <w:spacing w:after="40"/>
      </w:pPr>
      <w:r>
        <w:t>Document source systems, tables, fields, transformations, joins, filters, sample dates, extraction scripts, and reconciliation points.</w:t>
      </w:r>
    </w:p>
    <w:p>
      <w:pPr>
        <w:pStyle w:val="ListBullet"/>
        <w:spacing w:after="40"/>
      </w:pPr>
      <w:r>
        <w:t>Retain frozen development, training, validation, and test datasets or reproducible dataset build scripts.</w:t>
      </w:r>
    </w:p>
    <w:p>
      <w:pPr>
        <w:pStyle w:val="ListBullet"/>
        <w:spacing w:after="40"/>
      </w:pPr>
      <w:r>
        <w:t>Record data versions, refresh dates, and access permissions.</w:t>
      </w:r>
    </w:p>
    <w:p>
      <w:pPr>
        <w:pStyle w:val="ListBullet"/>
        <w:spacing w:after="40"/>
      </w:pPr>
      <w:r>
        <w:t>Ensure production data lineage is documented from source to decision output and monitoring report.</w:t>
      </w:r>
    </w:p>
    <w:p>
      <w:r>
        <w:br w:type="page"/>
      </w:r>
    </w:p>
    <w:p>
      <w:pPr>
        <w:pStyle w:val="Heading1"/>
        <w:keepNext/>
      </w:pPr>
      <w:r>
        <w:t>8. Model Design, Methodology Selection, and Development Plan</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8.1 Methodology Selection</w:t>
      </w:r>
    </w:p>
    <w:p>
      <w:pPr>
        <w:pStyle w:val="ListBullet"/>
        <w:spacing w:after="40"/>
      </w:pPr>
      <w:r>
        <w:t>Evaluate candidate methodologies based on business need, conceptual soundness, data availability, interpretability, stability, operational feasibility, regulatory expectations, and monitoring capability.</w:t>
      </w:r>
    </w:p>
    <w:p>
      <w:pPr>
        <w:pStyle w:val="ListBullet"/>
        <w:spacing w:after="40"/>
      </w:pPr>
      <w:r>
        <w:t>Prefer the simplest model that meets performance, fairness, explainability, and operational objectives.</w:t>
      </w:r>
    </w:p>
    <w:p>
      <w:pPr>
        <w:pStyle w:val="ListBullet"/>
        <w:spacing w:after="40"/>
      </w:pPr>
      <w:r>
        <w:t>Complex AI/ML methods must be justified by measurable benefit over simpler benchmarks.</w:t>
      </w:r>
    </w:p>
    <w:p>
      <w:pPr>
        <w:pStyle w:val="ListBullet"/>
        <w:spacing w:after="40"/>
      </w:pPr>
      <w:r>
        <w:t>Method selection must consider whether the model will be used for customer-impacting decisions, regulated reporting, or high-stakes risk decisions.</w:t>
      </w:r>
    </w:p>
    <w:p>
      <w:pPr>
        <w:pStyle w:val="Heading2"/>
        <w:keepNext/>
      </w:pPr>
      <w:r>
        <w:t>8.2 Development Plan</w:t>
      </w:r>
    </w:p>
    <w:p>
      <w:pPr>
        <w:pStyle w:val="ListBullet"/>
        <w:spacing w:after="40"/>
      </w:pPr>
      <w:r>
        <w:t>Define development milestones, owners, environments, datasets, candidate approaches, testing plan, documentation plan, validation target date, and expected approval forum.</w:t>
      </w:r>
    </w:p>
    <w:p>
      <w:pPr>
        <w:pStyle w:val="ListBullet"/>
        <w:spacing w:after="40"/>
      </w:pPr>
      <w:r>
        <w:t>Identify required SME reviews such as credit policy, fraud strategy, market risk, finance, AML, compliance, legal, privacy, cyber, and technology architecture.</w:t>
      </w:r>
    </w:p>
    <w:p>
      <w:pPr>
        <w:pStyle w:val="ListBullet"/>
        <w:spacing w:after="40"/>
      </w:pPr>
      <w:r>
        <w:t>Define challenger benchmarks, reject criteria, expected limitations, and monitoring metrics before final model selection.</w:t>
      </w:r>
    </w:p>
    <w:p>
      <w:pPr>
        <w:pStyle w:val="ListBullet"/>
        <w:spacing w:after="40"/>
      </w:pPr>
      <w:r>
        <w:t>Document assumptions that must be approved or independently challenged.</w:t>
      </w:r>
    </w:p>
    <w:p>
      <w:pPr>
        <w:pStyle w:val="Heading2"/>
        <w:keepNext/>
      </w:pPr>
      <w:r>
        <w:t>8.3 Prohibited Design Practices</w:t>
      </w:r>
    </w:p>
    <w:p>
      <w:pPr>
        <w:pStyle w:val="ListBullet"/>
        <w:spacing w:after="40"/>
      </w:pPr>
      <w:r>
        <w:t>Using protected characteristics or prohibited variables unless explicitly allowed by law and approved for a permitted control purpose.</w:t>
      </w:r>
    </w:p>
    <w:p>
      <w:pPr>
        <w:pStyle w:val="ListBullet"/>
        <w:spacing w:after="40"/>
      </w:pPr>
      <w:r>
        <w:t>Using post-outcome variables, future information, or decision outcomes unavailable at the time of decision.</w:t>
      </w:r>
    </w:p>
    <w:p>
      <w:pPr>
        <w:pStyle w:val="ListBullet"/>
        <w:spacing w:after="40"/>
      </w:pPr>
      <w:r>
        <w:t>Optimising solely for predictive performance while ignoring customer fairness, stability, explainability, controls, or operational constraints.</w:t>
      </w:r>
    </w:p>
    <w:p>
      <w:pPr>
        <w:pStyle w:val="ListBullet"/>
        <w:spacing w:after="40"/>
      </w:pPr>
      <w:r>
        <w:t>Hard-coding business outcomes to bypass policy or validation.</w:t>
      </w:r>
    </w:p>
    <w:p>
      <w:pPr>
        <w:pStyle w:val="ListBullet"/>
        <w:spacing w:after="40"/>
      </w:pPr>
      <w:r>
        <w:t>Developing models in uncontrolled local environments without code, data, or access controls.</w:t>
      </w:r>
    </w:p>
    <w:p>
      <w:r>
        <w:br w:type="page"/>
      </w:r>
    </w:p>
    <w:p>
      <w:pPr>
        <w:pStyle w:val="Heading1"/>
        <w:keepNext/>
      </w:pPr>
      <w:r>
        <w:t>9. Development Environment and Engineering Controls</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9.1 Environment Requirements</w:t>
      </w:r>
    </w:p>
    <w:p>
      <w:pPr>
        <w:pStyle w:val="ListBullet"/>
        <w:spacing w:after="40"/>
      </w:pPr>
      <w:r>
        <w:t>Development must occur in bank-approved environments with access control, logging, backup, encryption, malware protection, and change traceability.</w:t>
      </w:r>
    </w:p>
    <w:p>
      <w:pPr>
        <w:pStyle w:val="ListBullet"/>
        <w:spacing w:after="40"/>
      </w:pPr>
      <w:r>
        <w:t>Personal, customer, confidential, or regulated data must not be stored on unmanaged devices or unapproved cloud tools.</w:t>
      </w:r>
    </w:p>
    <w:p>
      <w:pPr>
        <w:pStyle w:val="ListBullet"/>
        <w:spacing w:after="40"/>
      </w:pPr>
      <w:r>
        <w:t>Open-source packages must follow technology, security, and licensing approval processes.</w:t>
      </w:r>
    </w:p>
    <w:p>
      <w:pPr>
        <w:pStyle w:val="ListBullet"/>
        <w:spacing w:after="40"/>
      </w:pPr>
      <w:r>
        <w:t>Secrets, credentials, keys, and tokens must be managed through approved vaulting mechanisms and never embedded in code.</w:t>
      </w:r>
    </w:p>
    <w:p>
      <w:pPr>
        <w:pStyle w:val="ListBullet"/>
        <w:spacing w:after="40"/>
      </w:pPr>
      <w:r>
        <w:t>Notebook, script, pipeline, and configuration execution must be reproducible.</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9.2 Code Management</w:t>
      </w:r>
    </w:p>
    <w:p>
      <w:pPr>
        <w:pStyle w:val="ListBullet"/>
        <w:spacing w:after="40"/>
      </w:pPr>
      <w:r>
        <w:t>All code must be stored in approved version control with branch management and review evidence.</w:t>
      </w:r>
    </w:p>
    <w:p>
      <w:pPr>
        <w:pStyle w:val="ListBullet"/>
        <w:spacing w:after="40"/>
      </w:pPr>
      <w:r>
        <w:t>Production-intended code must be peer reviewed before validation handoff.</w:t>
      </w:r>
    </w:p>
    <w:p>
      <w:pPr>
        <w:pStyle w:val="ListBullet"/>
        <w:spacing w:after="40"/>
      </w:pPr>
      <w:r>
        <w:t>Model artifacts, feature lists, hyperparameters, seeds, package versions, and environment specifications must be versioned.</w:t>
      </w:r>
    </w:p>
    <w:p>
      <w:pPr>
        <w:pStyle w:val="ListBullet"/>
        <w:spacing w:after="40"/>
      </w:pPr>
      <w:r>
        <w:t>Code must include sufficient comments, modular structure, error handling, and logging for maintainability.</w:t>
      </w:r>
    </w:p>
    <w:p>
      <w:pPr>
        <w:pStyle w:val="ListBullet"/>
        <w:spacing w:after="40"/>
      </w:pPr>
      <w:r>
        <w:t>Changes after validation begins must be controlled and communicated to the validator.</w:t>
      </w:r>
    </w:p>
    <w:p>
      <w:pPr>
        <w:pStyle w:val="Heading2"/>
        <w:keepNext/>
      </w:pPr>
      <w:r>
        <w:t>9.3 Development Controls</w:t>
      </w:r>
    </w:p>
    <w:p>
      <w:pPr>
        <w:pStyle w:val="ListBullet"/>
        <w:spacing w:after="40"/>
      </w:pPr>
      <w:r>
        <w:t>Use separate development, testing, validation, staging, and production environments where technically feasible.</w:t>
      </w:r>
    </w:p>
    <w:p>
      <w:pPr>
        <w:pStyle w:val="ListBullet"/>
        <w:spacing w:after="40"/>
      </w:pPr>
      <w:r>
        <w:t>Restrict access based on least privilege.</w:t>
      </w:r>
    </w:p>
    <w:p>
      <w:pPr>
        <w:pStyle w:val="ListBullet"/>
        <w:spacing w:after="40"/>
      </w:pPr>
      <w:r>
        <w:t>Maintain an audit trail of data access, model training runs, parameter changes, and deployment artifacts.</w:t>
      </w:r>
    </w:p>
    <w:p>
      <w:pPr>
        <w:pStyle w:val="ListBullet"/>
        <w:spacing w:after="40"/>
      </w:pPr>
      <w:r>
        <w:t>Run static code checks, vulnerability scans, dependency reviews, and license checks according to bank standards.</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r>
        <w:br w:type="page"/>
      </w:r>
    </w:p>
    <w:p>
      <w:pPr>
        <w:pStyle w:val="Heading1"/>
        <w:keepNext/>
      </w:pPr>
      <w:r>
        <w:t>10. Model Build, Training, Calibration, and Feature Engineering</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10.1 Build Standards</w:t>
      </w:r>
    </w:p>
    <w:p>
      <w:pPr>
        <w:pStyle w:val="ListBullet"/>
        <w:spacing w:after="40"/>
      </w:pPr>
      <w:r>
        <w:t>Use documented, approved, and reproducible data splits such as training, validation, test, out-of-time, and out-of-sample datasets.</w:t>
      </w:r>
    </w:p>
    <w:p>
      <w:pPr>
        <w:pStyle w:val="ListBullet"/>
        <w:spacing w:after="40"/>
      </w:pPr>
      <w:r>
        <w:t>Feature engineering must be traceable, business-justified, and available in production at decision time.</w:t>
      </w:r>
    </w:p>
    <w:p>
      <w:pPr>
        <w:pStyle w:val="ListBullet"/>
        <w:spacing w:after="40"/>
      </w:pPr>
      <w:r>
        <w:t>Parameter tuning and model selection must be controlled to avoid overfitting, data snooping, and uncontrolled experimentation.</w:t>
      </w:r>
    </w:p>
    <w:p>
      <w:pPr>
        <w:pStyle w:val="ListBullet"/>
        <w:spacing w:after="40"/>
      </w:pPr>
      <w:r>
        <w:t>Segmentation logic must be justified and tested for sufficient sample size and stability.</w:t>
      </w:r>
    </w:p>
    <w:p>
      <w:pPr>
        <w:pStyle w:val="ListBullet"/>
        <w:spacing w:after="40"/>
      </w:pPr>
      <w:r>
        <w:t>Calibration must be documented, including target calibration population, calibration method, and residual limitations.</w:t>
      </w:r>
    </w:p>
    <w:p>
      <w:pPr>
        <w:pStyle w:val="Heading2"/>
        <w:keepNext/>
      </w:pPr>
      <w:r>
        <w:t>10.2 Feature Review</w:t>
      </w:r>
    </w:p>
    <w:p>
      <w:pPr>
        <w:pStyle w:val="ListBullet"/>
        <w:spacing w:after="40"/>
      </w:pPr>
      <w:r>
        <w:t>Each final feature must have a definition, source, transformation logic, missing-value treatment, expected range, production availability, lineage, and owner.</w:t>
      </w:r>
    </w:p>
    <w:p>
      <w:pPr>
        <w:pStyle w:val="ListBullet"/>
        <w:spacing w:after="40"/>
      </w:pPr>
      <w:r>
        <w:t>Features that may proxy protected class, sensitive status, hardship, vulnerability, ethnicity, gender, age, disability, or location must undergo enhanced review.</w:t>
      </w:r>
    </w:p>
    <w:p>
      <w:pPr>
        <w:pStyle w:val="ListBullet"/>
        <w:spacing w:after="40"/>
      </w:pPr>
      <w:r>
        <w:t>Feature stability must be tested across time, portfolio segments, geography, products, channels, and material customer groups where relevant.</w:t>
      </w:r>
    </w:p>
    <w:p>
      <w:pPr>
        <w:pStyle w:val="ListBullet"/>
        <w:spacing w:after="40"/>
      </w:pPr>
      <w:r>
        <w:t>Features rejected during development and reasons for rejection should be retained for auditability.</w:t>
      </w:r>
    </w:p>
    <w:p>
      <w:pPr>
        <w:pStyle w:val="Heading2"/>
        <w:keepNext/>
      </w:pPr>
      <w:r>
        <w:t>10.3 Model Selection Evidence</w:t>
      </w:r>
    </w:p>
    <w:p>
      <w:pPr>
        <w:pStyle w:val="ListBullet"/>
        <w:spacing w:after="40"/>
      </w:pPr>
      <w:r>
        <w:t>Compare candidate models to baseline, incumbent, policy rule, and challenger alternatives.</w:t>
      </w:r>
    </w:p>
    <w:p>
      <w:pPr>
        <w:pStyle w:val="ListBullet"/>
        <w:spacing w:after="40"/>
      </w:pPr>
      <w:r>
        <w:t>Record selection rationale balancing accuracy, stability, simplicity, explainability, fairness, implementation risk, and monitoring ease.</w:t>
      </w:r>
    </w:p>
    <w:p>
      <w:pPr>
        <w:pStyle w:val="ListBullet"/>
        <w:spacing w:after="40"/>
      </w:pPr>
      <w:r>
        <w:t>Retain experiment logs, training results, hyperparameter ranges, random seeds, and final model object checksums where applicable.</w:t>
      </w:r>
    </w:p>
    <w:p>
      <w:r>
        <w:br w:type="page"/>
      </w:r>
    </w:p>
    <w:p>
      <w:pPr>
        <w:pStyle w:val="Heading1"/>
        <w:keepNext/>
      </w:pPr>
      <w:r>
        <w:t>11. Testing, Performance Assessment, and Benchmarking</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11.1 Minimum Testing Requirements</w:t>
      </w:r>
    </w:p>
    <w:p>
      <w:pPr>
        <w:pStyle w:val="ListBullet"/>
        <w:spacing w:after="40"/>
      </w:pPr>
      <w:r>
        <w:t>Accuracy, discrimination, calibration, ranking, forecast error, precision/recall, false positive/negative rates, sensitivity, specificity, population stability, and business outcome metrics as applicable.</w:t>
      </w:r>
    </w:p>
    <w:p>
      <w:pPr>
        <w:pStyle w:val="ListBullet"/>
        <w:spacing w:after="40"/>
      </w:pPr>
      <w:r>
        <w:t>Out-of-sample and out-of-time testing must be performed for predictive models where data permits.</w:t>
      </w:r>
    </w:p>
    <w:p>
      <w:pPr>
        <w:pStyle w:val="ListBullet"/>
        <w:spacing w:after="40"/>
      </w:pPr>
      <w:r>
        <w:t>Back-testing must compare predictions against actual outcomes using appropriate windows.</w:t>
      </w:r>
    </w:p>
    <w:p>
      <w:pPr>
        <w:pStyle w:val="ListBullet"/>
        <w:spacing w:after="40"/>
      </w:pPr>
      <w:r>
        <w:t>Sensitivity analysis must assess the effect of key inputs, assumptions, thresholds, and parameter choices.</w:t>
      </w:r>
    </w:p>
    <w:p>
      <w:pPr>
        <w:pStyle w:val="ListBullet"/>
        <w:spacing w:after="40"/>
      </w:pPr>
      <w:r>
        <w:t>Stress testing must evaluate model behavior under adverse, unusual, sparse, or shifted data conditions for material models.</w:t>
      </w:r>
    </w:p>
    <w:p>
      <w:pPr>
        <w:pStyle w:val="ListBullet"/>
        <w:spacing w:after="40"/>
      </w:pPr>
      <w:r>
        <w:t>Benchmark testing must compare the model to simple baselines, incumbent approaches, vendor results, policy rules, or external references where feasible.</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11.2 Acceptance Criteria</w:t>
      </w:r>
    </w:p>
    <w:p>
      <w:pPr>
        <w:pStyle w:val="ListBullet"/>
        <w:spacing w:after="40"/>
      </w:pPr>
      <w:r>
        <w:t>Acceptance criteria must be approved before final model selection unless a documented rationale supports later adjustment.</w:t>
      </w:r>
    </w:p>
    <w:p>
      <w:pPr>
        <w:pStyle w:val="ListBullet"/>
        <w:spacing w:after="40"/>
      </w:pPr>
      <w:r>
        <w:t>Metrics must be aligned to the decision use. A fraud model may prioritise recall and false positive cost, while a credit model may require calibration, rank ordering, adverse action explainability, and stability.</w:t>
      </w:r>
    </w:p>
    <w:p>
      <w:pPr>
        <w:pStyle w:val="ListBullet"/>
        <w:spacing w:after="40"/>
      </w:pPr>
      <w:r>
        <w:t>Performance must be assessed overall and across material segments.</w:t>
      </w:r>
    </w:p>
    <w:p>
      <w:pPr>
        <w:pStyle w:val="ListBullet"/>
        <w:spacing w:after="40"/>
      </w:pPr>
      <w:r>
        <w:t>Weak performance may be accepted only with documented compensating controls, use limitations, and governance approval.</w:t>
      </w:r>
    </w:p>
    <w:p>
      <w:pPr>
        <w:pStyle w:val="Heading2"/>
        <w:keepNext/>
      </w:pPr>
      <w:r>
        <w:t>11.3 Testing Evidence</w:t>
      </w:r>
    </w:p>
    <w:p>
      <w:pPr>
        <w:pStyle w:val="ListBullet"/>
        <w:spacing w:after="40"/>
      </w:pPr>
      <w:r>
        <w:t>Testing code and data must be reproducible.</w:t>
      </w:r>
    </w:p>
    <w:p>
      <w:pPr>
        <w:pStyle w:val="ListBullet"/>
        <w:spacing w:after="40"/>
      </w:pPr>
      <w:r>
        <w:t>Charts and tables must identify sample window, population, filters, metric definitions, and interpretation.</w:t>
      </w:r>
    </w:p>
    <w:p>
      <w:pPr>
        <w:pStyle w:val="ListBullet"/>
        <w:spacing w:after="40"/>
      </w:pPr>
      <w:r>
        <w:t>Known weaknesses must be translated into limitations, monitoring metrics, or implementation controls.</w:t>
      </w:r>
    </w:p>
    <w:p>
      <w:pPr>
        <w:pStyle w:val="ListBullet"/>
        <w:spacing w:after="40"/>
      </w:pPr>
      <w:r>
        <w:t>Developer testing must be included in the evidence pack before independent validation.</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r>
        <w:br w:type="page"/>
      </w:r>
    </w:p>
    <w:p>
      <w:pPr>
        <w:pStyle w:val="Heading1"/>
        <w:keepNext/>
      </w:pPr>
      <w:r>
        <w:t>12. Explainability, Fairness, Ethics, and Consumer Impact Controls</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12.1 Explainability Requirements</w:t>
      </w:r>
    </w:p>
    <w:p>
      <w:pPr>
        <w:pStyle w:val="ListBullet"/>
        <w:spacing w:after="40"/>
      </w:pPr>
      <w:r>
        <w:t>The model owner must define the level of explanation required for users, customers, regulators, validators, and auditors.</w:t>
      </w:r>
    </w:p>
    <w:p>
      <w:pPr>
        <w:pStyle w:val="ListBullet"/>
        <w:spacing w:after="40"/>
      </w:pPr>
      <w:r>
        <w:t>Customer-impacting models must support reason codes, adverse action rationale, or equivalent explainability where required by law or policy.</w:t>
      </w:r>
    </w:p>
    <w:p>
      <w:pPr>
        <w:pStyle w:val="ListBullet"/>
        <w:spacing w:after="40"/>
      </w:pPr>
      <w:r>
        <w:t>Complex ML models must include global and local explanation methods appropriate to the model type and use case.</w:t>
      </w:r>
    </w:p>
    <w:p>
      <w:pPr>
        <w:pStyle w:val="ListBullet"/>
        <w:spacing w:after="40"/>
      </w:pPr>
      <w:r>
        <w:t>Explanations must be stable, meaningful, and not misleading.</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12.2 Fairness and Bias Review</w:t>
      </w:r>
    </w:p>
    <w:p>
      <w:pPr>
        <w:pStyle w:val="ListBullet"/>
        <w:spacing w:after="40"/>
      </w:pPr>
      <w:r>
        <w:t>Assess performance across protected, sensitive, vulnerable, and materially affected groups where legally permissible and data is available.</w:t>
      </w:r>
    </w:p>
    <w:p>
      <w:pPr>
        <w:pStyle w:val="ListBullet"/>
        <w:spacing w:after="40"/>
      </w:pPr>
      <w:r>
        <w:t>Evaluate proxy risk, disparate impact, differential error rates, threshold effects, exclusion patterns, and override patterns.</w:t>
      </w:r>
    </w:p>
    <w:p>
      <w:pPr>
        <w:pStyle w:val="ListBullet"/>
        <w:spacing w:after="40"/>
      </w:pPr>
      <w:r>
        <w:t>Document fairness metrics, limitations, legal constraints on testing, and remediation decisions.</w:t>
      </w:r>
    </w:p>
    <w:p>
      <w:pPr>
        <w:pStyle w:val="ListBullet"/>
        <w:spacing w:after="40"/>
      </w:pPr>
      <w:r>
        <w:t>Fairness concerns must be escalated to Compliance, Legal, MRM, and the approving committee before use.</w:t>
      </w:r>
    </w:p>
    <w:p>
      <w:pPr>
        <w:pStyle w:val="Heading2"/>
        <w:keepNext/>
      </w:pPr>
      <w:r>
        <w:t>12.3 Human Oversight</w:t>
      </w:r>
    </w:p>
    <w:p>
      <w:pPr>
        <w:pStyle w:val="ListBullet"/>
        <w:spacing w:after="40"/>
      </w:pPr>
      <w:r>
        <w:t>Define when human review is mandatory.</w:t>
      </w:r>
    </w:p>
    <w:p>
      <w:pPr>
        <w:pStyle w:val="ListBullet"/>
        <w:spacing w:after="40"/>
      </w:pPr>
      <w:r>
        <w:t>Train users on model limitations, override criteria, escalation points, and prohibited uses.</w:t>
      </w:r>
    </w:p>
    <w:p>
      <w:pPr>
        <w:pStyle w:val="ListBullet"/>
        <w:spacing w:after="40"/>
      </w:pPr>
      <w:r>
        <w:t>Log overrides and manual adjustments with reason codes.</w:t>
      </w:r>
    </w:p>
    <w:p>
      <w:pPr>
        <w:pStyle w:val="ListBullet"/>
        <w:spacing w:after="40"/>
      </w:pPr>
      <w:r>
        <w:t>Monitor whether humans are over-relying on model outputs or systematically overriding them.</w:t>
      </w:r>
    </w:p>
    <w:p>
      <w:r>
        <w:br w:type="page"/>
      </w:r>
    </w:p>
    <w:p>
      <w:pPr>
        <w:pStyle w:val="Heading1"/>
        <w:keepNext/>
      </w:pPr>
      <w:r>
        <w:t>13. Documentation and Developer Evidence Pack</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13.1 Required Model Development Document</w:t>
      </w:r>
    </w:p>
    <w:p>
      <w:pPr>
        <w:pStyle w:val="ListBullet"/>
        <w:spacing w:after="40"/>
      </w:pPr>
      <w:r>
        <w:t>Executive summary and decision request.</w:t>
      </w:r>
    </w:p>
    <w:p>
      <w:pPr>
        <w:pStyle w:val="ListBullet"/>
        <w:spacing w:after="40"/>
      </w:pPr>
      <w:r>
        <w:t>Business purpose, scope, target population, prohibited uses, and users.</w:t>
      </w:r>
    </w:p>
    <w:p>
      <w:pPr>
        <w:pStyle w:val="ListBullet"/>
        <w:spacing w:after="40"/>
      </w:pPr>
      <w:r>
        <w:t>Methodology, theory, assumptions, segmentation, variables, transformations, thresholds, and calibration.</w:t>
      </w:r>
    </w:p>
    <w:p>
      <w:pPr>
        <w:pStyle w:val="ListBullet"/>
        <w:spacing w:after="40"/>
      </w:pPr>
      <w:r>
        <w:t>Data sources, lineage, sample design, exclusions, quality assessment, and representativeness.</w:t>
      </w:r>
    </w:p>
    <w:p>
      <w:pPr>
        <w:pStyle w:val="ListBullet"/>
        <w:spacing w:after="40"/>
      </w:pPr>
      <w:r>
        <w:t>Development process, candidate models, selection rationale, and limitations.</w:t>
      </w:r>
    </w:p>
    <w:p>
      <w:pPr>
        <w:pStyle w:val="ListBullet"/>
        <w:spacing w:after="40"/>
      </w:pPr>
      <w:r>
        <w:t>Testing results, benchmark results, sensitivity analysis, stability, fairness, explainability, and stress testing.</w:t>
      </w:r>
    </w:p>
    <w:p>
      <w:pPr>
        <w:pStyle w:val="ListBullet"/>
        <w:spacing w:after="40"/>
      </w:pPr>
      <w:r>
        <w:t>Implementation requirements, monitoring metrics, controls, fallback, and manual override process.</w:t>
      </w:r>
    </w:p>
    <w:p>
      <w:pPr>
        <w:pStyle w:val="ListBullet"/>
        <w:spacing w:after="40"/>
      </w:pPr>
      <w:r>
        <w:t>Known limitations, compensating controls, and proposed issue remediation plan.</w:t>
      </w:r>
    </w:p>
    <w:p>
      <w:pPr>
        <w:pStyle w:val="ListBullet"/>
        <w:spacing w:after="40"/>
      </w:pPr>
      <w:r>
        <w:t>Appendices with code references, data dictionary, experiment logs, approvals, and evidence links.</w:t>
      </w:r>
    </w:p>
    <w:p>
      <w:pPr>
        <w:pStyle w:val="Heading2"/>
        <w:keepNext/>
      </w:pPr>
      <w:r>
        <w:t>13.2 Evidence Pack Checklist</w:t>
      </w:r>
    </w:p>
    <w:p>
      <w:pPr>
        <w:pStyle w:val="ListBullet"/>
        <w:spacing w:after="40"/>
      </w:pPr>
      <w:r>
        <w:t>Completed intake and tiering forms.</w:t>
      </w:r>
    </w:p>
    <w:p>
      <w:pPr>
        <w:pStyle w:val="ListBullet"/>
        <w:spacing w:after="40"/>
      </w:pPr>
      <w:r>
        <w:t>Approved requirements and use case.</w:t>
      </w:r>
    </w:p>
    <w:p>
      <w:pPr>
        <w:pStyle w:val="ListBullet"/>
        <w:spacing w:after="40"/>
      </w:pPr>
      <w:r>
        <w:t>Data approvals and privacy/security assessments.</w:t>
      </w:r>
    </w:p>
    <w:p>
      <w:pPr>
        <w:pStyle w:val="ListBullet"/>
        <w:spacing w:after="40"/>
      </w:pPr>
      <w:r>
        <w:t>Development datasets or reproducible build scripts.</w:t>
      </w:r>
    </w:p>
    <w:p>
      <w:pPr>
        <w:pStyle w:val="ListBullet"/>
        <w:spacing w:after="40"/>
      </w:pPr>
      <w:r>
        <w:t>Source code repository link and version/tag.</w:t>
      </w:r>
    </w:p>
    <w:p>
      <w:pPr>
        <w:pStyle w:val="ListBullet"/>
        <w:spacing w:after="40"/>
      </w:pPr>
      <w:r>
        <w:t>Model artifact and checksum where applicable.</w:t>
      </w:r>
    </w:p>
    <w:p>
      <w:pPr>
        <w:pStyle w:val="ListBullet"/>
        <w:spacing w:after="40"/>
      </w:pPr>
      <w:r>
        <w:t>Testing notebooks/scripts and outputs.</w:t>
      </w:r>
    </w:p>
    <w:p>
      <w:pPr>
        <w:pStyle w:val="ListBullet"/>
        <w:spacing w:after="40"/>
      </w:pPr>
      <w:r>
        <w:t>Monitoring design and thresholds.</w:t>
      </w:r>
    </w:p>
    <w:p>
      <w:pPr>
        <w:pStyle w:val="ListBullet"/>
        <w:spacing w:after="40"/>
      </w:pPr>
      <w:r>
        <w:t>Implementation plan and production control requirements.</w:t>
      </w:r>
    </w:p>
    <w:p>
      <w:pPr>
        <w:pStyle w:val="ListBullet"/>
        <w:spacing w:after="40"/>
      </w:pPr>
      <w:r>
        <w:t>Developer self-assessment and sign-off.</w:t>
      </w:r>
    </w:p>
    <w:p>
      <w:pPr>
        <w:pStyle w:val="Heading2"/>
        <w:keepNext/>
      </w:pPr>
      <w:r>
        <w:t>13.3 Documentation Quality Standard</w:t>
      </w:r>
    </w:p>
    <w:p>
      <w:pPr>
        <w:pStyle w:val="ListBullet"/>
        <w:spacing w:after="40"/>
      </w:pPr>
      <w:r>
        <w:t>Documentation must allow a qualified independent reviewer to understand what was built, why it was built, how it works, how it was tested, how it will be used, and what could go wrong.</w:t>
      </w:r>
    </w:p>
    <w:p>
      <w:pPr>
        <w:pStyle w:val="ListBullet"/>
        <w:spacing w:after="40"/>
      </w:pPr>
      <w:r>
        <w:t>Screenshots alone are not sufficient evidence unless paired with source data, date, user, environment, and interpretation.</w:t>
      </w:r>
    </w:p>
    <w:p>
      <w:pPr>
        <w:pStyle w:val="ListBullet"/>
        <w:spacing w:after="40"/>
      </w:pPr>
      <w:r>
        <w:t>Claims must be supported by tables, code, logs, approvals, or documented SME review.</w:t>
      </w:r>
    </w:p>
    <w:p>
      <w:r>
        <w:br w:type="page"/>
      </w:r>
    </w:p>
    <w:p>
      <w:pPr>
        <w:pStyle w:val="Heading1"/>
        <w:keepNext/>
      </w:pPr>
      <w:r>
        <w:t>14. Independent Model Validation</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14.1 Validation Objective</w:t>
      </w:r>
    </w:p>
    <w:p>
      <w:pPr>
        <w:pStyle w:val="ListBullet"/>
        <w:spacing w:after="40"/>
      </w:pPr>
      <w:r>
        <w:t>Independent validation determines whether the model is conceptually sound, correctly implemented, empirically supported, fit for its intended use, appropriately controlled, and sufficiently documented.</w:t>
      </w:r>
    </w:p>
    <w:p>
      <w:pPr>
        <w:pStyle w:val="ListBullet"/>
        <w:spacing w:after="40"/>
      </w:pPr>
      <w:r>
        <w:t>Validation does not transfer ownership of model risk from the model owner to the validator.</w:t>
      </w:r>
    </w:p>
    <w:p>
      <w:pPr>
        <w:pStyle w:val="ListBullet"/>
        <w:spacing w:after="40"/>
      </w:pPr>
      <w:r>
        <w:t>Validation scope must be risk-based and commensurate with model tier, use, complexity, and impact.</w:t>
      </w:r>
    </w:p>
    <w:p>
      <w:pPr>
        <w:pStyle w:val="Heading2"/>
        <w:keepNext/>
      </w:pPr>
      <w:r>
        <w:t>14.2 Validation Scope</w:t>
      </w:r>
    </w:p>
    <w:p>
      <w:pPr>
        <w:pStyle w:val="ListBullet"/>
        <w:spacing w:after="40"/>
      </w:pPr>
      <w:r>
        <w:t>Review business purpose, use, limitations, prohibited uses, and tiering.</w:t>
      </w:r>
    </w:p>
    <w:p>
      <w:pPr>
        <w:pStyle w:val="ListBullet"/>
        <w:spacing w:after="40"/>
      </w:pPr>
      <w:r>
        <w:t>Challenge methodology, assumptions, theory, segmentation, variable selection, calibration, and model selection.</w:t>
      </w:r>
    </w:p>
    <w:p>
      <w:pPr>
        <w:pStyle w:val="ListBullet"/>
        <w:spacing w:after="40"/>
      </w:pPr>
      <w:r>
        <w:t>Independently review data lineage, data quality, sample design, leakage, representativeness, and production data availability.</w:t>
      </w:r>
    </w:p>
    <w:p>
      <w:pPr>
        <w:pStyle w:val="ListBullet"/>
        <w:spacing w:after="40"/>
      </w:pPr>
      <w:r>
        <w:t>Replicate or independently test key performance, stability, sensitivity, stress, fairness, and explainability results as appropriate.</w:t>
      </w:r>
    </w:p>
    <w:p>
      <w:pPr>
        <w:pStyle w:val="ListBullet"/>
        <w:spacing w:after="40"/>
      </w:pPr>
      <w:r>
        <w:t>Review implementation design, code controls, production readiness, monitoring plan, and user controls.</w:t>
      </w:r>
    </w:p>
    <w:p>
      <w:pPr>
        <w:pStyle w:val="ListBullet"/>
        <w:spacing w:after="40"/>
      </w:pPr>
      <w:r>
        <w:t>Assess documentation sufficiency and reproducibility.</w:t>
      </w:r>
    </w:p>
    <w:p>
      <w:pPr>
        <w:pStyle w:val="Heading2"/>
        <w:keepNext/>
      </w:pPr>
      <w:r>
        <w:t>14.3 Validation Opinion</w:t>
      </w:r>
    </w:p>
    <w:p>
      <w:pPr>
        <w:pStyle w:val="ListBullet"/>
        <w:spacing w:after="40"/>
      </w:pPr>
      <w:r>
        <w:t>Acceptable: model is fit for intended use subject to standard monitoring.</w:t>
      </w:r>
    </w:p>
    <w:p>
      <w:pPr>
        <w:pStyle w:val="ListBullet"/>
        <w:spacing w:after="40"/>
      </w:pPr>
      <w:r>
        <w:t>Acceptable with conditions: model may be used subject to issue remediation, compensating controls, limited scope, or expiry date.</w:t>
      </w:r>
    </w:p>
    <w:p>
      <w:pPr>
        <w:pStyle w:val="ListBullet"/>
        <w:spacing w:after="40"/>
      </w:pPr>
      <w:r>
        <w:t>Not acceptable: model is not fit for use until material issues are remediated and revalidated.</w:t>
      </w:r>
    </w:p>
    <w:p>
      <w:pPr>
        <w:pStyle w:val="ListBullet"/>
        <w:spacing w:after="40"/>
      </w:pPr>
      <w:r>
        <w:t>Unable to validate: evidence is insufficient to form an opinion. The model may not proceed without governance escalation.</w:t>
      </w:r>
    </w:p>
    <w:p>
      <w:r>
        <w:br w:type="page"/>
      </w:r>
    </w:p>
    <w:p>
      <w:pPr>
        <w:pStyle w:val="Heading1"/>
        <w:keepNext/>
      </w:pPr>
      <w:r>
        <w:t>15. Remediation, Challenge, and Issue Management</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15.1 Issue Classification</w:t>
      </w:r>
    </w:p>
    <w:p>
      <w:pPr>
        <w:pStyle w:val="ListBullet"/>
        <w:spacing w:after="40"/>
      </w:pPr>
      <w:r>
        <w:t>Critical: model use could cause material financial, customer, regulatory, legal, or reputational harm; blocks approval unless formally accepted by appropriate executive authority.</w:t>
      </w:r>
    </w:p>
    <w:p>
      <w:pPr>
        <w:pStyle w:val="ListBullet"/>
        <w:spacing w:after="40"/>
      </w:pPr>
      <w:r>
        <w:t>High: material weakness requiring remediation before or shortly after use with strong controls and committee approval.</w:t>
      </w:r>
    </w:p>
    <w:p>
      <w:pPr>
        <w:pStyle w:val="ListBullet"/>
        <w:spacing w:after="40"/>
      </w:pPr>
      <w:r>
        <w:t>Medium: weakness requiring remediation within an agreed timeframe and monitoring.</w:t>
      </w:r>
    </w:p>
    <w:p>
      <w:pPr>
        <w:pStyle w:val="ListBullet"/>
        <w:spacing w:after="40"/>
      </w:pPr>
      <w:r>
        <w:t>Low: documentation, minor control, or enhancement item with limited impact.</w:t>
      </w:r>
    </w:p>
    <w:p>
      <w:pPr>
        <w:pStyle w:val="Heading2"/>
        <w:keepNext/>
      </w:pPr>
      <w:r>
        <w:t>15.2 Remediation Process</w:t>
      </w:r>
    </w:p>
    <w:p>
      <w:pPr>
        <w:pStyle w:val="ListBullet"/>
        <w:spacing w:after="40"/>
      </w:pPr>
      <w:r>
        <w:t>Validator records findings with evidence, severity, owner, due date, and required action.</w:t>
      </w:r>
    </w:p>
    <w:p>
      <w:pPr>
        <w:pStyle w:val="ListBullet"/>
        <w:spacing w:after="40"/>
      </w:pPr>
      <w:r>
        <w:t>Model owner proposes remediation or risk acceptance rationale.</w:t>
      </w:r>
    </w:p>
    <w:p>
      <w:pPr>
        <w:pStyle w:val="ListBullet"/>
        <w:spacing w:after="40"/>
      </w:pPr>
      <w:r>
        <w:t>MRM reviews severity, due date, and closure evidence.</w:t>
      </w:r>
    </w:p>
    <w:p>
      <w:pPr>
        <w:pStyle w:val="ListBullet"/>
        <w:spacing w:after="40"/>
      </w:pPr>
      <w:r>
        <w:t>Critical and high issues require committee visibility and approval of any risk acceptance.</w:t>
      </w:r>
    </w:p>
    <w:p>
      <w:pPr>
        <w:pStyle w:val="ListBullet"/>
        <w:spacing w:after="40"/>
      </w:pPr>
      <w:r>
        <w:t>Closure requires evidence, not verbal confirmation.</w:t>
      </w:r>
    </w:p>
    <w:p>
      <w:pPr>
        <w:pStyle w:val="Heading2"/>
        <w:keepNext/>
      </w:pPr>
      <w:r>
        <w:t>15.3 Challenge and Dispute</w:t>
      </w:r>
    </w:p>
    <w:p>
      <w:pPr>
        <w:pStyle w:val="ListBullet"/>
        <w:spacing w:after="40"/>
      </w:pPr>
      <w:r>
        <w:t>If developer or owner disagrees with a validation finding, the dispute must be documented with evidence.</w:t>
      </w:r>
    </w:p>
    <w:p>
      <w:pPr>
        <w:pStyle w:val="ListBullet"/>
        <w:spacing w:after="40"/>
      </w:pPr>
      <w:r>
        <w:t>MRM facilitates resolution and may escalate to the Model Risk Committee.</w:t>
      </w:r>
    </w:p>
    <w:p>
      <w:pPr>
        <w:pStyle w:val="ListBullet"/>
        <w:spacing w:after="40"/>
      </w:pPr>
      <w:r>
        <w:t>The model may not proceed while a blocking finding is unresolved unless formal risk acceptance is approved.</w:t>
      </w:r>
    </w:p>
    <w:p>
      <w:r>
        <w:br w:type="page"/>
      </w:r>
    </w:p>
    <w:p>
      <w:pPr>
        <w:pStyle w:val="Heading1"/>
        <w:keepNext/>
      </w:pPr>
      <w:r>
        <w:t>16. Approval Governance and Decision Outcomes</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16.1 Approval Pack</w:t>
      </w:r>
    </w:p>
    <w:p>
      <w:pPr>
        <w:pStyle w:val="ListBullet"/>
        <w:spacing w:after="40"/>
      </w:pPr>
      <w:r>
        <w:t>Decision memo summarising purpose, tier, use, methodology, key metrics, validation opinion, open issues, implementation readiness, monitoring plan, and requested decision.</w:t>
      </w:r>
    </w:p>
    <w:p>
      <w:pPr>
        <w:pStyle w:val="ListBullet"/>
        <w:spacing w:after="40"/>
      </w:pPr>
      <w:r>
        <w:t>Model development document and evidence pack.</w:t>
      </w:r>
    </w:p>
    <w:p>
      <w:pPr>
        <w:pStyle w:val="ListBullet"/>
        <w:spacing w:after="40"/>
      </w:pPr>
      <w:r>
        <w:t>Independent validation report.</w:t>
      </w:r>
    </w:p>
    <w:p>
      <w:pPr>
        <w:pStyle w:val="ListBullet"/>
        <w:spacing w:after="40"/>
      </w:pPr>
      <w:r>
        <w:t>Compliance, legal, privacy, information security, data governance, and technology sign-offs as applicable.</w:t>
      </w:r>
    </w:p>
    <w:p>
      <w:pPr>
        <w:pStyle w:val="ListBullet"/>
        <w:spacing w:after="40"/>
      </w:pPr>
      <w:r>
        <w:t>Issue log, conditions, proposed risk acceptances, and expiry dates.</w:t>
      </w:r>
    </w:p>
    <w:p>
      <w:pPr>
        <w:pStyle w:val="ListBullet"/>
        <w:spacing w:after="40"/>
      </w:pPr>
      <w:r>
        <w:t>Implementation plan, rollback plan, training plan, and post-implementation verification plan.</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16.2 Decision Authorities</w:t>
      </w:r>
    </w:p>
    <w:p>
      <w:pPr>
        <w:pStyle w:val="ListBullet"/>
        <w:spacing w:after="40"/>
      </w:pPr>
      <w:r>
        <w:t>Tier 1 models require senior committee approval and may require board or board risk committee notification according to policy.</w:t>
      </w:r>
    </w:p>
    <w:p>
      <w:pPr>
        <w:pStyle w:val="ListBullet"/>
        <w:spacing w:after="40"/>
      </w:pPr>
      <w:r>
        <w:t>Tier 2 models require Model Risk Committee or delegated senior risk approval.</w:t>
      </w:r>
    </w:p>
    <w:p>
      <w:pPr>
        <w:pStyle w:val="ListBullet"/>
        <w:spacing w:after="40"/>
      </w:pPr>
      <w:r>
        <w:t>Tier 3 and 4 models may follow delegated approval if permitted by policy and no material issues exist.</w:t>
      </w:r>
    </w:p>
    <w:p>
      <w:pPr>
        <w:pStyle w:val="ListBullet"/>
        <w:spacing w:after="40"/>
      </w:pPr>
      <w:r>
        <w:t>Customer-impacting, regulatory reporting, capital, provisioning, AML/sanctions, and high-risk AI models require enhanced governance regardless of tier.</w:t>
      </w:r>
    </w:p>
    <w:p>
      <w:pPr>
        <w:pStyle w:val="Heading2"/>
        <w:keepNext/>
      </w:pPr>
      <w:r>
        <w:t>16.3 Decision Types</w:t>
      </w:r>
    </w:p>
    <w:p>
      <w:pPr>
        <w:pStyle w:val="ListBullet"/>
        <w:spacing w:after="40"/>
      </w:pPr>
      <w:r>
        <w:t>Approve for production.</w:t>
      </w:r>
    </w:p>
    <w:p>
      <w:pPr>
        <w:pStyle w:val="ListBullet"/>
        <w:spacing w:after="40"/>
      </w:pPr>
      <w:r>
        <w:t>Approve with conditions.</w:t>
      </w:r>
    </w:p>
    <w:p>
      <w:pPr>
        <w:pStyle w:val="ListBullet"/>
        <w:spacing w:after="40"/>
      </w:pPr>
      <w:r>
        <w:t>Approve for pilot/shadow only.</w:t>
      </w:r>
    </w:p>
    <w:p>
      <w:pPr>
        <w:pStyle w:val="ListBullet"/>
        <w:spacing w:after="40"/>
      </w:pPr>
      <w:r>
        <w:t>Defer pending remediation or evidence.</w:t>
      </w:r>
    </w:p>
    <w:p>
      <w:pPr>
        <w:pStyle w:val="ListBullet"/>
        <w:spacing w:after="40"/>
      </w:pPr>
      <w:r>
        <w:t>Decline due to unacceptable risk, weak performance, insufficient evidence, compliance concern, data issue, or lack of business justification.</w:t>
      </w:r>
    </w:p>
    <w:p>
      <w:pPr>
        <w:pStyle w:val="ListBullet"/>
        <w:spacing w:after="40"/>
      </w:pPr>
      <w:r>
        <w:t>Withdraw at sponsor request.</w:t>
      </w:r>
    </w:p>
    <w:p>
      <w:r>
        <w:br w:type="page"/>
      </w:r>
    </w:p>
    <w:p>
      <w:pPr>
        <w:pStyle w:val="Heading1"/>
        <w:keepNext/>
      </w:pPr>
      <w:r>
        <w:t>17. Implementation, Deployment, and Production Readiness</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17.1 Production Readiness Controls</w:t>
      </w:r>
    </w:p>
    <w:p>
      <w:pPr>
        <w:pStyle w:val="ListBullet"/>
        <w:spacing w:after="40"/>
      </w:pPr>
      <w:r>
        <w:t>Approved model artifact and code version locked for deployment.</w:t>
      </w:r>
    </w:p>
    <w:p>
      <w:pPr>
        <w:pStyle w:val="ListBullet"/>
        <w:spacing w:after="40"/>
      </w:pPr>
      <w:r>
        <w:t>Production architecture approved by Technology, Information Security, and data owners.</w:t>
      </w:r>
    </w:p>
    <w:p>
      <w:pPr>
        <w:pStyle w:val="ListBullet"/>
        <w:spacing w:after="40"/>
      </w:pPr>
      <w:r>
        <w:t>Access controls, roles, service accounts, secrets, encryption, logging, and monitoring configured.</w:t>
      </w:r>
    </w:p>
    <w:p>
      <w:pPr>
        <w:pStyle w:val="ListBullet"/>
        <w:spacing w:after="40"/>
      </w:pPr>
      <w:r>
        <w:t>Input/output interfaces tested with downstream systems.</w:t>
      </w:r>
    </w:p>
    <w:p>
      <w:pPr>
        <w:pStyle w:val="ListBullet"/>
        <w:spacing w:after="40"/>
      </w:pPr>
      <w:r>
        <w:t>Fallback process defined for model outage, data failure, degraded performance, or monitoring breach.</w:t>
      </w:r>
    </w:p>
    <w:p>
      <w:pPr>
        <w:pStyle w:val="ListBullet"/>
        <w:spacing w:after="40"/>
      </w:pPr>
      <w:r>
        <w:t>Manual review and override workflow documented.</w:t>
      </w:r>
    </w:p>
    <w:p>
      <w:pPr>
        <w:pStyle w:val="ListBullet"/>
        <w:spacing w:after="40"/>
      </w:pPr>
      <w:r>
        <w:t>User training completed for impacted teams.</w:t>
      </w:r>
    </w:p>
    <w:p>
      <w:pPr>
        <w:pStyle w:val="ListBullet"/>
        <w:spacing w:after="40"/>
      </w:pPr>
      <w:r>
        <w:t>Release, rollback, and incident procedures approved.</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17.2 Deployment Procedure</w:t>
      </w:r>
    </w:p>
    <w:p>
      <w:pPr>
        <w:pStyle w:val="ListBullet"/>
        <w:spacing w:after="40"/>
      </w:pPr>
      <w:r>
        <w:t>Create deployment ticket referencing the approved model inventory ID and approved version.</w:t>
      </w:r>
    </w:p>
    <w:p>
      <w:pPr>
        <w:pStyle w:val="ListBullet"/>
        <w:spacing w:after="40"/>
      </w:pPr>
      <w:r>
        <w:t>Confirm no unapproved changes have occurred after validation sign-off.</w:t>
      </w:r>
    </w:p>
    <w:p>
      <w:pPr>
        <w:pStyle w:val="ListBullet"/>
        <w:spacing w:after="40"/>
      </w:pPr>
      <w:r>
        <w:t>Deploy through approved release management pipeline.</w:t>
      </w:r>
    </w:p>
    <w:p>
      <w:pPr>
        <w:pStyle w:val="ListBullet"/>
        <w:spacing w:after="40"/>
      </w:pPr>
      <w:r>
        <w:t>Run smoke tests, reconciliation tests, and controls checks in staging and production.</w:t>
      </w:r>
    </w:p>
    <w:p>
      <w:pPr>
        <w:pStyle w:val="ListBullet"/>
        <w:spacing w:after="40"/>
      </w:pPr>
      <w:r>
        <w:t>Capture deployment evidence, logs, model artifact hash, configuration, date, approver, and release notes.</w:t>
      </w:r>
    </w:p>
    <w:p>
      <w:pPr>
        <w:pStyle w:val="ListBullet"/>
        <w:spacing w:after="40"/>
      </w:pPr>
      <w:r>
        <w:t>Update model inventory status to implemented only after post-deployment checks pass.</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17.3 User Readiness</w:t>
      </w:r>
    </w:p>
    <w:p>
      <w:pPr>
        <w:pStyle w:val="ListBullet"/>
        <w:spacing w:after="40"/>
      </w:pPr>
      <w:r>
        <w:t>Users must understand model purpose, output interpretation, thresholds, limitations, override rules, escalation, and incident reporting.</w:t>
      </w:r>
    </w:p>
    <w:p>
      <w:pPr>
        <w:pStyle w:val="ListBullet"/>
        <w:spacing w:after="40"/>
      </w:pPr>
      <w:r>
        <w:t>Procedure documents, job aids, and decision scripts must be updated before use.</w:t>
      </w:r>
    </w:p>
    <w:p>
      <w:pPr>
        <w:pStyle w:val="ListBullet"/>
        <w:spacing w:after="40"/>
      </w:pPr>
      <w:r>
        <w:t>Customer-facing or regulator-facing documentation must be approved by Compliance/Legal where applicable.</w:t>
      </w:r>
    </w:p>
    <w:p>
      <w:r>
        <w:br w:type="page"/>
      </w:r>
    </w:p>
    <w:p>
      <w:pPr>
        <w:pStyle w:val="Heading1"/>
        <w:keepNext/>
      </w:pPr>
      <w:r>
        <w:t>18. Post-Implementation Verification</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18.1 Objective</w:t>
      </w:r>
    </w:p>
    <w:p>
      <w:pPr>
        <w:pStyle w:val="ListBullet"/>
        <w:spacing w:after="40"/>
      </w:pPr>
      <w:r>
        <w:t>Confirm that the production implementation faithfully represents the approved model and approved use.</w:t>
      </w:r>
    </w:p>
    <w:p>
      <w:pPr>
        <w:pStyle w:val="ListBullet"/>
        <w:spacing w:after="40"/>
      </w:pPr>
      <w:r>
        <w:t>Detect code, data, configuration, threshold, mapping, environment, or integration errors before full reliance.</w:t>
      </w:r>
    </w:p>
    <w:p>
      <w:pPr>
        <w:pStyle w:val="ListBullet"/>
        <w:spacing w:after="40"/>
      </w:pPr>
      <w:r>
        <w:t>Confirm monitoring and logging operate as designed.</w:t>
      </w:r>
    </w:p>
    <w:p>
      <w:pPr>
        <w:pStyle w:val="Heading2"/>
        <w:keepNext/>
      </w:pPr>
      <w:r>
        <w:t>18.2 Required Tests</w:t>
      </w:r>
    </w:p>
    <w:p>
      <w:pPr>
        <w:pStyle w:val="ListBullet"/>
        <w:spacing w:after="40"/>
      </w:pPr>
      <w:r>
        <w:t>Input data reconciliation between production feed and approved feature definitions.</w:t>
      </w:r>
    </w:p>
    <w:p>
      <w:pPr>
        <w:pStyle w:val="ListBullet"/>
        <w:spacing w:after="40"/>
      </w:pPr>
      <w:r>
        <w:t>Output comparison between production output and independently generated benchmark outputs for a sample of records.</w:t>
      </w:r>
    </w:p>
    <w:p>
      <w:pPr>
        <w:pStyle w:val="ListBullet"/>
        <w:spacing w:after="40"/>
      </w:pPr>
      <w:r>
        <w:t>Threshold, cut-off, score band, reason code, and decision mapping verification.</w:t>
      </w:r>
    </w:p>
    <w:p>
      <w:pPr>
        <w:pStyle w:val="ListBullet"/>
        <w:spacing w:after="40"/>
      </w:pPr>
      <w:r>
        <w:t>User access, override logging, audit logs, and monitoring report verification.</w:t>
      </w:r>
    </w:p>
    <w:p>
      <w:pPr>
        <w:pStyle w:val="ListBullet"/>
        <w:spacing w:after="40"/>
      </w:pPr>
      <w:r>
        <w:t>Negative testing for missing data, invalid inputs, system downtime, and fallback process.</w:t>
      </w:r>
    </w:p>
    <w:p>
      <w:pPr>
        <w:pStyle w:val="ListBullet"/>
        <w:spacing w:after="40"/>
      </w:pPr>
      <w:r>
        <w:t>End-to-end process walkthrough from source data to final decision or report.</w:t>
      </w:r>
    </w:p>
    <w:p>
      <w:pPr>
        <w:pStyle w:val="Heading2"/>
        <w:keepNext/>
      </w:pPr>
      <w:r>
        <w:t>18.3 PIV Outcome</w:t>
      </w:r>
    </w:p>
    <w:p>
      <w:pPr>
        <w:pStyle w:val="ListBullet"/>
        <w:spacing w:after="40"/>
      </w:pPr>
      <w:r>
        <w:t>Pass: model may enter approved use.</w:t>
      </w:r>
    </w:p>
    <w:p>
      <w:pPr>
        <w:pStyle w:val="ListBullet"/>
        <w:spacing w:after="40"/>
      </w:pPr>
      <w:r>
        <w:t>Pass with minor observations: model may enter use with tracked enhancements.</w:t>
      </w:r>
    </w:p>
    <w:p>
      <w:pPr>
        <w:pStyle w:val="ListBullet"/>
        <w:spacing w:after="40"/>
      </w:pPr>
      <w:r>
        <w:t>Fail: model use must be paused, reverted, or restricted until corrected and re-tested.</w:t>
      </w:r>
    </w:p>
    <w:p>
      <w:pPr>
        <w:pStyle w:val="ListBullet"/>
        <w:spacing w:after="40"/>
      </w:pPr>
      <w:r>
        <w:t>Material variance requires incident assessment and MRM notification.</w:t>
      </w:r>
    </w:p>
    <w:p>
      <w:r>
        <w:br w:type="page"/>
      </w:r>
    </w:p>
    <w:p>
      <w:pPr>
        <w:pStyle w:val="Heading1"/>
        <w:keepNext/>
      </w:pPr>
      <w:r>
        <w:t>19. Ongoing Monitoring and Periodic Review</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19.1 Monitoring Dimensions</w:t>
      </w:r>
    </w:p>
    <w:p>
      <w:pPr>
        <w:pStyle w:val="ListBullet"/>
        <w:spacing w:after="40"/>
      </w:pPr>
      <w:r>
        <w:t>Data quality, data drift, population stability, feature stability, output stability, performance against outcomes, calibration, accuracy, overrides, exceptions, complaints, incidents, fairness metrics, threshold breaches, volume, latency, and system availability.</w:t>
      </w:r>
    </w:p>
    <w:p>
      <w:pPr>
        <w:pStyle w:val="ListBullet"/>
        <w:spacing w:after="40"/>
      </w:pPr>
      <w:r>
        <w:t>Monitoring must be aligned to model use. A decision model requires monitoring of decisions and outcomes; a regulatory reporting model requires reconciliation and control monitoring; an AML model requires alert productivity and typology relevance.</w:t>
      </w:r>
    </w:p>
    <w:p>
      <w:pPr>
        <w:pStyle w:val="Heading2"/>
        <w:keepNext/>
      </w:pPr>
      <w:r>
        <w:t>19.2 Monitoring Frequency</w:t>
      </w:r>
    </w:p>
    <w:p>
      <w:pPr>
        <w:pStyle w:val="ListBullet"/>
        <w:spacing w:after="40"/>
      </w:pPr>
      <w:r>
        <w:t>Tier 1: at least monthly monitoring and at least annual full review unless policy requires more frequent review.</w:t>
      </w:r>
    </w:p>
    <w:p>
      <w:pPr>
        <w:pStyle w:val="ListBullet"/>
        <w:spacing w:after="40"/>
      </w:pPr>
      <w:r>
        <w:t>Tier 2: at least quarterly monitoring and periodic review according to risk tier.</w:t>
      </w:r>
    </w:p>
    <w:p>
      <w:pPr>
        <w:pStyle w:val="ListBullet"/>
        <w:spacing w:after="40"/>
      </w:pPr>
      <w:r>
        <w:t>Tier 3: at least semi-annual monitoring or as approved.</w:t>
      </w:r>
    </w:p>
    <w:p>
      <w:pPr>
        <w:pStyle w:val="ListBullet"/>
        <w:spacing w:after="40"/>
      </w:pPr>
      <w:r>
        <w:t>Tier 4: periodic attestation and exception monitoring unless risk increases.</w:t>
      </w:r>
    </w:p>
    <w:p>
      <w:pPr>
        <w:pStyle w:val="ListBullet"/>
        <w:spacing w:after="40"/>
      </w:pPr>
      <w:r>
        <w:t>Any significant breach, incident, regulatory change, portfolio shift, or business strategy change may trigger ad hoc review.</w:t>
      </w:r>
    </w:p>
    <w:p>
      <w:pPr>
        <w:pStyle w:val="Heading2"/>
        <w:keepNext/>
      </w:pPr>
      <w:r>
        <w:t>19.3 Breach Management</w:t>
      </w:r>
    </w:p>
    <w:p>
      <w:pPr>
        <w:pStyle w:val="ListBullet"/>
        <w:spacing w:after="40"/>
      </w:pPr>
      <w:r>
        <w:t>Monitoring thresholds must have green, amber, and red tolerances where feasible.</w:t>
      </w:r>
    </w:p>
    <w:p>
      <w:pPr>
        <w:pStyle w:val="ListBullet"/>
        <w:spacing w:after="40"/>
      </w:pPr>
      <w:r>
        <w:t>Amber breaches require investigation and documented conclusion.</w:t>
      </w:r>
    </w:p>
    <w:p>
      <w:pPr>
        <w:pStyle w:val="ListBullet"/>
        <w:spacing w:after="40"/>
      </w:pPr>
      <w:r>
        <w:t>Red breaches require escalation to model owner, MRM, and relevant committee according to severity.</w:t>
      </w:r>
    </w:p>
    <w:p>
      <w:pPr>
        <w:pStyle w:val="ListBullet"/>
        <w:spacing w:after="40"/>
      </w:pPr>
      <w:r>
        <w:t>Model use may be restricted, paused, recalibrated, redeveloped, or retired if performance is no longer fit for purpose.</w:t>
      </w:r>
    </w:p>
    <w:p>
      <w:r>
        <w:br w:type="page"/>
      </w:r>
    </w:p>
    <w:p>
      <w:pPr>
        <w:pStyle w:val="Heading1"/>
        <w:keepNext/>
      </w:pPr>
      <w:r>
        <w:t>20. Model Change Management and Re-development</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20.1 Change Categories</w:t>
      </w:r>
    </w:p>
    <w:p>
      <w:pPr>
        <w:pStyle w:val="ListBullet"/>
        <w:spacing w:after="40"/>
      </w:pPr>
      <w:r>
        <w:t>Non-material administrative change: documentation typo, owner update, report formatting, or non-functional metadata update.</w:t>
      </w:r>
    </w:p>
    <w:p>
      <w:pPr>
        <w:pStyle w:val="ListBullet"/>
        <w:spacing w:after="40"/>
      </w:pPr>
      <w:r>
        <w:t>Minor change: limited configuration or threshold adjustment with no material effect on outputs or risk.</w:t>
      </w:r>
    </w:p>
    <w:p>
      <w:pPr>
        <w:pStyle w:val="ListBullet"/>
        <w:spacing w:after="40"/>
      </w:pPr>
      <w:r>
        <w:t>Material change: methodology, data, features, segmentation, calibration, thresholds, population, production code, use, or downstream decision impact changes.</w:t>
      </w:r>
    </w:p>
    <w:p>
      <w:pPr>
        <w:pStyle w:val="ListBullet"/>
        <w:spacing w:after="40"/>
      </w:pPr>
      <w:r>
        <w:t>Emergency change: urgent remediation required to address incident, regulatory issue, system outage, or material control failure.</w:t>
      </w:r>
    </w:p>
    <w:p>
      <w:pPr>
        <w:pStyle w:val="Heading2"/>
        <w:keepNext/>
      </w:pPr>
      <w:r>
        <w:t>20.2 Change Procedure</w:t>
      </w:r>
    </w:p>
    <w:p>
      <w:pPr>
        <w:pStyle w:val="ListBullet"/>
        <w:spacing w:after="40"/>
      </w:pPr>
      <w:r>
        <w:t>Log all proposed changes in the model change register.</w:t>
      </w:r>
    </w:p>
    <w:p>
      <w:pPr>
        <w:pStyle w:val="ListBullet"/>
        <w:spacing w:after="40"/>
      </w:pPr>
      <w:r>
        <w:t>Assess materiality using the approved questionnaire.</w:t>
      </w:r>
    </w:p>
    <w:p>
      <w:pPr>
        <w:pStyle w:val="ListBullet"/>
        <w:spacing w:after="40"/>
      </w:pPr>
      <w:r>
        <w:t>MRM determines whether validation, partial validation, or governance approval is required.</w:t>
      </w:r>
    </w:p>
    <w:p>
      <w:pPr>
        <w:pStyle w:val="ListBullet"/>
        <w:spacing w:after="40"/>
      </w:pPr>
      <w:r>
        <w:t>Material changes must not be implemented until approved unless emergency procedures are invoked.</w:t>
      </w:r>
    </w:p>
    <w:p>
      <w:pPr>
        <w:pStyle w:val="ListBullet"/>
        <w:spacing w:after="40"/>
      </w:pPr>
      <w:r>
        <w:t>Update documentation, inventory, monitoring, user training, and implementation evidence after change.</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20.3 Re-development Triggers</w:t>
      </w:r>
    </w:p>
    <w:p>
      <w:pPr>
        <w:pStyle w:val="ListBullet"/>
        <w:spacing w:after="40"/>
      </w:pPr>
      <w:r>
        <w:t>Persistent monitoring breaches.</w:t>
      </w:r>
    </w:p>
    <w:p>
      <w:pPr>
        <w:pStyle w:val="ListBullet"/>
        <w:spacing w:after="40"/>
      </w:pPr>
      <w:r>
        <w:t>Material performance deterioration.</w:t>
      </w:r>
    </w:p>
    <w:p>
      <w:pPr>
        <w:pStyle w:val="ListBullet"/>
        <w:spacing w:after="40"/>
      </w:pPr>
      <w:r>
        <w:t>Significant population, product, macroeconomic, regulatory, or business strategy change.</w:t>
      </w:r>
    </w:p>
    <w:p>
      <w:pPr>
        <w:pStyle w:val="ListBullet"/>
        <w:spacing w:after="40"/>
      </w:pPr>
      <w:r>
        <w:t>New data sources or material data quality changes.</w:t>
      </w:r>
    </w:p>
    <w:p>
      <w:pPr>
        <w:pStyle w:val="ListBullet"/>
        <w:spacing w:after="40"/>
      </w:pPr>
      <w:r>
        <w:t>Technology platform change or vendor model replacement.</w:t>
      </w:r>
    </w:p>
    <w:p>
      <w:pPr>
        <w:pStyle w:val="ListBullet"/>
        <w:spacing w:after="40"/>
      </w:pPr>
      <w:r>
        <w:t>Validation, audit, regulator, or incident finding requiring redevelopment.</w:t>
      </w:r>
    </w:p>
    <w:p>
      <w:r>
        <w:br w:type="page"/>
      </w:r>
    </w:p>
    <w:p>
      <w:pPr>
        <w:pStyle w:val="Heading1"/>
        <w:keepNext/>
      </w:pPr>
      <w:r>
        <w:t>21. Vendor and Third-Party Model Requirements</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21.1 Vendor Due Diligence</w:t>
      </w:r>
    </w:p>
    <w:p>
      <w:pPr>
        <w:pStyle w:val="ListBullet"/>
        <w:spacing w:after="40"/>
      </w:pPr>
      <w:r>
        <w:t>Third-party models must follow procurement, outsourcing, third-party risk, information security, privacy, legal, compliance, and MRM review.</w:t>
      </w:r>
    </w:p>
    <w:p>
      <w:pPr>
        <w:pStyle w:val="ListBullet"/>
        <w:spacing w:after="40"/>
      </w:pPr>
      <w:r>
        <w:t>The bank must obtain sufficient information to understand model purpose, methodology, data, limitations, validation, performance, monitoring, change notifications, and support arrangements.</w:t>
      </w:r>
    </w:p>
    <w:p>
      <w:pPr>
        <w:pStyle w:val="ListBullet"/>
        <w:spacing w:after="40"/>
      </w:pPr>
      <w:r>
        <w:t>Black-box restrictions must be documented and mitigated through empirical testing, benchmarking, sensitivity analysis, contractual rights, and usage limitations.</w:t>
      </w:r>
    </w:p>
    <w:p>
      <w:pPr>
        <w:pStyle w:val="ListBullet"/>
        <w:spacing w:after="40"/>
      </w:pPr>
      <w:r>
        <w:t>Vendor reliance does not remove the bank’s accountability for model risk.</w:t>
      </w:r>
    </w:p>
    <w:p>
      <w:pPr>
        <w:pStyle w:val="Heading2"/>
        <w:keepNext/>
      </w:pPr>
      <w:r>
        <w:t>21.2 Contractual Requirements</w:t>
      </w:r>
    </w:p>
    <w:p>
      <w:pPr>
        <w:pStyle w:val="ListBullet"/>
        <w:spacing w:after="40"/>
      </w:pPr>
      <w:r>
        <w:t>Right to receive model documentation, validation summaries, performance reports, change notices, incident notices, and audit support.</w:t>
      </w:r>
    </w:p>
    <w:p>
      <w:pPr>
        <w:pStyle w:val="ListBullet"/>
        <w:spacing w:after="40"/>
      </w:pPr>
      <w:r>
        <w:t>Data use, confidentiality, privacy, security, retention, deletion, subcontracting, and cross-border transfer controls.</w:t>
      </w:r>
    </w:p>
    <w:p>
      <w:pPr>
        <w:pStyle w:val="ListBullet"/>
        <w:spacing w:after="40"/>
      </w:pPr>
      <w:r>
        <w:t>Service levels, availability, support, monitoring, business continuity, exit, escrow, and transition requirements.</w:t>
      </w:r>
    </w:p>
    <w:p>
      <w:pPr>
        <w:pStyle w:val="ListBullet"/>
        <w:spacing w:after="40"/>
      </w:pPr>
      <w:r>
        <w:t>Restrictions on vendor model changes without bank notification and impact assessment.</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21.3 Vendor Model Validation</w:t>
      </w:r>
    </w:p>
    <w:p>
      <w:pPr>
        <w:pStyle w:val="ListBullet"/>
        <w:spacing w:after="40"/>
      </w:pPr>
      <w:r>
        <w:t>Validate the model for the bank’s specific use, data, population, configuration, thresholds, and controls.</w:t>
      </w:r>
    </w:p>
    <w:p>
      <w:pPr>
        <w:pStyle w:val="ListBullet"/>
        <w:spacing w:after="40"/>
      </w:pPr>
      <w:r>
        <w:t>Perform independent benchmarking and outcome testing using bank data where feasible.</w:t>
      </w:r>
    </w:p>
    <w:p>
      <w:pPr>
        <w:pStyle w:val="ListBullet"/>
        <w:spacing w:after="40"/>
      </w:pPr>
      <w:r>
        <w:t>Document limitations caused by lack of transparency and define compensating controls.</w:t>
      </w:r>
    </w:p>
    <w:p>
      <w:r>
        <w:br w:type="page"/>
      </w:r>
    </w:p>
    <w:p>
      <w:pPr>
        <w:pStyle w:val="Heading1"/>
        <w:keepNext/>
      </w:pPr>
      <w:r>
        <w:t>22. End User Computing, Spreadsheets, and Tactical Models</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22.1 Applicability</w:t>
      </w:r>
    </w:p>
    <w:p>
      <w:pPr>
        <w:pStyle w:val="ListBullet"/>
        <w:spacing w:after="40"/>
      </w:pPr>
      <w:r>
        <w:t>Spreadsheets, Access databases, macros, scripts, notebooks, calculators, and tactical tools are in scope when they estimate, score, forecast, optimise, classify, rank, or support material decisions.</w:t>
      </w:r>
    </w:p>
    <w:p>
      <w:pPr>
        <w:pStyle w:val="ListBullet"/>
        <w:spacing w:after="40"/>
      </w:pPr>
      <w:r>
        <w:t>A tool is not exempt merely because it is small, manual, temporary, or owned by the business.</w:t>
      </w:r>
    </w:p>
    <w:p>
      <w:pPr>
        <w:pStyle w:val="ListBullet"/>
        <w:spacing w:after="40"/>
      </w:pPr>
      <w:r>
        <w:t>Material EUC models must be inventoried, controlled, tested, and reviewed according to risk.</w:t>
      </w:r>
    </w:p>
    <w:p>
      <w:pPr>
        <w:pStyle w:val="Heading2"/>
        <w:keepNext/>
      </w:pPr>
      <w:r>
        <w:t>22.2 Control Requirements</w:t>
      </w:r>
    </w:p>
    <w:p>
      <w:pPr>
        <w:pStyle w:val="ListBullet"/>
        <w:spacing w:after="40"/>
      </w:pPr>
      <w:r>
        <w:t>Owner, purpose, users, inputs, formulas, macros, assumptions, outputs, and change history documented.</w:t>
      </w:r>
    </w:p>
    <w:p>
      <w:pPr>
        <w:pStyle w:val="ListBullet"/>
        <w:spacing w:after="40"/>
      </w:pPr>
      <w:r>
        <w:t>Access restricted and version controlled.</w:t>
      </w:r>
    </w:p>
    <w:p>
      <w:pPr>
        <w:pStyle w:val="ListBullet"/>
        <w:spacing w:after="40"/>
      </w:pPr>
      <w:r>
        <w:t>Independent review of formulas, macros, links, and calculations.</w:t>
      </w:r>
    </w:p>
    <w:p>
      <w:pPr>
        <w:pStyle w:val="ListBullet"/>
        <w:spacing w:after="40"/>
      </w:pPr>
      <w:r>
        <w:t>Input and output checks, reconciliations, and protected cells where applicable.</w:t>
      </w:r>
    </w:p>
    <w:p>
      <w:pPr>
        <w:pStyle w:val="ListBullet"/>
        <w:spacing w:after="40"/>
      </w:pPr>
      <w:r>
        <w:t>Retirement or migration plan for tactical tools used beyond approved duration.</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22.3 Tactical Use Limits</w:t>
      </w:r>
    </w:p>
    <w:p>
      <w:pPr>
        <w:pStyle w:val="ListBullet"/>
        <w:spacing w:after="40"/>
      </w:pPr>
      <w:r>
        <w:t>Tactical models must have an approved expiry date.</w:t>
      </w:r>
    </w:p>
    <w:p>
      <w:pPr>
        <w:pStyle w:val="ListBullet"/>
        <w:spacing w:after="40"/>
      </w:pPr>
      <w:r>
        <w:t>Repeated extensions require senior approval and root-cause explanation.</w:t>
      </w:r>
    </w:p>
    <w:p>
      <w:pPr>
        <w:pStyle w:val="ListBullet"/>
        <w:spacing w:after="40"/>
      </w:pPr>
      <w:r>
        <w:t>Tactical use must not become permanent production use without full lifecycle controls.</w:t>
      </w:r>
    </w:p>
    <w:p>
      <w:r>
        <w:br w:type="page"/>
      </w:r>
    </w:p>
    <w:p>
      <w:pPr>
        <w:pStyle w:val="Heading1"/>
        <w:keepNext/>
      </w:pPr>
      <w:r>
        <w:t>23. Security, Privacy, Records, and Auditability</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23.1 Security Controls</w:t>
      </w:r>
    </w:p>
    <w:p>
      <w:pPr>
        <w:pStyle w:val="ListBullet"/>
        <w:spacing w:after="40"/>
      </w:pPr>
      <w:r>
        <w:t>Apply least privilege access and segregate duties between development, validation, release, and production administration.</w:t>
      </w:r>
    </w:p>
    <w:p>
      <w:pPr>
        <w:pStyle w:val="ListBullet"/>
        <w:spacing w:after="40"/>
      </w:pPr>
      <w:r>
        <w:t>Encrypt sensitive data at rest and in transit.</w:t>
      </w:r>
    </w:p>
    <w:p>
      <w:pPr>
        <w:pStyle w:val="ListBullet"/>
        <w:spacing w:after="40"/>
      </w:pPr>
      <w:r>
        <w:t>Log access, training runs, deployments, manual overrides, output generation, and administrative changes.</w:t>
      </w:r>
    </w:p>
    <w:p>
      <w:pPr>
        <w:pStyle w:val="ListBullet"/>
        <w:spacing w:after="40"/>
      </w:pPr>
      <w:r>
        <w:t>Assess vulnerabilities in code, packages, containers, APIs, infrastructure, and vendor integrations.</w:t>
      </w:r>
    </w:p>
    <w:p>
      <w:pPr>
        <w:pStyle w:val="ListBullet"/>
        <w:spacing w:after="40"/>
      </w:pPr>
      <w:r>
        <w:t>Use approved secrets management and prohibit credentials in code or notebooks.</w:t>
      </w:r>
    </w:p>
    <w:p>
      <w:pPr>
        <w:pStyle w:val="Heading3"/>
        <w:keepNext/>
      </w:pPr>
      <w:r>
        <w:t>Required evidence</w:t>
      </w:r>
    </w:p>
    <w:p>
      <w:pPr>
        <w:pStyle w:val="ListBullet"/>
        <w:spacing w:after="40"/>
      </w:pPr>
      <w:r>
        <w:t>Completed and approved workflow record or checklist for the stage.</w:t>
      </w:r>
    </w:p>
    <w:p>
      <w:pPr>
        <w:pStyle w:val="ListBullet"/>
        <w:spacing w:after="40"/>
      </w:pPr>
      <w:r>
        <w:t>Supporting artefacts stored in the approved repository and linked to the model inventory record.</w:t>
      </w:r>
    </w:p>
    <w:p>
      <w:pPr>
        <w:pStyle w:val="ListBullet"/>
        <w:spacing w:after="40"/>
      </w:pPr>
      <w:r>
        <w:t>Named owner and date for each sign-off, review, decision, or remediation action.</w:t>
      </w:r>
    </w:p>
    <w:p>
      <w:pPr>
        <w:pStyle w:val="ListBullet"/>
        <w:spacing w:after="40"/>
      </w:pPr>
      <w:r>
        <w:t>Clear statement of open issues, accepted limitations, conditions, and next gate readiness.</w:t>
      </w:r>
    </w:p>
    <w:p>
      <w:pPr>
        <w:pStyle w:val="Heading2"/>
        <w:keepNext/>
      </w:pPr>
      <w:r>
        <w:t>23.2 Privacy and Data Protection</w:t>
      </w:r>
    </w:p>
    <w:p>
      <w:pPr>
        <w:pStyle w:val="ListBullet"/>
        <w:spacing w:after="40"/>
      </w:pPr>
      <w:r>
        <w:t>Use only approved data for the approved purpose.</w:t>
      </w:r>
    </w:p>
    <w:p>
      <w:pPr>
        <w:pStyle w:val="ListBullet"/>
        <w:spacing w:after="40"/>
      </w:pPr>
      <w:r>
        <w:t>Minimise personal data, mask or tokenise where feasible, and restrict re-identification risk.</w:t>
      </w:r>
    </w:p>
    <w:p>
      <w:pPr>
        <w:pStyle w:val="ListBullet"/>
        <w:spacing w:after="40"/>
      </w:pPr>
      <w:r>
        <w:t>Assess automated decisioning, profiling, consent, transparency, adverse action, and retention requirements.</w:t>
      </w:r>
    </w:p>
    <w:p>
      <w:pPr>
        <w:pStyle w:val="ListBullet"/>
        <w:spacing w:after="40"/>
      </w:pPr>
      <w:r>
        <w:t>Ensure development datasets, model artifacts, logs, and monitoring reports comply with retention and deletion rules.</w:t>
      </w:r>
    </w:p>
    <w:p>
      <w:pPr>
        <w:pStyle w:val="Heading2"/>
        <w:keepNext/>
      </w:pPr>
      <w:r>
        <w:t>23.3 Records and Audit Trail</w:t>
      </w:r>
    </w:p>
    <w:p>
      <w:pPr>
        <w:pStyle w:val="ListBullet"/>
        <w:spacing w:after="40"/>
      </w:pPr>
      <w:r>
        <w:t>Maintain records for intake, tiering, requirements, data approvals, development, testing, validation, issues, approvals, implementation, monitoring, changes, incidents, and retirement.</w:t>
      </w:r>
    </w:p>
    <w:p>
      <w:pPr>
        <w:pStyle w:val="ListBullet"/>
        <w:spacing w:after="40"/>
      </w:pPr>
      <w:r>
        <w:t>Evidence must be stored in approved repositories with access controls and retention labels.</w:t>
      </w:r>
    </w:p>
    <w:p>
      <w:pPr>
        <w:pStyle w:val="ListBullet"/>
        <w:spacing w:after="40"/>
      </w:pPr>
      <w:r>
        <w:t>Meeting minutes and decision logs must identify decision, date, attendees, evidence reviewed, conditions, dissent, and next actions.</w:t>
      </w:r>
    </w:p>
    <w:p>
      <w:r>
        <w:br w:type="page"/>
      </w:r>
    </w:p>
    <w:p>
      <w:pPr>
        <w:pStyle w:val="Heading1"/>
        <w:keepNext/>
      </w:pPr>
      <w:r>
        <w:t>24. Exceptions and Non-Compliance</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24.1 Exception Criteria</w:t>
      </w:r>
    </w:p>
    <w:p>
      <w:pPr>
        <w:pStyle w:val="ListBullet"/>
        <w:spacing w:after="40"/>
      </w:pPr>
      <w:r>
        <w:t>An exception may be requested only where full compliance is impractical and the residual risk is understood, documented, time-bound, and approved.</w:t>
      </w:r>
    </w:p>
    <w:p>
      <w:pPr>
        <w:pStyle w:val="ListBullet"/>
        <w:spacing w:after="40"/>
      </w:pPr>
      <w:r>
        <w:t>Exceptions may not be used to avoid validation, conceal weaknesses, bypass regulatory requirements, or accelerate deployment without compensating controls.</w:t>
      </w:r>
    </w:p>
    <w:p>
      <w:pPr>
        <w:pStyle w:val="ListBullet"/>
        <w:spacing w:after="40"/>
      </w:pPr>
      <w:r>
        <w:t>Emergency exceptions require retrospective review and remediation plan.</w:t>
      </w:r>
    </w:p>
    <w:p>
      <w:pPr>
        <w:pStyle w:val="Heading2"/>
        <w:keepNext/>
      </w:pPr>
      <w:r>
        <w:t>24.2 Exception Request Content</w:t>
      </w:r>
    </w:p>
    <w:p>
      <w:pPr>
        <w:pStyle w:val="ListBullet"/>
        <w:spacing w:after="40"/>
      </w:pPr>
      <w:r>
        <w:t>Policy or SOP requirement requiring exception.</w:t>
      </w:r>
    </w:p>
    <w:p>
      <w:pPr>
        <w:pStyle w:val="ListBullet"/>
        <w:spacing w:after="40"/>
      </w:pPr>
      <w:r>
        <w:t>Reason for exception and why alternatives are not feasible.</w:t>
      </w:r>
    </w:p>
    <w:p>
      <w:pPr>
        <w:pStyle w:val="ListBullet"/>
        <w:spacing w:after="40"/>
      </w:pPr>
      <w:r>
        <w:t>Models, uses, systems, customers, and dates affected.</w:t>
      </w:r>
    </w:p>
    <w:p>
      <w:pPr>
        <w:pStyle w:val="ListBullet"/>
        <w:spacing w:after="40"/>
      </w:pPr>
      <w:r>
        <w:t>Risk assessment and impact analysis.</w:t>
      </w:r>
    </w:p>
    <w:p>
      <w:pPr>
        <w:pStyle w:val="ListBullet"/>
        <w:spacing w:after="40"/>
      </w:pPr>
      <w:r>
        <w:t>Compensating controls.</w:t>
      </w:r>
    </w:p>
    <w:p>
      <w:pPr>
        <w:pStyle w:val="ListBullet"/>
        <w:spacing w:after="40"/>
      </w:pPr>
      <w:r>
        <w:t>Expiry date and remediation plan.</w:t>
      </w:r>
    </w:p>
    <w:p>
      <w:pPr>
        <w:pStyle w:val="ListBullet"/>
        <w:spacing w:after="40"/>
      </w:pPr>
      <w:r>
        <w:t>Approvals required by MRM, risk, compliance, legal, technology, or committee based on severity.</w:t>
      </w:r>
    </w:p>
    <w:p>
      <w:pPr>
        <w:pStyle w:val="Heading2"/>
        <w:keepNext/>
      </w:pPr>
      <w:r>
        <w:t>24.3 Non-Compliance Management</w:t>
      </w:r>
    </w:p>
    <w:p>
      <w:pPr>
        <w:pStyle w:val="ListBullet"/>
        <w:spacing w:after="40"/>
      </w:pPr>
      <w:r>
        <w:t>Unapproved model use must be reported to MRM promptly.</w:t>
      </w:r>
    </w:p>
    <w:p>
      <w:pPr>
        <w:pStyle w:val="ListBullet"/>
        <w:spacing w:after="40"/>
      </w:pPr>
      <w:r>
        <w:t>MRM determines severity, required containment, retrospective validation, customer or regulatory impact assessment, and governance escalation.</w:t>
      </w:r>
    </w:p>
    <w:p>
      <w:pPr>
        <w:pStyle w:val="ListBullet"/>
        <w:spacing w:after="40"/>
      </w:pPr>
      <w:r>
        <w:t>Repeated non-compliance may trigger audit referral, access restriction, or business process control changes.</w:t>
      </w:r>
    </w:p>
    <w:p>
      <w:r>
        <w:br w:type="page"/>
      </w:r>
    </w:p>
    <w:p>
      <w:pPr>
        <w:pStyle w:val="Heading1"/>
        <w:keepNext/>
      </w:pPr>
      <w:r>
        <w:t>25. Metrics, SLAs, and Management Reporting</w:t>
      </w:r>
    </w:p>
    <w:p>
      <w:r>
        <w:t>This section defines the mandatory procedure, control evidence, decision criteria, and escalation requirements for this stage of the model development lifecycle. The controls must be applied proportionately to model risk tier and documented in the model record.</w:t>
      </w:r>
    </w:p>
    <w:p>
      <w:pPr>
        <w:pStyle w:val="Heading2"/>
        <w:keepNext/>
      </w:pPr>
      <w:r>
        <w:t>25.1 Operational Metrics</w:t>
      </w:r>
    </w:p>
    <w:p>
      <w:pPr>
        <w:pStyle w:val="ListBullet"/>
        <w:spacing w:after="40"/>
      </w:pPr>
      <w:r>
        <w:t>Number of new model intakes by business line, model type, and tier.</w:t>
      </w:r>
    </w:p>
    <w:p>
      <w:pPr>
        <w:pStyle w:val="ListBullet"/>
        <w:spacing w:after="40"/>
      </w:pPr>
      <w:r>
        <w:t>Time from intake to tiering, requirements approval, validation start, validation completion, approval, and implementation.</w:t>
      </w:r>
    </w:p>
    <w:p>
      <w:pPr>
        <w:pStyle w:val="ListBullet"/>
        <w:spacing w:after="40"/>
      </w:pPr>
      <w:r>
        <w:t>Validation findings by severity, ageing, owner, and closure status.</w:t>
      </w:r>
    </w:p>
    <w:p>
      <w:pPr>
        <w:pStyle w:val="ListBullet"/>
        <w:spacing w:after="40"/>
      </w:pPr>
      <w:r>
        <w:t>Policy exceptions by type, age, expiry, and business owner.</w:t>
      </w:r>
    </w:p>
    <w:p>
      <w:pPr>
        <w:pStyle w:val="ListBullet"/>
        <w:spacing w:after="40"/>
      </w:pPr>
      <w:r>
        <w:t>Models pending approval, declined, conditionally approved, and overdue for monitoring or periodic review.</w:t>
      </w:r>
    </w:p>
    <w:p>
      <w:pPr>
        <w:pStyle w:val="Heading2"/>
        <w:keepNext/>
      </w:pPr>
      <w:r>
        <w:t>25.2 Model Risk Metrics</w:t>
      </w:r>
    </w:p>
    <w:p>
      <w:pPr>
        <w:pStyle w:val="ListBullet"/>
        <w:spacing w:after="40"/>
      </w:pPr>
      <w:r>
        <w:t>Tier distribution and critical model coverage.</w:t>
      </w:r>
    </w:p>
    <w:p>
      <w:pPr>
        <w:pStyle w:val="ListBullet"/>
        <w:spacing w:after="40"/>
      </w:pPr>
      <w:r>
        <w:t>Monitoring breaches, incidents, overrides, complaints, and model output anomalies.</w:t>
      </w:r>
    </w:p>
    <w:p>
      <w:pPr>
        <w:pStyle w:val="ListBullet"/>
        <w:spacing w:after="40"/>
      </w:pPr>
      <w:r>
        <w:t>Performance deterioration, data drift, calibration drift, and fairness concerns.</w:t>
      </w:r>
    </w:p>
    <w:p>
      <w:pPr>
        <w:pStyle w:val="ListBullet"/>
        <w:spacing w:after="40"/>
      </w:pPr>
      <w:r>
        <w:t>Unvalidated models, tactical model ageing, vendor model transparency gaps, and unresolved high-risk issues.</w:t>
      </w:r>
    </w:p>
    <w:p>
      <w:pPr>
        <w:pStyle w:val="Heading2"/>
        <w:keepNext/>
      </w:pPr>
      <w:r>
        <w:t>25.3 Reporting Cadence</w:t>
      </w:r>
    </w:p>
    <w:p>
      <w:pPr>
        <w:pStyle w:val="ListBullet"/>
        <w:spacing w:after="40"/>
      </w:pPr>
      <w:r>
        <w:t>Monthly operational reporting to MRM leadership for pipeline and issue management.</w:t>
      </w:r>
    </w:p>
    <w:p>
      <w:pPr>
        <w:pStyle w:val="ListBullet"/>
        <w:spacing w:after="40"/>
      </w:pPr>
      <w:r>
        <w:t>Quarterly reporting to Model Risk Committee on material model risk profile, high-risk issues, exceptions, incidents, and approvals.</w:t>
      </w:r>
    </w:p>
    <w:p>
      <w:pPr>
        <w:pStyle w:val="ListBullet"/>
        <w:spacing w:after="40"/>
      </w:pPr>
      <w:r>
        <w:t>Board or board risk committee reporting according to bank governance for critical model risk themes, regulatory matters, and material breaches.</w:t>
      </w:r>
    </w:p>
    <w:p>
      <w:r>
        <w:br w:type="page"/>
      </w:r>
    </w:p>
    <w:p>
      <w:pPr>
        <w:pStyle w:val="Heading1"/>
        <w:keepNext/>
      </w:pPr>
      <w:r>
        <w:t>26. Appendices</w:t>
      </w:r>
    </w:p>
    <w:p>
      <w:pPr>
        <w:pStyle w:val="Heading2"/>
        <w:keepNext/>
      </w:pPr>
      <w:r>
        <w:t>Appendix A - New Model Intake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04"/>
            <w:vAlign w:val="top"/>
            <w:shd w:fill="1F4E79"/>
          </w:tcPr>
          <w:p>
            <w:pPr>
              <w:spacing w:after="0"/>
            </w:pPr>
            <w:r/>
            <w:r>
              <w:rPr>
                <w:rFonts w:ascii="Arial" w:hAnsi="Arial"/>
                <w:b/>
                <w:color w:val="FFFFFF"/>
                <w:sz w:val="17"/>
              </w:rPr>
              <w:t>#</w:t>
            </w:r>
          </w:p>
        </w:tc>
        <w:tc>
          <w:tcPr>
            <w:tcW w:type="dxa" w:w="5328"/>
            <w:vAlign w:val="top"/>
            <w:shd w:fill="1F4E79"/>
          </w:tcPr>
          <w:p>
            <w:pPr>
              <w:spacing w:after="0"/>
            </w:pPr>
            <w:r/>
            <w:r>
              <w:rPr>
                <w:rFonts w:ascii="Arial" w:hAnsi="Arial"/>
                <w:b/>
                <w:color w:val="FFFFFF"/>
                <w:sz w:val="17"/>
              </w:rPr>
              <w:t>Checklist item</w:t>
            </w:r>
          </w:p>
        </w:tc>
        <w:tc>
          <w:tcPr>
            <w:tcW w:type="dxa" w:w="1944"/>
            <w:vAlign w:val="top"/>
            <w:shd w:fill="1F4E79"/>
          </w:tcPr>
          <w:p>
            <w:pPr>
              <w:spacing w:after="0"/>
            </w:pPr>
            <w:r/>
            <w:r>
              <w:rPr>
                <w:rFonts w:ascii="Arial" w:hAnsi="Arial"/>
                <w:b/>
                <w:color w:val="FFFFFF"/>
                <w:sz w:val="17"/>
              </w:rPr>
              <w:t>Owner</w:t>
            </w:r>
          </w:p>
        </w:tc>
        <w:tc>
          <w:tcPr>
            <w:tcW w:type="dxa" w:w="2592"/>
            <w:vAlign w:val="top"/>
            <w:shd w:fill="1F4E79"/>
          </w:tcPr>
          <w:p>
            <w:pPr>
              <w:spacing w:after="0"/>
            </w:pPr>
            <w:r/>
            <w:r>
              <w:rPr>
                <w:rFonts w:ascii="Arial" w:hAnsi="Arial"/>
                <w:b/>
                <w:color w:val="FFFFFF"/>
                <w:sz w:val="17"/>
              </w:rPr>
              <w:t>Evidence / comment</w:t>
            </w:r>
          </w:p>
        </w:tc>
      </w:tr>
      <w:tr>
        <w:tc>
          <w:tcPr>
            <w:tcW w:type="dxa" w:w="504"/>
            <w:vAlign w:val="top"/>
          </w:tcPr>
          <w:p>
            <w:pPr>
              <w:spacing w:after="0"/>
            </w:pPr>
            <w:r/>
            <w:r>
              <w:rPr>
                <w:rFonts w:ascii="Arial" w:hAnsi="Arial"/>
                <w:b w:val="0"/>
                <w:sz w:val="17"/>
              </w:rPr>
              <w:t>1</w:t>
            </w:r>
          </w:p>
        </w:tc>
        <w:tc>
          <w:tcPr>
            <w:tcW w:type="dxa" w:w="5328"/>
            <w:vAlign w:val="top"/>
          </w:tcPr>
          <w:p>
            <w:pPr>
              <w:spacing w:after="0"/>
            </w:pPr>
            <w:r/>
            <w:r>
              <w:rPr>
                <w:rFonts w:ascii="Arial" w:hAnsi="Arial"/>
                <w:b w:val="0"/>
                <w:sz w:val="17"/>
              </w:rPr>
              <w:t>Model sponsor and model owner identified.</w:t>
            </w:r>
          </w:p>
        </w:tc>
        <w:tc>
          <w:tcPr>
            <w:tcW w:type="dxa" w:w="1944"/>
            <w:vAlign w:val="top"/>
          </w:tcPr>
          <w:p>
            <w:pPr>
              <w:spacing w:after="0"/>
            </w:pPr>
            <w:r/>
            <w:r>
              <w:rPr>
                <w:rFonts w:ascii="Arial" w:hAnsi="Arial"/>
                <w:b w:val="0"/>
                <w:sz w:val="17"/>
              </w:rPr>
              <w:t>Sponsor</w:t>
            </w:r>
          </w:p>
        </w:tc>
        <w:tc>
          <w:tcPr>
            <w:tcW w:type="dxa" w:w="2592"/>
            <w:vAlign w:val="top"/>
          </w:tcPr>
          <w:p>
            <w:pPr>
              <w:spacing w:after="0"/>
            </w:pPr>
            <w:r/>
            <w:r>
              <w:rPr>
                <w:rFonts w:ascii="Arial" w:hAnsi="Arial"/>
                <w:b w:val="0"/>
                <w:sz w:val="17"/>
              </w:rPr>
            </w:r>
          </w:p>
        </w:tc>
      </w:tr>
      <w:tr>
        <w:tc>
          <w:tcPr>
            <w:tcW w:type="dxa" w:w="504"/>
            <w:vAlign w:val="top"/>
            <w:shd w:fill="F2F6FB"/>
          </w:tcPr>
          <w:p>
            <w:pPr>
              <w:spacing w:after="0"/>
            </w:pPr>
            <w:r/>
            <w:r>
              <w:rPr>
                <w:rFonts w:ascii="Arial" w:hAnsi="Arial"/>
                <w:b w:val="0"/>
                <w:sz w:val="17"/>
              </w:rPr>
              <w:t>2</w:t>
            </w:r>
          </w:p>
        </w:tc>
        <w:tc>
          <w:tcPr>
            <w:tcW w:type="dxa" w:w="5328"/>
            <w:vAlign w:val="top"/>
            <w:shd w:fill="F2F6FB"/>
          </w:tcPr>
          <w:p>
            <w:pPr>
              <w:spacing w:after="0"/>
            </w:pPr>
            <w:r/>
            <w:r>
              <w:rPr>
                <w:rFonts w:ascii="Arial" w:hAnsi="Arial"/>
                <w:b w:val="0"/>
                <w:sz w:val="17"/>
              </w:rPr>
              <w:t>Business purpose and decision use documented.</w:t>
            </w:r>
          </w:p>
        </w:tc>
        <w:tc>
          <w:tcPr>
            <w:tcW w:type="dxa" w:w="1944"/>
            <w:vAlign w:val="top"/>
            <w:shd w:fill="F2F6FB"/>
          </w:tcPr>
          <w:p>
            <w:pPr>
              <w:spacing w:after="0"/>
            </w:pPr>
            <w:r/>
            <w:r>
              <w:rPr>
                <w:rFonts w:ascii="Arial" w:hAnsi="Arial"/>
                <w:b w:val="0"/>
                <w:sz w:val="17"/>
              </w:rPr>
              <w:t>Owner</w:t>
            </w:r>
          </w:p>
        </w:tc>
        <w:tc>
          <w:tcPr>
            <w:tcW w:type="dxa" w:w="2592"/>
            <w:vAlign w:val="top"/>
            <w:shd w:fill="F2F6FB"/>
          </w:tcPr>
          <w:p>
            <w:pPr>
              <w:spacing w:after="0"/>
            </w:pPr>
            <w:r/>
            <w:r>
              <w:rPr>
                <w:rFonts w:ascii="Arial" w:hAnsi="Arial"/>
                <w:b w:val="0"/>
                <w:sz w:val="17"/>
              </w:rPr>
            </w:r>
          </w:p>
        </w:tc>
      </w:tr>
      <w:tr>
        <w:tc>
          <w:tcPr>
            <w:tcW w:type="dxa" w:w="504"/>
            <w:vAlign w:val="top"/>
          </w:tcPr>
          <w:p>
            <w:pPr>
              <w:spacing w:after="0"/>
            </w:pPr>
            <w:r/>
            <w:r>
              <w:rPr>
                <w:rFonts w:ascii="Arial" w:hAnsi="Arial"/>
                <w:b w:val="0"/>
                <w:sz w:val="17"/>
              </w:rPr>
              <w:t>3</w:t>
            </w:r>
          </w:p>
        </w:tc>
        <w:tc>
          <w:tcPr>
            <w:tcW w:type="dxa" w:w="5328"/>
            <w:vAlign w:val="top"/>
          </w:tcPr>
          <w:p>
            <w:pPr>
              <w:spacing w:after="0"/>
            </w:pPr>
            <w:r/>
            <w:r>
              <w:rPr>
                <w:rFonts w:ascii="Arial" w:hAnsi="Arial"/>
                <w:b w:val="0"/>
                <w:sz w:val="17"/>
              </w:rPr>
              <w:t>Target population, product, geography, channel, and exclusions defined.</w:t>
            </w:r>
          </w:p>
        </w:tc>
        <w:tc>
          <w:tcPr>
            <w:tcW w:type="dxa" w:w="1944"/>
            <w:vAlign w:val="top"/>
          </w:tcPr>
          <w:p>
            <w:pPr>
              <w:spacing w:after="0"/>
            </w:pPr>
            <w:r/>
            <w:r>
              <w:rPr>
                <w:rFonts w:ascii="Arial" w:hAnsi="Arial"/>
                <w:b w:val="0"/>
                <w:sz w:val="17"/>
              </w:rPr>
              <w:t>Owner</w:t>
            </w:r>
          </w:p>
        </w:tc>
        <w:tc>
          <w:tcPr>
            <w:tcW w:type="dxa" w:w="2592"/>
            <w:vAlign w:val="top"/>
          </w:tcPr>
          <w:p>
            <w:pPr>
              <w:spacing w:after="0"/>
            </w:pPr>
            <w:r/>
            <w:r>
              <w:rPr>
                <w:rFonts w:ascii="Arial" w:hAnsi="Arial"/>
                <w:b w:val="0"/>
                <w:sz w:val="17"/>
              </w:rPr>
            </w:r>
          </w:p>
        </w:tc>
      </w:tr>
      <w:tr>
        <w:tc>
          <w:tcPr>
            <w:tcW w:type="dxa" w:w="504"/>
            <w:vAlign w:val="top"/>
            <w:shd w:fill="F2F6FB"/>
          </w:tcPr>
          <w:p>
            <w:pPr>
              <w:spacing w:after="0"/>
            </w:pPr>
            <w:r/>
            <w:r>
              <w:rPr>
                <w:rFonts w:ascii="Arial" w:hAnsi="Arial"/>
                <w:b w:val="0"/>
                <w:sz w:val="17"/>
              </w:rPr>
              <w:t>4</w:t>
            </w:r>
          </w:p>
        </w:tc>
        <w:tc>
          <w:tcPr>
            <w:tcW w:type="dxa" w:w="5328"/>
            <w:vAlign w:val="top"/>
            <w:shd w:fill="F2F6FB"/>
          </w:tcPr>
          <w:p>
            <w:pPr>
              <w:spacing w:after="0"/>
            </w:pPr>
            <w:r/>
            <w:r>
              <w:rPr>
                <w:rFonts w:ascii="Arial" w:hAnsi="Arial"/>
                <w:b w:val="0"/>
                <w:sz w:val="17"/>
              </w:rPr>
              <w:t>Expected model output and downstream use documented.</w:t>
            </w:r>
          </w:p>
        </w:tc>
        <w:tc>
          <w:tcPr>
            <w:tcW w:type="dxa" w:w="1944"/>
            <w:vAlign w:val="top"/>
            <w:shd w:fill="F2F6FB"/>
          </w:tcPr>
          <w:p>
            <w:pPr>
              <w:spacing w:after="0"/>
            </w:pPr>
            <w:r/>
            <w:r>
              <w:rPr>
                <w:rFonts w:ascii="Arial" w:hAnsi="Arial"/>
                <w:b w:val="0"/>
                <w:sz w:val="17"/>
              </w:rPr>
              <w:t>Owner / Developer</w:t>
            </w:r>
          </w:p>
        </w:tc>
        <w:tc>
          <w:tcPr>
            <w:tcW w:type="dxa" w:w="2592"/>
            <w:vAlign w:val="top"/>
            <w:shd w:fill="F2F6FB"/>
          </w:tcPr>
          <w:p>
            <w:pPr>
              <w:spacing w:after="0"/>
            </w:pPr>
            <w:r/>
            <w:r>
              <w:rPr>
                <w:rFonts w:ascii="Arial" w:hAnsi="Arial"/>
                <w:b w:val="0"/>
                <w:sz w:val="17"/>
              </w:rPr>
            </w:r>
          </w:p>
        </w:tc>
      </w:tr>
      <w:tr>
        <w:tc>
          <w:tcPr>
            <w:tcW w:type="dxa" w:w="504"/>
            <w:vAlign w:val="top"/>
          </w:tcPr>
          <w:p>
            <w:pPr>
              <w:spacing w:after="0"/>
            </w:pPr>
            <w:r/>
            <w:r>
              <w:rPr>
                <w:rFonts w:ascii="Arial" w:hAnsi="Arial"/>
                <w:b w:val="0"/>
                <w:sz w:val="17"/>
              </w:rPr>
              <w:t>5</w:t>
            </w:r>
          </w:p>
        </w:tc>
        <w:tc>
          <w:tcPr>
            <w:tcW w:type="dxa" w:w="5328"/>
            <w:vAlign w:val="top"/>
          </w:tcPr>
          <w:p>
            <w:pPr>
              <w:spacing w:after="0"/>
            </w:pPr>
            <w:r/>
            <w:r>
              <w:rPr>
                <w:rFonts w:ascii="Arial" w:hAnsi="Arial"/>
                <w:b w:val="0"/>
                <w:sz w:val="17"/>
              </w:rPr>
              <w:t>Initial data sources identified and data owner contacted.</w:t>
            </w:r>
          </w:p>
        </w:tc>
        <w:tc>
          <w:tcPr>
            <w:tcW w:type="dxa" w:w="1944"/>
            <w:vAlign w:val="top"/>
          </w:tcPr>
          <w:p>
            <w:pPr>
              <w:spacing w:after="0"/>
            </w:pPr>
            <w:r/>
            <w:r>
              <w:rPr>
                <w:rFonts w:ascii="Arial" w:hAnsi="Arial"/>
                <w:b w:val="0"/>
                <w:sz w:val="17"/>
              </w:rPr>
              <w:t>Developer</w:t>
            </w:r>
          </w:p>
        </w:tc>
        <w:tc>
          <w:tcPr>
            <w:tcW w:type="dxa" w:w="2592"/>
            <w:vAlign w:val="top"/>
          </w:tcPr>
          <w:p>
            <w:pPr>
              <w:spacing w:after="0"/>
            </w:pPr>
            <w:r/>
            <w:r>
              <w:rPr>
                <w:rFonts w:ascii="Arial" w:hAnsi="Arial"/>
                <w:b w:val="0"/>
                <w:sz w:val="17"/>
              </w:rPr>
            </w:r>
          </w:p>
        </w:tc>
      </w:tr>
      <w:tr>
        <w:tc>
          <w:tcPr>
            <w:tcW w:type="dxa" w:w="504"/>
            <w:vAlign w:val="top"/>
            <w:shd w:fill="F2F6FB"/>
          </w:tcPr>
          <w:p>
            <w:pPr>
              <w:spacing w:after="0"/>
            </w:pPr>
            <w:r/>
            <w:r>
              <w:rPr>
                <w:rFonts w:ascii="Arial" w:hAnsi="Arial"/>
                <w:b w:val="0"/>
                <w:sz w:val="17"/>
              </w:rPr>
              <w:t>6</w:t>
            </w:r>
          </w:p>
        </w:tc>
        <w:tc>
          <w:tcPr>
            <w:tcW w:type="dxa" w:w="5328"/>
            <w:vAlign w:val="top"/>
            <w:shd w:fill="F2F6FB"/>
          </w:tcPr>
          <w:p>
            <w:pPr>
              <w:spacing w:after="0"/>
            </w:pPr>
            <w:r/>
            <w:r>
              <w:rPr>
                <w:rFonts w:ascii="Arial" w:hAnsi="Arial"/>
                <w:b w:val="0"/>
                <w:sz w:val="17"/>
              </w:rPr>
              <w:t>Customer, regulatory, financial, and operational impact assessed.</w:t>
            </w:r>
          </w:p>
        </w:tc>
        <w:tc>
          <w:tcPr>
            <w:tcW w:type="dxa" w:w="1944"/>
            <w:vAlign w:val="top"/>
            <w:shd w:fill="F2F6FB"/>
          </w:tcPr>
          <w:p>
            <w:pPr>
              <w:spacing w:after="0"/>
            </w:pPr>
            <w:r/>
            <w:r>
              <w:rPr>
                <w:rFonts w:ascii="Arial" w:hAnsi="Arial"/>
                <w:b w:val="0"/>
                <w:sz w:val="17"/>
              </w:rPr>
              <w:t>Owner / MRM</w:t>
            </w:r>
          </w:p>
        </w:tc>
        <w:tc>
          <w:tcPr>
            <w:tcW w:type="dxa" w:w="2592"/>
            <w:vAlign w:val="top"/>
            <w:shd w:fill="F2F6FB"/>
          </w:tcPr>
          <w:p>
            <w:pPr>
              <w:spacing w:after="0"/>
            </w:pPr>
            <w:r/>
            <w:r>
              <w:rPr>
                <w:rFonts w:ascii="Arial" w:hAnsi="Arial"/>
                <w:b w:val="0"/>
                <w:sz w:val="17"/>
              </w:rPr>
            </w:r>
          </w:p>
        </w:tc>
      </w:tr>
      <w:tr>
        <w:tc>
          <w:tcPr>
            <w:tcW w:type="dxa" w:w="504"/>
            <w:vAlign w:val="top"/>
          </w:tcPr>
          <w:p>
            <w:pPr>
              <w:spacing w:after="0"/>
            </w:pPr>
            <w:r/>
            <w:r>
              <w:rPr>
                <w:rFonts w:ascii="Arial" w:hAnsi="Arial"/>
                <w:b w:val="0"/>
                <w:sz w:val="17"/>
              </w:rPr>
              <w:t>7</w:t>
            </w:r>
          </w:p>
        </w:tc>
        <w:tc>
          <w:tcPr>
            <w:tcW w:type="dxa" w:w="5328"/>
            <w:vAlign w:val="top"/>
          </w:tcPr>
          <w:p>
            <w:pPr>
              <w:spacing w:after="0"/>
            </w:pPr>
            <w:r/>
            <w:r>
              <w:rPr>
                <w:rFonts w:ascii="Arial" w:hAnsi="Arial"/>
                <w:b w:val="0"/>
                <w:sz w:val="17"/>
              </w:rPr>
              <w:t>Vendor, cloud, AI/ML, or third-party dependencies identified.</w:t>
            </w:r>
          </w:p>
        </w:tc>
        <w:tc>
          <w:tcPr>
            <w:tcW w:type="dxa" w:w="1944"/>
            <w:vAlign w:val="top"/>
          </w:tcPr>
          <w:p>
            <w:pPr>
              <w:spacing w:after="0"/>
            </w:pPr>
            <w:r/>
            <w:r>
              <w:rPr>
                <w:rFonts w:ascii="Arial" w:hAnsi="Arial"/>
                <w:b w:val="0"/>
                <w:sz w:val="17"/>
              </w:rPr>
              <w:t>Owner / Technology</w:t>
            </w:r>
          </w:p>
        </w:tc>
        <w:tc>
          <w:tcPr>
            <w:tcW w:type="dxa" w:w="2592"/>
            <w:vAlign w:val="top"/>
          </w:tcPr>
          <w:p>
            <w:pPr>
              <w:spacing w:after="0"/>
            </w:pPr>
            <w:r/>
            <w:r>
              <w:rPr>
                <w:rFonts w:ascii="Arial" w:hAnsi="Arial"/>
                <w:b w:val="0"/>
                <w:sz w:val="17"/>
              </w:rPr>
            </w:r>
          </w:p>
        </w:tc>
      </w:tr>
      <w:tr>
        <w:tc>
          <w:tcPr>
            <w:tcW w:type="dxa" w:w="504"/>
            <w:vAlign w:val="top"/>
            <w:shd w:fill="F2F6FB"/>
          </w:tcPr>
          <w:p>
            <w:pPr>
              <w:spacing w:after="0"/>
            </w:pPr>
            <w:r/>
            <w:r>
              <w:rPr>
                <w:rFonts w:ascii="Arial" w:hAnsi="Arial"/>
                <w:b w:val="0"/>
                <w:sz w:val="17"/>
              </w:rPr>
              <w:t>8</w:t>
            </w:r>
          </w:p>
        </w:tc>
        <w:tc>
          <w:tcPr>
            <w:tcW w:type="dxa" w:w="5328"/>
            <w:vAlign w:val="top"/>
            <w:shd w:fill="F2F6FB"/>
          </w:tcPr>
          <w:p>
            <w:pPr>
              <w:spacing w:after="0"/>
            </w:pPr>
            <w:r/>
            <w:r>
              <w:rPr>
                <w:rFonts w:ascii="Arial" w:hAnsi="Arial"/>
                <w:b w:val="0"/>
                <w:sz w:val="17"/>
              </w:rPr>
              <w:t>Privacy, legal, compliance, and information security triggers assessed.</w:t>
            </w:r>
          </w:p>
        </w:tc>
        <w:tc>
          <w:tcPr>
            <w:tcW w:type="dxa" w:w="1944"/>
            <w:vAlign w:val="top"/>
            <w:shd w:fill="F2F6FB"/>
          </w:tcPr>
          <w:p>
            <w:pPr>
              <w:spacing w:after="0"/>
            </w:pPr>
            <w:r/>
            <w:r>
              <w:rPr>
                <w:rFonts w:ascii="Arial" w:hAnsi="Arial"/>
                <w:b w:val="0"/>
                <w:sz w:val="17"/>
              </w:rPr>
              <w:t>Owner / MRM</w:t>
            </w:r>
          </w:p>
        </w:tc>
        <w:tc>
          <w:tcPr>
            <w:tcW w:type="dxa" w:w="2592"/>
            <w:vAlign w:val="top"/>
            <w:shd w:fill="F2F6FB"/>
          </w:tcPr>
          <w:p>
            <w:pPr>
              <w:spacing w:after="0"/>
            </w:pPr>
            <w:r/>
            <w:r>
              <w:rPr>
                <w:rFonts w:ascii="Arial" w:hAnsi="Arial"/>
                <w:b w:val="0"/>
                <w:sz w:val="17"/>
              </w:rPr>
            </w:r>
          </w:p>
        </w:tc>
      </w:tr>
      <w:tr>
        <w:tc>
          <w:tcPr>
            <w:tcW w:type="dxa" w:w="504"/>
            <w:vAlign w:val="top"/>
          </w:tcPr>
          <w:p>
            <w:pPr>
              <w:spacing w:after="0"/>
            </w:pPr>
            <w:r/>
            <w:r>
              <w:rPr>
                <w:rFonts w:ascii="Arial" w:hAnsi="Arial"/>
                <w:b w:val="0"/>
                <w:sz w:val="17"/>
              </w:rPr>
              <w:t>9</w:t>
            </w:r>
          </w:p>
        </w:tc>
        <w:tc>
          <w:tcPr>
            <w:tcW w:type="dxa" w:w="5328"/>
            <w:vAlign w:val="top"/>
          </w:tcPr>
          <w:p>
            <w:pPr>
              <w:spacing w:after="0"/>
            </w:pPr>
            <w:r/>
            <w:r>
              <w:rPr>
                <w:rFonts w:ascii="Arial" w:hAnsi="Arial"/>
                <w:b w:val="0"/>
                <w:sz w:val="17"/>
              </w:rPr>
              <w:t>Preliminary model tier proposed.</w:t>
            </w:r>
          </w:p>
        </w:tc>
        <w:tc>
          <w:tcPr>
            <w:tcW w:type="dxa" w:w="1944"/>
            <w:vAlign w:val="top"/>
          </w:tcPr>
          <w:p>
            <w:pPr>
              <w:spacing w:after="0"/>
            </w:pPr>
            <w:r/>
            <w:r>
              <w:rPr>
                <w:rFonts w:ascii="Arial" w:hAnsi="Arial"/>
                <w:b w:val="0"/>
                <w:sz w:val="17"/>
              </w:rPr>
              <w:t>Owner / MRM</w:t>
            </w:r>
          </w:p>
        </w:tc>
        <w:tc>
          <w:tcPr>
            <w:tcW w:type="dxa" w:w="2592"/>
            <w:vAlign w:val="top"/>
          </w:tcPr>
          <w:p>
            <w:pPr>
              <w:spacing w:after="0"/>
            </w:pPr>
            <w:r/>
            <w:r>
              <w:rPr>
                <w:rFonts w:ascii="Arial" w:hAnsi="Arial"/>
                <w:b w:val="0"/>
                <w:sz w:val="17"/>
              </w:rPr>
            </w:r>
          </w:p>
        </w:tc>
      </w:tr>
      <w:tr>
        <w:tc>
          <w:tcPr>
            <w:tcW w:type="dxa" w:w="504"/>
            <w:vAlign w:val="top"/>
            <w:shd w:fill="F2F6FB"/>
          </w:tcPr>
          <w:p>
            <w:pPr>
              <w:spacing w:after="0"/>
            </w:pPr>
            <w:r/>
            <w:r>
              <w:rPr>
                <w:rFonts w:ascii="Arial" w:hAnsi="Arial"/>
                <w:b w:val="0"/>
                <w:sz w:val="17"/>
              </w:rPr>
              <w:t>10</w:t>
            </w:r>
          </w:p>
        </w:tc>
        <w:tc>
          <w:tcPr>
            <w:tcW w:type="dxa" w:w="5328"/>
            <w:vAlign w:val="top"/>
            <w:shd w:fill="F2F6FB"/>
          </w:tcPr>
          <w:p>
            <w:pPr>
              <w:spacing w:after="0"/>
            </w:pPr>
            <w:r/>
            <w:r>
              <w:rPr>
                <w:rFonts w:ascii="Arial" w:hAnsi="Arial"/>
                <w:b w:val="0"/>
                <w:sz w:val="17"/>
              </w:rPr>
              <w:t>Inventory shell or intake ID created.</w:t>
            </w:r>
          </w:p>
        </w:tc>
        <w:tc>
          <w:tcPr>
            <w:tcW w:type="dxa" w:w="1944"/>
            <w:vAlign w:val="top"/>
            <w:shd w:fill="F2F6FB"/>
          </w:tcPr>
          <w:p>
            <w:pPr>
              <w:spacing w:after="0"/>
            </w:pPr>
            <w:r/>
            <w:r>
              <w:rPr>
                <w:rFonts w:ascii="Arial" w:hAnsi="Arial"/>
                <w:b w:val="0"/>
                <w:sz w:val="17"/>
              </w:rPr>
              <w:t>MRM</w:t>
            </w:r>
          </w:p>
        </w:tc>
        <w:tc>
          <w:tcPr>
            <w:tcW w:type="dxa" w:w="2592"/>
            <w:vAlign w:val="top"/>
            <w:shd w:fill="F2F6FB"/>
          </w:tcPr>
          <w:p>
            <w:pPr>
              <w:spacing w:after="0"/>
            </w:pPr>
            <w:r/>
            <w:r>
              <w:rPr>
                <w:rFonts w:ascii="Arial" w:hAnsi="Arial"/>
                <w:b w:val="0"/>
                <w:sz w:val="17"/>
              </w:rPr>
            </w:r>
          </w:p>
        </w:tc>
      </w:tr>
    </w:tbl>
    <w:p>
      <w:pPr>
        <w:spacing w:after="20"/>
      </w:pPr>
    </w:p>
    <w:p>
      <w:pPr>
        <w:pStyle w:val="Heading2"/>
        <w:keepNext/>
      </w:pPr>
      <w:r>
        <w:t>Appendix B - Model Development Document Template</w:t>
      </w:r>
    </w:p>
    <w:p>
      <w:pPr>
        <w:pStyle w:val="Heading3"/>
        <w:keepNext/>
      </w:pPr>
      <w:r>
        <w:t>1. Executive Summary</w:t>
      </w:r>
    </w:p>
    <w:p>
      <w:pPr>
        <w:pStyle w:val="ListBullet"/>
        <w:spacing w:after="40"/>
      </w:pPr>
      <w:r>
        <w:t>Purpose, requested decision, model tier, key findings, approval request, material limitations.</w:t>
      </w:r>
    </w:p>
    <w:p>
      <w:pPr>
        <w:pStyle w:val="Heading3"/>
        <w:keepNext/>
      </w:pPr>
      <w:r>
        <w:t>2. Business Use and Scope</w:t>
      </w:r>
    </w:p>
    <w:p>
      <w:pPr>
        <w:pStyle w:val="ListBullet"/>
        <w:spacing w:after="40"/>
      </w:pPr>
      <w:r>
        <w:t>Use case, users, decisions, population, frequency, prohibited uses, customer impact.</w:t>
      </w:r>
    </w:p>
    <w:p>
      <w:pPr>
        <w:pStyle w:val="Heading3"/>
        <w:keepNext/>
      </w:pPr>
      <w:r>
        <w:t>3. Data</w:t>
      </w:r>
    </w:p>
    <w:p>
      <w:pPr>
        <w:pStyle w:val="ListBullet"/>
        <w:spacing w:after="40"/>
      </w:pPr>
      <w:r>
        <w:t>Sources, lineage, extraction, sample design, quality, representativeness, exclusions, leakage controls.</w:t>
      </w:r>
    </w:p>
    <w:p>
      <w:pPr>
        <w:pStyle w:val="Heading3"/>
        <w:keepNext/>
      </w:pPr>
      <w:r>
        <w:t>4. Methodology</w:t>
      </w:r>
    </w:p>
    <w:p>
      <w:pPr>
        <w:pStyle w:val="ListBullet"/>
        <w:spacing w:after="40"/>
      </w:pPr>
      <w:r>
        <w:t>Theory, candidate methods, selected method, assumptions, segmentation, variables, calibration.</w:t>
      </w:r>
    </w:p>
    <w:p>
      <w:pPr>
        <w:pStyle w:val="Heading3"/>
        <w:keepNext/>
      </w:pPr>
      <w:r>
        <w:t>5. Testing Results</w:t>
      </w:r>
    </w:p>
    <w:p>
      <w:pPr>
        <w:pStyle w:val="ListBullet"/>
        <w:spacing w:after="40"/>
      </w:pPr>
      <w:r>
        <w:t>Performance, benchmarks, sensitivity, stability, fairness, explainability, stress, limitations.</w:t>
      </w:r>
    </w:p>
    <w:p>
      <w:pPr>
        <w:pStyle w:val="Heading3"/>
        <w:keepNext/>
      </w:pPr>
      <w:r>
        <w:t>6. Implementation</w:t>
      </w:r>
    </w:p>
    <w:p>
      <w:pPr>
        <w:pStyle w:val="ListBullet"/>
        <w:spacing w:after="40"/>
      </w:pPr>
      <w:r>
        <w:t>Architecture, inputs, outputs, decision mapping, controls, fallback, user training.</w:t>
      </w:r>
    </w:p>
    <w:p>
      <w:pPr>
        <w:pStyle w:val="Heading3"/>
        <w:keepNext/>
      </w:pPr>
      <w:r>
        <w:t>7. Monitoring</w:t>
      </w:r>
    </w:p>
    <w:p>
      <w:pPr>
        <w:pStyle w:val="ListBullet"/>
        <w:spacing w:after="40"/>
      </w:pPr>
      <w:r>
        <w:t>Metrics, thresholds, frequency, owners, escalation, reporting.</w:t>
      </w:r>
    </w:p>
    <w:p>
      <w:pPr>
        <w:pStyle w:val="Heading3"/>
        <w:keepNext/>
      </w:pPr>
      <w:r>
        <w:t>8. Governance</w:t>
      </w:r>
    </w:p>
    <w:p>
      <w:pPr>
        <w:pStyle w:val="ListBullet"/>
        <w:spacing w:after="40"/>
      </w:pPr>
      <w:r>
        <w:t>Approvals, validation status, issues, conditions, evidence repository, change management.</w:t>
      </w:r>
    </w:p>
    <w:p>
      <w:pPr>
        <w:pStyle w:val="Heading2"/>
        <w:keepNext/>
      </w:pPr>
      <w:r>
        <w:t>Appendix C - Independent Validation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1F4E79"/>
          </w:tcPr>
          <w:p>
            <w:pPr>
              <w:spacing w:after="0"/>
            </w:pPr>
            <w:r/>
            <w:r>
              <w:rPr>
                <w:rFonts w:ascii="Arial" w:hAnsi="Arial"/>
                <w:b/>
                <w:color w:val="FFFFFF"/>
                <w:sz w:val="17"/>
              </w:rPr>
              <w:t>Area</w:t>
            </w:r>
          </w:p>
        </w:tc>
        <w:tc>
          <w:tcPr>
            <w:tcW w:type="dxa" w:w="6768"/>
            <w:vAlign w:val="top"/>
            <w:shd w:fill="1F4E79"/>
          </w:tcPr>
          <w:p>
            <w:pPr>
              <w:spacing w:after="0"/>
            </w:pPr>
            <w:r/>
            <w:r>
              <w:rPr>
                <w:rFonts w:ascii="Arial" w:hAnsi="Arial"/>
                <w:b/>
                <w:color w:val="FFFFFF"/>
                <w:sz w:val="17"/>
              </w:rPr>
              <w:t>Validation question</w:t>
            </w:r>
          </w:p>
        </w:tc>
        <w:tc>
          <w:tcPr>
            <w:tcW w:type="dxa" w:w="1872"/>
            <w:vAlign w:val="top"/>
            <w:shd w:fill="1F4E79"/>
          </w:tcPr>
          <w:p>
            <w:pPr>
              <w:spacing w:after="0"/>
            </w:pPr>
            <w:r/>
            <w:r>
              <w:rPr>
                <w:rFonts w:ascii="Arial" w:hAnsi="Arial"/>
                <w:b/>
                <w:color w:val="FFFFFF"/>
                <w:sz w:val="17"/>
              </w:rPr>
              <w:t>Result</w:t>
            </w:r>
          </w:p>
        </w:tc>
      </w:tr>
      <w:tr>
        <w:tc>
          <w:tcPr>
            <w:tcW w:type="dxa" w:w="1728"/>
            <w:vAlign w:val="top"/>
          </w:tcPr>
          <w:p>
            <w:pPr>
              <w:spacing w:after="0"/>
            </w:pPr>
            <w:r/>
            <w:r>
              <w:rPr>
                <w:rFonts w:ascii="Arial" w:hAnsi="Arial"/>
                <w:b w:val="0"/>
                <w:sz w:val="17"/>
              </w:rPr>
              <w:t>Purpose</w:t>
            </w:r>
          </w:p>
        </w:tc>
        <w:tc>
          <w:tcPr>
            <w:tcW w:type="dxa" w:w="6768"/>
            <w:vAlign w:val="top"/>
          </w:tcPr>
          <w:p>
            <w:pPr>
              <w:spacing w:after="0"/>
            </w:pPr>
            <w:r/>
            <w:r>
              <w:rPr>
                <w:rFonts w:ascii="Arial" w:hAnsi="Arial"/>
                <w:b w:val="0"/>
                <w:sz w:val="17"/>
              </w:rPr>
              <w:t>Is the intended use clear, approved, and consistent with actual workflow?</w:t>
            </w:r>
          </w:p>
        </w:tc>
        <w:tc>
          <w:tcPr>
            <w:tcW w:type="dxa" w:w="1872"/>
            <w:vAlign w:val="top"/>
          </w:tcPr>
          <w:p>
            <w:pPr>
              <w:spacing w:after="0"/>
            </w:pPr>
            <w:r/>
            <w:r>
              <w:rPr>
                <w:rFonts w:ascii="Arial" w:hAnsi="Arial"/>
                <w:b w:val="0"/>
                <w:sz w:val="17"/>
              </w:rPr>
              <w:t>Pass / Issue / N/A</w:t>
            </w:r>
          </w:p>
        </w:tc>
      </w:tr>
      <w:tr>
        <w:tc>
          <w:tcPr>
            <w:tcW w:type="dxa" w:w="1728"/>
            <w:vAlign w:val="top"/>
            <w:shd w:fill="F2F6FB"/>
          </w:tcPr>
          <w:p>
            <w:pPr>
              <w:spacing w:after="0"/>
            </w:pPr>
            <w:r/>
            <w:r>
              <w:rPr>
                <w:rFonts w:ascii="Arial" w:hAnsi="Arial"/>
                <w:b w:val="0"/>
                <w:sz w:val="17"/>
              </w:rPr>
              <w:t>Tiering</w:t>
            </w:r>
          </w:p>
        </w:tc>
        <w:tc>
          <w:tcPr>
            <w:tcW w:type="dxa" w:w="6768"/>
            <w:vAlign w:val="top"/>
            <w:shd w:fill="F2F6FB"/>
          </w:tcPr>
          <w:p>
            <w:pPr>
              <w:spacing w:after="0"/>
            </w:pPr>
            <w:r/>
            <w:r>
              <w:rPr>
                <w:rFonts w:ascii="Arial" w:hAnsi="Arial"/>
                <w:b w:val="0"/>
                <w:sz w:val="17"/>
              </w:rPr>
              <w:t>Is the model tier appropriate given impact and complexity?</w:t>
            </w:r>
          </w:p>
        </w:tc>
        <w:tc>
          <w:tcPr>
            <w:tcW w:type="dxa" w:w="1872"/>
            <w:vAlign w:val="top"/>
            <w:shd w:fill="F2F6FB"/>
          </w:tcPr>
          <w:p>
            <w:pPr>
              <w:spacing w:after="0"/>
            </w:pPr>
            <w:r/>
            <w:r>
              <w:rPr>
                <w:rFonts w:ascii="Arial" w:hAnsi="Arial"/>
                <w:b w:val="0"/>
                <w:sz w:val="17"/>
              </w:rPr>
              <w:t>Pass / Issue / N/A</w:t>
            </w:r>
          </w:p>
        </w:tc>
      </w:tr>
      <w:tr>
        <w:tc>
          <w:tcPr>
            <w:tcW w:type="dxa" w:w="1728"/>
            <w:vAlign w:val="top"/>
          </w:tcPr>
          <w:p>
            <w:pPr>
              <w:spacing w:after="0"/>
            </w:pPr>
            <w:r/>
            <w:r>
              <w:rPr>
                <w:rFonts w:ascii="Arial" w:hAnsi="Arial"/>
                <w:b w:val="0"/>
                <w:sz w:val="17"/>
              </w:rPr>
              <w:t>Data</w:t>
            </w:r>
          </w:p>
        </w:tc>
        <w:tc>
          <w:tcPr>
            <w:tcW w:type="dxa" w:w="6768"/>
            <w:vAlign w:val="top"/>
          </w:tcPr>
          <w:p>
            <w:pPr>
              <w:spacing w:after="0"/>
            </w:pPr>
            <w:r/>
            <w:r>
              <w:rPr>
                <w:rFonts w:ascii="Arial" w:hAnsi="Arial"/>
                <w:b w:val="0"/>
                <w:sz w:val="17"/>
              </w:rPr>
              <w:t>Are data sources approved, traceable, representative, and fit for purpose?</w:t>
            </w:r>
          </w:p>
        </w:tc>
        <w:tc>
          <w:tcPr>
            <w:tcW w:type="dxa" w:w="1872"/>
            <w:vAlign w:val="top"/>
          </w:tcPr>
          <w:p>
            <w:pPr>
              <w:spacing w:after="0"/>
            </w:pPr>
            <w:r/>
            <w:r>
              <w:rPr>
                <w:rFonts w:ascii="Arial" w:hAnsi="Arial"/>
                <w:b w:val="0"/>
                <w:sz w:val="17"/>
              </w:rPr>
              <w:t>Pass / Issue / N/A</w:t>
            </w:r>
          </w:p>
        </w:tc>
      </w:tr>
      <w:tr>
        <w:tc>
          <w:tcPr>
            <w:tcW w:type="dxa" w:w="1728"/>
            <w:vAlign w:val="top"/>
            <w:shd w:fill="F2F6FB"/>
          </w:tcPr>
          <w:p>
            <w:pPr>
              <w:spacing w:after="0"/>
            </w:pPr>
            <w:r/>
            <w:r>
              <w:rPr>
                <w:rFonts w:ascii="Arial" w:hAnsi="Arial"/>
                <w:b w:val="0"/>
                <w:sz w:val="17"/>
              </w:rPr>
              <w:t>Methodology</w:t>
            </w:r>
          </w:p>
        </w:tc>
        <w:tc>
          <w:tcPr>
            <w:tcW w:type="dxa" w:w="6768"/>
            <w:vAlign w:val="top"/>
            <w:shd w:fill="F2F6FB"/>
          </w:tcPr>
          <w:p>
            <w:pPr>
              <w:spacing w:after="0"/>
            </w:pPr>
            <w:r/>
            <w:r>
              <w:rPr>
                <w:rFonts w:ascii="Arial" w:hAnsi="Arial"/>
                <w:b w:val="0"/>
                <w:sz w:val="17"/>
              </w:rPr>
              <w:t>Is the methodology conceptually sound and appropriately justified?</w:t>
            </w:r>
          </w:p>
        </w:tc>
        <w:tc>
          <w:tcPr>
            <w:tcW w:type="dxa" w:w="1872"/>
            <w:vAlign w:val="top"/>
            <w:shd w:fill="F2F6FB"/>
          </w:tcPr>
          <w:p>
            <w:pPr>
              <w:spacing w:after="0"/>
            </w:pPr>
            <w:r/>
            <w:r>
              <w:rPr>
                <w:rFonts w:ascii="Arial" w:hAnsi="Arial"/>
                <w:b w:val="0"/>
                <w:sz w:val="17"/>
              </w:rPr>
              <w:t>Pass / Issue / N/A</w:t>
            </w:r>
          </w:p>
        </w:tc>
      </w:tr>
      <w:tr>
        <w:tc>
          <w:tcPr>
            <w:tcW w:type="dxa" w:w="1728"/>
            <w:vAlign w:val="top"/>
          </w:tcPr>
          <w:p>
            <w:pPr>
              <w:spacing w:after="0"/>
            </w:pPr>
            <w:r/>
            <w:r>
              <w:rPr>
                <w:rFonts w:ascii="Arial" w:hAnsi="Arial"/>
                <w:b w:val="0"/>
                <w:sz w:val="17"/>
              </w:rPr>
              <w:t>Performance</w:t>
            </w:r>
          </w:p>
        </w:tc>
        <w:tc>
          <w:tcPr>
            <w:tcW w:type="dxa" w:w="6768"/>
            <w:vAlign w:val="top"/>
          </w:tcPr>
          <w:p>
            <w:pPr>
              <w:spacing w:after="0"/>
            </w:pPr>
            <w:r/>
            <w:r>
              <w:rPr>
                <w:rFonts w:ascii="Arial" w:hAnsi="Arial"/>
                <w:b w:val="0"/>
                <w:sz w:val="17"/>
              </w:rPr>
              <w:t>Do tests support the model’s intended use and acceptance criteria?</w:t>
            </w:r>
          </w:p>
        </w:tc>
        <w:tc>
          <w:tcPr>
            <w:tcW w:type="dxa" w:w="1872"/>
            <w:vAlign w:val="top"/>
          </w:tcPr>
          <w:p>
            <w:pPr>
              <w:spacing w:after="0"/>
            </w:pPr>
            <w:r/>
            <w:r>
              <w:rPr>
                <w:rFonts w:ascii="Arial" w:hAnsi="Arial"/>
                <w:b w:val="0"/>
                <w:sz w:val="17"/>
              </w:rPr>
              <w:t>Pass / Issue / N/A</w:t>
            </w:r>
          </w:p>
        </w:tc>
      </w:tr>
      <w:tr>
        <w:tc>
          <w:tcPr>
            <w:tcW w:type="dxa" w:w="1728"/>
            <w:vAlign w:val="top"/>
            <w:shd w:fill="F2F6FB"/>
          </w:tcPr>
          <w:p>
            <w:pPr>
              <w:spacing w:after="0"/>
            </w:pPr>
            <w:r/>
            <w:r>
              <w:rPr>
                <w:rFonts w:ascii="Arial" w:hAnsi="Arial"/>
                <w:b w:val="0"/>
                <w:sz w:val="17"/>
              </w:rPr>
              <w:t>Robustness</w:t>
            </w:r>
          </w:p>
        </w:tc>
        <w:tc>
          <w:tcPr>
            <w:tcW w:type="dxa" w:w="6768"/>
            <w:vAlign w:val="top"/>
            <w:shd w:fill="F2F6FB"/>
          </w:tcPr>
          <w:p>
            <w:pPr>
              <w:spacing w:after="0"/>
            </w:pPr>
            <w:r/>
            <w:r>
              <w:rPr>
                <w:rFonts w:ascii="Arial" w:hAnsi="Arial"/>
                <w:b w:val="0"/>
                <w:sz w:val="17"/>
              </w:rPr>
              <w:t>Are sensitivity, stress, and stability results acceptable?</w:t>
            </w:r>
          </w:p>
        </w:tc>
        <w:tc>
          <w:tcPr>
            <w:tcW w:type="dxa" w:w="1872"/>
            <w:vAlign w:val="top"/>
            <w:shd w:fill="F2F6FB"/>
          </w:tcPr>
          <w:p>
            <w:pPr>
              <w:spacing w:after="0"/>
            </w:pPr>
            <w:r/>
            <w:r>
              <w:rPr>
                <w:rFonts w:ascii="Arial" w:hAnsi="Arial"/>
                <w:b w:val="0"/>
                <w:sz w:val="17"/>
              </w:rPr>
              <w:t>Pass / Issue / N/A</w:t>
            </w:r>
          </w:p>
        </w:tc>
      </w:tr>
      <w:tr>
        <w:tc>
          <w:tcPr>
            <w:tcW w:type="dxa" w:w="1728"/>
            <w:vAlign w:val="top"/>
          </w:tcPr>
          <w:p>
            <w:pPr>
              <w:spacing w:after="0"/>
            </w:pPr>
            <w:r/>
            <w:r>
              <w:rPr>
                <w:rFonts w:ascii="Arial" w:hAnsi="Arial"/>
                <w:b w:val="0"/>
                <w:sz w:val="17"/>
              </w:rPr>
              <w:t>Fairness</w:t>
            </w:r>
          </w:p>
        </w:tc>
        <w:tc>
          <w:tcPr>
            <w:tcW w:type="dxa" w:w="6768"/>
            <w:vAlign w:val="top"/>
          </w:tcPr>
          <w:p>
            <w:pPr>
              <w:spacing w:after="0"/>
            </w:pPr>
            <w:r/>
            <w:r>
              <w:rPr>
                <w:rFonts w:ascii="Arial" w:hAnsi="Arial"/>
                <w:b w:val="0"/>
                <w:sz w:val="17"/>
              </w:rPr>
              <w:t>Are bias, proxy, and differential impact risks assessed where applicable?</w:t>
            </w:r>
          </w:p>
        </w:tc>
        <w:tc>
          <w:tcPr>
            <w:tcW w:type="dxa" w:w="1872"/>
            <w:vAlign w:val="top"/>
          </w:tcPr>
          <w:p>
            <w:pPr>
              <w:spacing w:after="0"/>
            </w:pPr>
            <w:r/>
            <w:r>
              <w:rPr>
                <w:rFonts w:ascii="Arial" w:hAnsi="Arial"/>
                <w:b w:val="0"/>
                <w:sz w:val="17"/>
              </w:rPr>
              <w:t>Pass / Issue / N/A</w:t>
            </w:r>
          </w:p>
        </w:tc>
      </w:tr>
      <w:tr>
        <w:tc>
          <w:tcPr>
            <w:tcW w:type="dxa" w:w="1728"/>
            <w:vAlign w:val="top"/>
            <w:shd w:fill="F2F6FB"/>
          </w:tcPr>
          <w:p>
            <w:pPr>
              <w:spacing w:after="0"/>
            </w:pPr>
            <w:r/>
            <w:r>
              <w:rPr>
                <w:rFonts w:ascii="Arial" w:hAnsi="Arial"/>
                <w:b w:val="0"/>
                <w:sz w:val="17"/>
              </w:rPr>
              <w:t>Explainability</w:t>
            </w:r>
          </w:p>
        </w:tc>
        <w:tc>
          <w:tcPr>
            <w:tcW w:type="dxa" w:w="6768"/>
            <w:vAlign w:val="top"/>
            <w:shd w:fill="F2F6FB"/>
          </w:tcPr>
          <w:p>
            <w:pPr>
              <w:spacing w:after="0"/>
            </w:pPr>
            <w:r/>
            <w:r>
              <w:rPr>
                <w:rFonts w:ascii="Arial" w:hAnsi="Arial"/>
                <w:b w:val="0"/>
                <w:sz w:val="17"/>
              </w:rPr>
              <w:t>Are outputs explainable to users, validators, auditors, and customers where required?</w:t>
            </w:r>
          </w:p>
        </w:tc>
        <w:tc>
          <w:tcPr>
            <w:tcW w:type="dxa" w:w="1872"/>
            <w:vAlign w:val="top"/>
            <w:shd w:fill="F2F6FB"/>
          </w:tcPr>
          <w:p>
            <w:pPr>
              <w:spacing w:after="0"/>
            </w:pPr>
            <w:r/>
            <w:r>
              <w:rPr>
                <w:rFonts w:ascii="Arial" w:hAnsi="Arial"/>
                <w:b w:val="0"/>
                <w:sz w:val="17"/>
              </w:rPr>
              <w:t>Pass / Issue / N/A</w:t>
            </w:r>
          </w:p>
        </w:tc>
      </w:tr>
      <w:tr>
        <w:tc>
          <w:tcPr>
            <w:tcW w:type="dxa" w:w="1728"/>
            <w:vAlign w:val="top"/>
          </w:tcPr>
          <w:p>
            <w:pPr>
              <w:spacing w:after="0"/>
            </w:pPr>
            <w:r/>
            <w:r>
              <w:rPr>
                <w:rFonts w:ascii="Arial" w:hAnsi="Arial"/>
                <w:b w:val="0"/>
                <w:sz w:val="17"/>
              </w:rPr>
              <w:t>Implementation</w:t>
            </w:r>
          </w:p>
        </w:tc>
        <w:tc>
          <w:tcPr>
            <w:tcW w:type="dxa" w:w="6768"/>
            <w:vAlign w:val="top"/>
          </w:tcPr>
          <w:p>
            <w:pPr>
              <w:spacing w:after="0"/>
            </w:pPr>
            <w:r/>
            <w:r>
              <w:rPr>
                <w:rFonts w:ascii="Arial" w:hAnsi="Arial"/>
                <w:b w:val="0"/>
                <w:sz w:val="17"/>
              </w:rPr>
              <w:t>Can production implementation reproduce approved model outputs?</w:t>
            </w:r>
          </w:p>
        </w:tc>
        <w:tc>
          <w:tcPr>
            <w:tcW w:type="dxa" w:w="1872"/>
            <w:vAlign w:val="top"/>
          </w:tcPr>
          <w:p>
            <w:pPr>
              <w:spacing w:after="0"/>
            </w:pPr>
            <w:r/>
            <w:r>
              <w:rPr>
                <w:rFonts w:ascii="Arial" w:hAnsi="Arial"/>
                <w:b w:val="0"/>
                <w:sz w:val="17"/>
              </w:rPr>
              <w:t>Pass / Issue / N/A</w:t>
            </w:r>
          </w:p>
        </w:tc>
      </w:tr>
      <w:tr>
        <w:tc>
          <w:tcPr>
            <w:tcW w:type="dxa" w:w="1728"/>
            <w:vAlign w:val="top"/>
            <w:shd w:fill="F2F6FB"/>
          </w:tcPr>
          <w:p>
            <w:pPr>
              <w:spacing w:after="0"/>
            </w:pPr>
            <w:r/>
            <w:r>
              <w:rPr>
                <w:rFonts w:ascii="Arial" w:hAnsi="Arial"/>
                <w:b w:val="0"/>
                <w:sz w:val="17"/>
              </w:rPr>
              <w:t>Monitoring</w:t>
            </w:r>
          </w:p>
        </w:tc>
        <w:tc>
          <w:tcPr>
            <w:tcW w:type="dxa" w:w="6768"/>
            <w:vAlign w:val="top"/>
            <w:shd w:fill="F2F6FB"/>
          </w:tcPr>
          <w:p>
            <w:pPr>
              <w:spacing w:after="0"/>
            </w:pPr>
            <w:r/>
            <w:r>
              <w:rPr>
                <w:rFonts w:ascii="Arial" w:hAnsi="Arial"/>
                <w:b w:val="0"/>
                <w:sz w:val="17"/>
              </w:rPr>
              <w:t>Are ongoing monitoring metrics, thresholds, owners, and escalation defined?</w:t>
            </w:r>
          </w:p>
        </w:tc>
        <w:tc>
          <w:tcPr>
            <w:tcW w:type="dxa" w:w="1872"/>
            <w:vAlign w:val="top"/>
            <w:shd w:fill="F2F6FB"/>
          </w:tcPr>
          <w:p>
            <w:pPr>
              <w:spacing w:after="0"/>
            </w:pPr>
            <w:r/>
            <w:r>
              <w:rPr>
                <w:rFonts w:ascii="Arial" w:hAnsi="Arial"/>
                <w:b w:val="0"/>
                <w:sz w:val="17"/>
              </w:rPr>
              <w:t>Pass / Issue / N/A</w:t>
            </w:r>
          </w:p>
        </w:tc>
      </w:tr>
      <w:tr>
        <w:tc>
          <w:tcPr>
            <w:tcW w:type="dxa" w:w="1728"/>
            <w:vAlign w:val="top"/>
          </w:tcPr>
          <w:p>
            <w:pPr>
              <w:spacing w:after="0"/>
            </w:pPr>
            <w:r/>
            <w:r>
              <w:rPr>
                <w:rFonts w:ascii="Arial" w:hAnsi="Arial"/>
                <w:b w:val="0"/>
                <w:sz w:val="17"/>
              </w:rPr>
              <w:t>Documentation</w:t>
            </w:r>
          </w:p>
        </w:tc>
        <w:tc>
          <w:tcPr>
            <w:tcW w:type="dxa" w:w="6768"/>
            <w:vAlign w:val="top"/>
          </w:tcPr>
          <w:p>
            <w:pPr>
              <w:spacing w:after="0"/>
            </w:pPr>
            <w:r/>
            <w:r>
              <w:rPr>
                <w:rFonts w:ascii="Arial" w:hAnsi="Arial"/>
                <w:b w:val="0"/>
                <w:sz w:val="17"/>
              </w:rPr>
              <w:t>Could an independent party reproduce and understand the model?</w:t>
            </w:r>
          </w:p>
        </w:tc>
        <w:tc>
          <w:tcPr>
            <w:tcW w:type="dxa" w:w="1872"/>
            <w:vAlign w:val="top"/>
          </w:tcPr>
          <w:p>
            <w:pPr>
              <w:spacing w:after="0"/>
            </w:pPr>
            <w:r/>
            <w:r>
              <w:rPr>
                <w:rFonts w:ascii="Arial" w:hAnsi="Arial"/>
                <w:b w:val="0"/>
                <w:sz w:val="17"/>
              </w:rPr>
              <w:t>Pass / Issue / N/A</w:t>
            </w:r>
          </w:p>
        </w:tc>
      </w:tr>
    </w:tbl>
    <w:p>
      <w:pPr>
        <w:spacing w:after="20"/>
      </w:pPr>
    </w:p>
    <w:p>
      <w:r>
        <w:br w:type="page"/>
      </w:r>
    </w:p>
    <w:p>
      <w:pPr>
        <w:pStyle w:val="Heading2"/>
        <w:keepNext/>
      </w:pPr>
      <w:r>
        <w:t>Appendix D - Approval Decision Log Template</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F2F6FB"/>
          </w:tcPr>
          <w:p>
            <w:pPr>
              <w:spacing w:after="0"/>
            </w:pPr>
            <w:r/>
            <w:r>
              <w:rPr>
                <w:rFonts w:ascii="Arial" w:hAnsi="Arial"/>
                <w:b w:val="0"/>
                <w:sz w:val="17"/>
              </w:rPr>
              <w:t>Field</w:t>
            </w:r>
          </w:p>
        </w:tc>
        <w:tc>
          <w:tcPr>
            <w:tcW w:type="dxa" w:w="7200"/>
            <w:vAlign w:val="top"/>
            <w:shd w:fill="F2F6FB"/>
          </w:tcPr>
          <w:p>
            <w:pPr>
              <w:spacing w:after="0"/>
            </w:pPr>
            <w:r/>
            <w:r>
              <w:rPr>
                <w:rFonts w:ascii="Arial" w:hAnsi="Arial"/>
                <w:b w:val="0"/>
                <w:sz w:val="17"/>
              </w:rPr>
              <w:t>Entry</w:t>
            </w:r>
          </w:p>
        </w:tc>
      </w:tr>
      <w:tr>
        <w:tc>
          <w:tcPr>
            <w:tcW w:type="dxa" w:w="3168"/>
            <w:vAlign w:val="top"/>
          </w:tcPr>
          <w:p>
            <w:pPr>
              <w:spacing w:after="0"/>
            </w:pPr>
            <w:r/>
            <w:r>
              <w:rPr>
                <w:rFonts w:ascii="Arial" w:hAnsi="Arial"/>
                <w:b w:val="0"/>
                <w:sz w:val="17"/>
              </w:rPr>
              <w:t>Model name / ID</w:t>
            </w:r>
          </w:p>
        </w:tc>
        <w:tc>
          <w:tcPr>
            <w:tcW w:type="dxa" w:w="7200"/>
            <w:vAlign w:val="top"/>
          </w:tcPr>
          <w:p>
            <w:pPr>
              <w:spacing w:after="0"/>
            </w:pPr>
            <w:r/>
            <w:r>
              <w:rPr>
                <w:rFonts w:ascii="Arial" w:hAnsi="Arial"/>
                <w:b w:val="0"/>
                <w:sz w:val="17"/>
              </w:rPr>
            </w:r>
          </w:p>
        </w:tc>
      </w:tr>
      <w:tr>
        <w:tc>
          <w:tcPr>
            <w:tcW w:type="dxa" w:w="3168"/>
            <w:vAlign w:val="top"/>
            <w:shd w:fill="F2F6FB"/>
          </w:tcPr>
          <w:p>
            <w:pPr>
              <w:spacing w:after="0"/>
            </w:pPr>
            <w:r/>
            <w:r>
              <w:rPr>
                <w:rFonts w:ascii="Arial" w:hAnsi="Arial"/>
                <w:b w:val="0"/>
                <w:sz w:val="17"/>
              </w:rPr>
              <w:t>Model tier</w:t>
            </w:r>
          </w:p>
        </w:tc>
        <w:tc>
          <w:tcPr>
            <w:tcW w:type="dxa" w:w="7200"/>
            <w:vAlign w:val="top"/>
            <w:shd w:fill="F2F6FB"/>
          </w:tcPr>
          <w:p>
            <w:pPr>
              <w:spacing w:after="0"/>
            </w:pPr>
            <w:r/>
            <w:r>
              <w:rPr>
                <w:rFonts w:ascii="Arial" w:hAnsi="Arial"/>
                <w:b w:val="0"/>
                <w:sz w:val="17"/>
              </w:rPr>
            </w:r>
          </w:p>
        </w:tc>
      </w:tr>
      <w:tr>
        <w:tc>
          <w:tcPr>
            <w:tcW w:type="dxa" w:w="3168"/>
            <w:vAlign w:val="top"/>
          </w:tcPr>
          <w:p>
            <w:pPr>
              <w:spacing w:after="0"/>
            </w:pPr>
            <w:r/>
            <w:r>
              <w:rPr>
                <w:rFonts w:ascii="Arial" w:hAnsi="Arial"/>
                <w:b w:val="0"/>
                <w:sz w:val="17"/>
              </w:rPr>
              <w:t>Decision forum</w:t>
            </w:r>
          </w:p>
        </w:tc>
        <w:tc>
          <w:tcPr>
            <w:tcW w:type="dxa" w:w="7200"/>
            <w:vAlign w:val="top"/>
          </w:tcPr>
          <w:p>
            <w:pPr>
              <w:spacing w:after="0"/>
            </w:pPr>
            <w:r/>
            <w:r>
              <w:rPr>
                <w:rFonts w:ascii="Arial" w:hAnsi="Arial"/>
                <w:b w:val="0"/>
                <w:sz w:val="17"/>
              </w:rPr>
            </w:r>
          </w:p>
        </w:tc>
      </w:tr>
      <w:tr>
        <w:tc>
          <w:tcPr>
            <w:tcW w:type="dxa" w:w="3168"/>
            <w:vAlign w:val="top"/>
            <w:shd w:fill="F2F6FB"/>
          </w:tcPr>
          <w:p>
            <w:pPr>
              <w:spacing w:after="0"/>
            </w:pPr>
            <w:r/>
            <w:r>
              <w:rPr>
                <w:rFonts w:ascii="Arial" w:hAnsi="Arial"/>
                <w:b w:val="0"/>
                <w:sz w:val="17"/>
              </w:rPr>
              <w:t>Meeting date</w:t>
            </w:r>
          </w:p>
        </w:tc>
        <w:tc>
          <w:tcPr>
            <w:tcW w:type="dxa" w:w="7200"/>
            <w:vAlign w:val="top"/>
            <w:shd w:fill="F2F6FB"/>
          </w:tcPr>
          <w:p>
            <w:pPr>
              <w:spacing w:after="0"/>
            </w:pPr>
            <w:r/>
            <w:r>
              <w:rPr>
                <w:rFonts w:ascii="Arial" w:hAnsi="Arial"/>
                <w:b w:val="0"/>
                <w:sz w:val="17"/>
              </w:rPr>
            </w:r>
          </w:p>
        </w:tc>
      </w:tr>
      <w:tr>
        <w:tc>
          <w:tcPr>
            <w:tcW w:type="dxa" w:w="3168"/>
            <w:vAlign w:val="top"/>
          </w:tcPr>
          <w:p>
            <w:pPr>
              <w:spacing w:after="0"/>
            </w:pPr>
            <w:r/>
            <w:r>
              <w:rPr>
                <w:rFonts w:ascii="Arial" w:hAnsi="Arial"/>
                <w:b w:val="0"/>
                <w:sz w:val="17"/>
              </w:rPr>
              <w:t>Decision requested</w:t>
            </w:r>
          </w:p>
        </w:tc>
        <w:tc>
          <w:tcPr>
            <w:tcW w:type="dxa" w:w="7200"/>
            <w:vAlign w:val="top"/>
          </w:tcPr>
          <w:p>
            <w:pPr>
              <w:spacing w:after="0"/>
            </w:pPr>
            <w:r/>
            <w:r>
              <w:rPr>
                <w:rFonts w:ascii="Arial" w:hAnsi="Arial"/>
                <w:b w:val="0"/>
                <w:sz w:val="17"/>
              </w:rPr>
              <w:t>Approve / Conditional approve / Pilot only / Defer / Decline / Withdraw</w:t>
            </w:r>
          </w:p>
        </w:tc>
      </w:tr>
      <w:tr>
        <w:tc>
          <w:tcPr>
            <w:tcW w:type="dxa" w:w="3168"/>
            <w:vAlign w:val="top"/>
            <w:shd w:fill="F2F6FB"/>
          </w:tcPr>
          <w:p>
            <w:pPr>
              <w:spacing w:after="0"/>
            </w:pPr>
            <w:r/>
            <w:r>
              <w:rPr>
                <w:rFonts w:ascii="Arial" w:hAnsi="Arial"/>
                <w:b w:val="0"/>
                <w:sz w:val="17"/>
              </w:rPr>
              <w:t>Decision outcome</w:t>
            </w:r>
          </w:p>
        </w:tc>
        <w:tc>
          <w:tcPr>
            <w:tcW w:type="dxa" w:w="7200"/>
            <w:vAlign w:val="top"/>
            <w:shd w:fill="F2F6FB"/>
          </w:tcPr>
          <w:p>
            <w:pPr>
              <w:spacing w:after="0"/>
            </w:pPr>
            <w:r/>
            <w:r>
              <w:rPr>
                <w:rFonts w:ascii="Arial" w:hAnsi="Arial"/>
                <w:b w:val="0"/>
                <w:sz w:val="17"/>
              </w:rPr>
            </w:r>
          </w:p>
        </w:tc>
      </w:tr>
      <w:tr>
        <w:tc>
          <w:tcPr>
            <w:tcW w:type="dxa" w:w="3168"/>
            <w:vAlign w:val="top"/>
          </w:tcPr>
          <w:p>
            <w:pPr>
              <w:spacing w:after="0"/>
            </w:pPr>
            <w:r/>
            <w:r>
              <w:rPr>
                <w:rFonts w:ascii="Arial" w:hAnsi="Arial"/>
                <w:b w:val="0"/>
                <w:sz w:val="17"/>
              </w:rPr>
              <w:t>Conditions or restrictions</w:t>
            </w:r>
          </w:p>
        </w:tc>
        <w:tc>
          <w:tcPr>
            <w:tcW w:type="dxa" w:w="7200"/>
            <w:vAlign w:val="top"/>
          </w:tcPr>
          <w:p>
            <w:pPr>
              <w:spacing w:after="0"/>
            </w:pPr>
            <w:r/>
            <w:r>
              <w:rPr>
                <w:rFonts w:ascii="Arial" w:hAnsi="Arial"/>
                <w:b w:val="0"/>
                <w:sz w:val="17"/>
              </w:rPr>
            </w:r>
          </w:p>
        </w:tc>
      </w:tr>
      <w:tr>
        <w:tc>
          <w:tcPr>
            <w:tcW w:type="dxa" w:w="3168"/>
            <w:vAlign w:val="top"/>
            <w:shd w:fill="F2F6FB"/>
          </w:tcPr>
          <w:p>
            <w:pPr>
              <w:spacing w:after="0"/>
            </w:pPr>
            <w:r/>
            <w:r>
              <w:rPr>
                <w:rFonts w:ascii="Arial" w:hAnsi="Arial"/>
                <w:b w:val="0"/>
                <w:sz w:val="17"/>
              </w:rPr>
              <w:t>Open issues accepted</w:t>
            </w:r>
          </w:p>
        </w:tc>
        <w:tc>
          <w:tcPr>
            <w:tcW w:type="dxa" w:w="7200"/>
            <w:vAlign w:val="top"/>
            <w:shd w:fill="F2F6FB"/>
          </w:tcPr>
          <w:p>
            <w:pPr>
              <w:spacing w:after="0"/>
            </w:pPr>
            <w:r/>
            <w:r>
              <w:rPr>
                <w:rFonts w:ascii="Arial" w:hAnsi="Arial"/>
                <w:b w:val="0"/>
                <w:sz w:val="17"/>
              </w:rPr>
            </w:r>
          </w:p>
        </w:tc>
      </w:tr>
      <w:tr>
        <w:tc>
          <w:tcPr>
            <w:tcW w:type="dxa" w:w="3168"/>
            <w:vAlign w:val="top"/>
          </w:tcPr>
          <w:p>
            <w:pPr>
              <w:spacing w:after="0"/>
            </w:pPr>
            <w:r/>
            <w:r>
              <w:rPr>
                <w:rFonts w:ascii="Arial" w:hAnsi="Arial"/>
                <w:b w:val="0"/>
                <w:sz w:val="17"/>
              </w:rPr>
              <w:t>Expiry date for conditions</w:t>
            </w:r>
          </w:p>
        </w:tc>
        <w:tc>
          <w:tcPr>
            <w:tcW w:type="dxa" w:w="7200"/>
            <w:vAlign w:val="top"/>
          </w:tcPr>
          <w:p>
            <w:pPr>
              <w:spacing w:after="0"/>
            </w:pPr>
            <w:r/>
            <w:r>
              <w:rPr>
                <w:rFonts w:ascii="Arial" w:hAnsi="Arial"/>
                <w:b w:val="0"/>
                <w:sz w:val="17"/>
              </w:rPr>
            </w:r>
          </w:p>
        </w:tc>
      </w:tr>
      <w:tr>
        <w:tc>
          <w:tcPr>
            <w:tcW w:type="dxa" w:w="3168"/>
            <w:vAlign w:val="top"/>
            <w:shd w:fill="F2F6FB"/>
          </w:tcPr>
          <w:p>
            <w:pPr>
              <w:spacing w:after="0"/>
            </w:pPr>
            <w:r/>
            <w:r>
              <w:rPr>
                <w:rFonts w:ascii="Arial" w:hAnsi="Arial"/>
                <w:b w:val="0"/>
                <w:sz w:val="17"/>
              </w:rPr>
              <w:t>Approvers and attendees</w:t>
            </w:r>
          </w:p>
        </w:tc>
        <w:tc>
          <w:tcPr>
            <w:tcW w:type="dxa" w:w="7200"/>
            <w:vAlign w:val="top"/>
            <w:shd w:fill="F2F6FB"/>
          </w:tcPr>
          <w:p>
            <w:pPr>
              <w:spacing w:after="0"/>
            </w:pPr>
            <w:r/>
            <w:r>
              <w:rPr>
                <w:rFonts w:ascii="Arial" w:hAnsi="Arial"/>
                <w:b w:val="0"/>
                <w:sz w:val="17"/>
              </w:rPr>
            </w:r>
          </w:p>
        </w:tc>
      </w:tr>
      <w:tr>
        <w:tc>
          <w:tcPr>
            <w:tcW w:type="dxa" w:w="3168"/>
            <w:vAlign w:val="top"/>
          </w:tcPr>
          <w:p>
            <w:pPr>
              <w:spacing w:after="0"/>
            </w:pPr>
            <w:r/>
            <w:r>
              <w:rPr>
                <w:rFonts w:ascii="Arial" w:hAnsi="Arial"/>
                <w:b w:val="0"/>
                <w:sz w:val="17"/>
              </w:rPr>
              <w:t>Dissenting views or abstentions</w:t>
            </w:r>
          </w:p>
        </w:tc>
        <w:tc>
          <w:tcPr>
            <w:tcW w:type="dxa" w:w="7200"/>
            <w:vAlign w:val="top"/>
          </w:tcPr>
          <w:p>
            <w:pPr>
              <w:spacing w:after="0"/>
            </w:pPr>
            <w:r/>
            <w:r>
              <w:rPr>
                <w:rFonts w:ascii="Arial" w:hAnsi="Arial"/>
                <w:b w:val="0"/>
                <w:sz w:val="17"/>
              </w:rPr>
            </w:r>
          </w:p>
        </w:tc>
      </w:tr>
      <w:tr>
        <w:tc>
          <w:tcPr>
            <w:tcW w:type="dxa" w:w="3168"/>
            <w:vAlign w:val="top"/>
            <w:shd w:fill="F2F6FB"/>
          </w:tcPr>
          <w:p>
            <w:pPr>
              <w:spacing w:after="0"/>
            </w:pPr>
            <w:r/>
            <w:r>
              <w:rPr>
                <w:rFonts w:ascii="Arial" w:hAnsi="Arial"/>
                <w:b w:val="0"/>
                <w:sz w:val="17"/>
              </w:rPr>
              <w:t>Required next actions</w:t>
            </w:r>
          </w:p>
        </w:tc>
        <w:tc>
          <w:tcPr>
            <w:tcW w:type="dxa" w:w="7200"/>
            <w:vAlign w:val="top"/>
            <w:shd w:fill="F2F6FB"/>
          </w:tcPr>
          <w:p>
            <w:pPr>
              <w:spacing w:after="0"/>
            </w:pPr>
            <w:r/>
            <w:r>
              <w:rPr>
                <w:rFonts w:ascii="Arial" w:hAnsi="Arial"/>
                <w:b w:val="0"/>
                <w:sz w:val="17"/>
              </w:rPr>
            </w:r>
          </w:p>
        </w:tc>
      </w:tr>
    </w:tbl>
    <w:p>
      <w:pPr>
        <w:spacing w:after="20"/>
      </w:pPr>
    </w:p>
    <w:p>
      <w:pPr>
        <w:pStyle w:val="Heading2"/>
        <w:keepNext/>
      </w:pPr>
      <w:r>
        <w:t>Appendix E - Minimum Artefacts by Model Tier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024"/>
            <w:vAlign w:val="top"/>
            <w:shd w:fill="1F4E79"/>
          </w:tcPr>
          <w:p>
            <w:pPr>
              <w:spacing w:after="0"/>
            </w:pPr>
            <w:r/>
            <w:r>
              <w:rPr>
                <w:rFonts w:ascii="Arial" w:hAnsi="Arial"/>
                <w:b/>
                <w:color w:val="FFFFFF"/>
                <w:sz w:val="17"/>
              </w:rPr>
              <w:t>Artefact</w:t>
            </w:r>
          </w:p>
        </w:tc>
        <w:tc>
          <w:tcPr>
            <w:tcW w:type="dxa" w:w="1872"/>
            <w:vAlign w:val="top"/>
            <w:shd w:fill="1F4E79"/>
          </w:tcPr>
          <w:p>
            <w:pPr>
              <w:spacing w:after="0"/>
            </w:pPr>
            <w:r/>
            <w:r>
              <w:rPr>
                <w:rFonts w:ascii="Arial" w:hAnsi="Arial"/>
                <w:b/>
                <w:color w:val="FFFFFF"/>
                <w:sz w:val="17"/>
              </w:rPr>
              <w:t>Tier 1</w:t>
            </w:r>
          </w:p>
        </w:tc>
        <w:tc>
          <w:tcPr>
            <w:tcW w:type="dxa" w:w="1872"/>
            <w:vAlign w:val="top"/>
            <w:shd w:fill="1F4E79"/>
          </w:tcPr>
          <w:p>
            <w:pPr>
              <w:spacing w:after="0"/>
            </w:pPr>
            <w:r/>
            <w:r>
              <w:rPr>
                <w:rFonts w:ascii="Arial" w:hAnsi="Arial"/>
                <w:b/>
                <w:color w:val="FFFFFF"/>
                <w:sz w:val="17"/>
              </w:rPr>
              <w:t>Tier 2</w:t>
            </w:r>
          </w:p>
        </w:tc>
        <w:tc>
          <w:tcPr>
            <w:tcW w:type="dxa" w:w="1872"/>
            <w:vAlign w:val="top"/>
            <w:shd w:fill="1F4E79"/>
          </w:tcPr>
          <w:p>
            <w:pPr>
              <w:spacing w:after="0"/>
            </w:pPr>
            <w:r/>
            <w:r>
              <w:rPr>
                <w:rFonts w:ascii="Arial" w:hAnsi="Arial"/>
                <w:b/>
                <w:color w:val="FFFFFF"/>
                <w:sz w:val="17"/>
              </w:rPr>
              <w:t>Tier 3</w:t>
            </w:r>
          </w:p>
        </w:tc>
        <w:tc>
          <w:tcPr>
            <w:tcW w:type="dxa" w:w="1872"/>
            <w:vAlign w:val="top"/>
            <w:shd w:fill="1F4E79"/>
          </w:tcPr>
          <w:p>
            <w:pPr>
              <w:spacing w:after="0"/>
            </w:pPr>
            <w:r/>
            <w:r>
              <w:rPr>
                <w:rFonts w:ascii="Arial" w:hAnsi="Arial"/>
                <w:b/>
                <w:color w:val="FFFFFF"/>
                <w:sz w:val="17"/>
              </w:rPr>
              <w:t>Tier 4</w:t>
            </w:r>
          </w:p>
        </w:tc>
      </w:tr>
      <w:tr>
        <w:tc>
          <w:tcPr>
            <w:tcW w:type="dxa" w:w="3024"/>
            <w:vAlign w:val="top"/>
          </w:tcPr>
          <w:p>
            <w:pPr>
              <w:spacing w:after="0"/>
            </w:pPr>
            <w:r/>
            <w:r>
              <w:rPr>
                <w:rFonts w:ascii="Arial" w:hAnsi="Arial"/>
                <w:b w:val="0"/>
                <w:sz w:val="17"/>
              </w:rPr>
              <w:t>Intake and inventory record</w:t>
            </w:r>
          </w:p>
        </w:tc>
        <w:tc>
          <w:tcPr>
            <w:tcW w:type="dxa" w:w="1872"/>
            <w:vAlign w:val="top"/>
          </w:tcPr>
          <w:p>
            <w:pPr>
              <w:spacing w:after="0"/>
            </w:pPr>
            <w:r/>
            <w:r>
              <w:rPr>
                <w:rFonts w:ascii="Arial" w:hAnsi="Arial"/>
                <w:b w:val="0"/>
                <w:sz w:val="17"/>
              </w:rPr>
              <w:t>Required</w:t>
            </w:r>
          </w:p>
        </w:tc>
        <w:tc>
          <w:tcPr>
            <w:tcW w:type="dxa" w:w="1872"/>
            <w:vAlign w:val="top"/>
          </w:tcPr>
          <w:p>
            <w:pPr>
              <w:spacing w:after="0"/>
            </w:pPr>
            <w:r/>
            <w:r>
              <w:rPr>
                <w:rFonts w:ascii="Arial" w:hAnsi="Arial"/>
                <w:b w:val="0"/>
                <w:sz w:val="17"/>
              </w:rPr>
              <w:t>Required</w:t>
            </w:r>
          </w:p>
        </w:tc>
        <w:tc>
          <w:tcPr>
            <w:tcW w:type="dxa" w:w="1872"/>
            <w:vAlign w:val="top"/>
          </w:tcPr>
          <w:p>
            <w:pPr>
              <w:spacing w:after="0"/>
            </w:pPr>
            <w:r/>
            <w:r>
              <w:rPr>
                <w:rFonts w:ascii="Arial" w:hAnsi="Arial"/>
                <w:b w:val="0"/>
                <w:sz w:val="17"/>
              </w:rPr>
              <w:t>Required</w:t>
            </w:r>
          </w:p>
        </w:tc>
        <w:tc>
          <w:tcPr>
            <w:tcW w:type="dxa" w:w="1872"/>
            <w:vAlign w:val="top"/>
          </w:tcPr>
          <w:p>
            <w:pPr>
              <w:spacing w:after="0"/>
            </w:pPr>
            <w:r/>
            <w:r>
              <w:rPr>
                <w:rFonts w:ascii="Arial" w:hAnsi="Arial"/>
                <w:b w:val="0"/>
                <w:sz w:val="17"/>
              </w:rPr>
              <w:t>Required</w:t>
            </w:r>
          </w:p>
        </w:tc>
      </w:tr>
      <w:tr>
        <w:tc>
          <w:tcPr>
            <w:tcW w:type="dxa" w:w="3024"/>
            <w:vAlign w:val="top"/>
            <w:shd w:fill="F2F6FB"/>
          </w:tcPr>
          <w:p>
            <w:pPr>
              <w:spacing w:after="0"/>
            </w:pPr>
            <w:r/>
            <w:r>
              <w:rPr>
                <w:rFonts w:ascii="Arial" w:hAnsi="Arial"/>
                <w:b w:val="0"/>
                <w:sz w:val="17"/>
              </w:rPr>
              <w:t>Formal requirements document</w:t>
            </w:r>
          </w:p>
        </w:tc>
        <w:tc>
          <w:tcPr>
            <w:tcW w:type="dxa" w:w="1872"/>
            <w:vAlign w:val="top"/>
            <w:shd w:fill="F2F6FB"/>
          </w:tcPr>
          <w:p>
            <w:pPr>
              <w:spacing w:after="0"/>
            </w:pPr>
            <w:r/>
            <w:r>
              <w:rPr>
                <w:rFonts w:ascii="Arial" w:hAnsi="Arial"/>
                <w:b w:val="0"/>
                <w:sz w:val="17"/>
              </w:rPr>
              <w:t>Required</w:t>
            </w:r>
          </w:p>
        </w:tc>
        <w:tc>
          <w:tcPr>
            <w:tcW w:type="dxa" w:w="1872"/>
            <w:vAlign w:val="top"/>
            <w:shd w:fill="F2F6FB"/>
          </w:tcPr>
          <w:p>
            <w:pPr>
              <w:spacing w:after="0"/>
            </w:pPr>
            <w:r/>
            <w:r>
              <w:rPr>
                <w:rFonts w:ascii="Arial" w:hAnsi="Arial"/>
                <w:b w:val="0"/>
                <w:sz w:val="17"/>
              </w:rPr>
              <w:t>Required</w:t>
            </w:r>
          </w:p>
        </w:tc>
        <w:tc>
          <w:tcPr>
            <w:tcW w:type="dxa" w:w="1872"/>
            <w:vAlign w:val="top"/>
            <w:shd w:fill="F2F6FB"/>
          </w:tcPr>
          <w:p>
            <w:pPr>
              <w:spacing w:after="0"/>
            </w:pPr>
            <w:r/>
            <w:r>
              <w:rPr>
                <w:rFonts w:ascii="Arial" w:hAnsi="Arial"/>
                <w:b w:val="0"/>
                <w:sz w:val="17"/>
              </w:rPr>
              <w:t>Required</w:t>
            </w:r>
          </w:p>
        </w:tc>
        <w:tc>
          <w:tcPr>
            <w:tcW w:type="dxa" w:w="1872"/>
            <w:vAlign w:val="top"/>
            <w:shd w:fill="F2F6FB"/>
          </w:tcPr>
          <w:p>
            <w:pPr>
              <w:spacing w:after="0"/>
            </w:pPr>
            <w:r/>
            <w:r>
              <w:rPr>
                <w:rFonts w:ascii="Arial" w:hAnsi="Arial"/>
                <w:b w:val="0"/>
                <w:sz w:val="17"/>
              </w:rPr>
              <w:t>Proportionate</w:t>
            </w:r>
          </w:p>
        </w:tc>
      </w:tr>
      <w:tr>
        <w:tc>
          <w:tcPr>
            <w:tcW w:type="dxa" w:w="3024"/>
            <w:vAlign w:val="top"/>
          </w:tcPr>
          <w:p>
            <w:pPr>
              <w:spacing w:after="0"/>
            </w:pPr>
            <w:r/>
            <w:r>
              <w:rPr>
                <w:rFonts w:ascii="Arial" w:hAnsi="Arial"/>
                <w:b w:val="0"/>
                <w:sz w:val="17"/>
              </w:rPr>
              <w:t>Data lineage and quality report</w:t>
            </w:r>
          </w:p>
        </w:tc>
        <w:tc>
          <w:tcPr>
            <w:tcW w:type="dxa" w:w="1872"/>
            <w:vAlign w:val="top"/>
          </w:tcPr>
          <w:p>
            <w:pPr>
              <w:spacing w:after="0"/>
            </w:pPr>
            <w:r/>
            <w:r>
              <w:rPr>
                <w:rFonts w:ascii="Arial" w:hAnsi="Arial"/>
                <w:b w:val="0"/>
                <w:sz w:val="17"/>
              </w:rPr>
              <w:t>Required</w:t>
            </w:r>
          </w:p>
        </w:tc>
        <w:tc>
          <w:tcPr>
            <w:tcW w:type="dxa" w:w="1872"/>
            <w:vAlign w:val="top"/>
          </w:tcPr>
          <w:p>
            <w:pPr>
              <w:spacing w:after="0"/>
            </w:pPr>
            <w:r/>
            <w:r>
              <w:rPr>
                <w:rFonts w:ascii="Arial" w:hAnsi="Arial"/>
                <w:b w:val="0"/>
                <w:sz w:val="17"/>
              </w:rPr>
              <w:t>Required</w:t>
            </w:r>
          </w:p>
        </w:tc>
        <w:tc>
          <w:tcPr>
            <w:tcW w:type="dxa" w:w="1872"/>
            <w:vAlign w:val="top"/>
          </w:tcPr>
          <w:p>
            <w:pPr>
              <w:spacing w:after="0"/>
            </w:pPr>
            <w:r/>
            <w:r>
              <w:rPr>
                <w:rFonts w:ascii="Arial" w:hAnsi="Arial"/>
                <w:b w:val="0"/>
                <w:sz w:val="17"/>
              </w:rPr>
              <w:t>Required</w:t>
            </w:r>
          </w:p>
        </w:tc>
        <w:tc>
          <w:tcPr>
            <w:tcW w:type="dxa" w:w="1872"/>
            <w:vAlign w:val="top"/>
          </w:tcPr>
          <w:p>
            <w:pPr>
              <w:spacing w:after="0"/>
            </w:pPr>
            <w:r/>
            <w:r>
              <w:rPr>
                <w:rFonts w:ascii="Arial" w:hAnsi="Arial"/>
                <w:b w:val="0"/>
                <w:sz w:val="17"/>
              </w:rPr>
              <w:t>Proportionate</w:t>
            </w:r>
          </w:p>
        </w:tc>
      </w:tr>
      <w:tr>
        <w:tc>
          <w:tcPr>
            <w:tcW w:type="dxa" w:w="3024"/>
            <w:vAlign w:val="top"/>
            <w:shd w:fill="F2F6FB"/>
          </w:tcPr>
          <w:p>
            <w:pPr>
              <w:spacing w:after="0"/>
            </w:pPr>
            <w:r/>
            <w:r>
              <w:rPr>
                <w:rFonts w:ascii="Arial" w:hAnsi="Arial"/>
                <w:b w:val="0"/>
                <w:sz w:val="17"/>
              </w:rPr>
              <w:t>Full development document</w:t>
            </w:r>
          </w:p>
        </w:tc>
        <w:tc>
          <w:tcPr>
            <w:tcW w:type="dxa" w:w="1872"/>
            <w:vAlign w:val="top"/>
            <w:shd w:fill="F2F6FB"/>
          </w:tcPr>
          <w:p>
            <w:pPr>
              <w:spacing w:after="0"/>
            </w:pPr>
            <w:r/>
            <w:r>
              <w:rPr>
                <w:rFonts w:ascii="Arial" w:hAnsi="Arial"/>
                <w:b w:val="0"/>
                <w:sz w:val="17"/>
              </w:rPr>
              <w:t>Required</w:t>
            </w:r>
          </w:p>
        </w:tc>
        <w:tc>
          <w:tcPr>
            <w:tcW w:type="dxa" w:w="1872"/>
            <w:vAlign w:val="top"/>
            <w:shd w:fill="F2F6FB"/>
          </w:tcPr>
          <w:p>
            <w:pPr>
              <w:spacing w:after="0"/>
            </w:pPr>
            <w:r/>
            <w:r>
              <w:rPr>
                <w:rFonts w:ascii="Arial" w:hAnsi="Arial"/>
                <w:b w:val="0"/>
                <w:sz w:val="17"/>
              </w:rPr>
              <w:t>Required</w:t>
            </w:r>
          </w:p>
        </w:tc>
        <w:tc>
          <w:tcPr>
            <w:tcW w:type="dxa" w:w="1872"/>
            <w:vAlign w:val="top"/>
            <w:shd w:fill="F2F6FB"/>
          </w:tcPr>
          <w:p>
            <w:pPr>
              <w:spacing w:after="0"/>
            </w:pPr>
            <w:r/>
            <w:r>
              <w:rPr>
                <w:rFonts w:ascii="Arial" w:hAnsi="Arial"/>
                <w:b w:val="0"/>
                <w:sz w:val="17"/>
              </w:rPr>
              <w:t>Proportionate</w:t>
            </w:r>
          </w:p>
        </w:tc>
        <w:tc>
          <w:tcPr>
            <w:tcW w:type="dxa" w:w="1872"/>
            <w:vAlign w:val="top"/>
            <w:shd w:fill="F2F6FB"/>
          </w:tcPr>
          <w:p>
            <w:pPr>
              <w:spacing w:after="0"/>
            </w:pPr>
            <w:r/>
            <w:r>
              <w:rPr>
                <w:rFonts w:ascii="Arial" w:hAnsi="Arial"/>
                <w:b w:val="0"/>
                <w:sz w:val="17"/>
              </w:rPr>
              <w:t>Proportionate</w:t>
            </w:r>
          </w:p>
        </w:tc>
      </w:tr>
      <w:tr>
        <w:tc>
          <w:tcPr>
            <w:tcW w:type="dxa" w:w="3024"/>
            <w:vAlign w:val="top"/>
          </w:tcPr>
          <w:p>
            <w:pPr>
              <w:spacing w:after="0"/>
            </w:pPr>
            <w:r/>
            <w:r>
              <w:rPr>
                <w:rFonts w:ascii="Arial" w:hAnsi="Arial"/>
                <w:b w:val="0"/>
                <w:sz w:val="17"/>
              </w:rPr>
              <w:t>Independent validation</w:t>
            </w:r>
          </w:p>
        </w:tc>
        <w:tc>
          <w:tcPr>
            <w:tcW w:type="dxa" w:w="1872"/>
            <w:vAlign w:val="top"/>
          </w:tcPr>
          <w:p>
            <w:pPr>
              <w:spacing w:after="0"/>
            </w:pPr>
            <w:r/>
            <w:r>
              <w:rPr>
                <w:rFonts w:ascii="Arial" w:hAnsi="Arial"/>
                <w:b w:val="0"/>
                <w:sz w:val="17"/>
              </w:rPr>
              <w:t>Full</w:t>
            </w:r>
          </w:p>
        </w:tc>
        <w:tc>
          <w:tcPr>
            <w:tcW w:type="dxa" w:w="1872"/>
            <w:vAlign w:val="top"/>
          </w:tcPr>
          <w:p>
            <w:pPr>
              <w:spacing w:after="0"/>
            </w:pPr>
            <w:r/>
            <w:r>
              <w:rPr>
                <w:rFonts w:ascii="Arial" w:hAnsi="Arial"/>
                <w:b w:val="0"/>
                <w:sz w:val="17"/>
              </w:rPr>
              <w:t>Full or scoped</w:t>
            </w:r>
          </w:p>
        </w:tc>
        <w:tc>
          <w:tcPr>
            <w:tcW w:type="dxa" w:w="1872"/>
            <w:vAlign w:val="top"/>
          </w:tcPr>
          <w:p>
            <w:pPr>
              <w:spacing w:after="0"/>
            </w:pPr>
            <w:r/>
            <w:r>
              <w:rPr>
                <w:rFonts w:ascii="Arial" w:hAnsi="Arial"/>
                <w:b w:val="0"/>
                <w:sz w:val="17"/>
              </w:rPr>
              <w:t>Scoped</w:t>
            </w:r>
          </w:p>
        </w:tc>
        <w:tc>
          <w:tcPr>
            <w:tcW w:type="dxa" w:w="1872"/>
            <w:vAlign w:val="top"/>
          </w:tcPr>
          <w:p>
            <w:pPr>
              <w:spacing w:after="0"/>
            </w:pPr>
            <w:r/>
            <w:r>
              <w:rPr>
                <w:rFonts w:ascii="Arial" w:hAnsi="Arial"/>
                <w:b w:val="0"/>
                <w:sz w:val="17"/>
              </w:rPr>
              <w:t>Proportionate / review</w:t>
            </w:r>
          </w:p>
        </w:tc>
      </w:tr>
      <w:tr>
        <w:tc>
          <w:tcPr>
            <w:tcW w:type="dxa" w:w="3024"/>
            <w:vAlign w:val="top"/>
            <w:shd w:fill="F2F6FB"/>
          </w:tcPr>
          <w:p>
            <w:pPr>
              <w:spacing w:after="0"/>
            </w:pPr>
            <w:r/>
            <w:r>
              <w:rPr>
                <w:rFonts w:ascii="Arial" w:hAnsi="Arial"/>
                <w:b w:val="0"/>
                <w:sz w:val="17"/>
              </w:rPr>
              <w:t>Fairness and explainability assessment</w:t>
            </w:r>
          </w:p>
        </w:tc>
        <w:tc>
          <w:tcPr>
            <w:tcW w:type="dxa" w:w="1872"/>
            <w:vAlign w:val="top"/>
            <w:shd w:fill="F2F6FB"/>
          </w:tcPr>
          <w:p>
            <w:pPr>
              <w:spacing w:after="0"/>
            </w:pPr>
            <w:r/>
            <w:r>
              <w:rPr>
                <w:rFonts w:ascii="Arial" w:hAnsi="Arial"/>
                <w:b w:val="0"/>
                <w:sz w:val="17"/>
              </w:rPr>
              <w:t>Required if customer or AI/ML impact</w:t>
            </w:r>
          </w:p>
        </w:tc>
        <w:tc>
          <w:tcPr>
            <w:tcW w:type="dxa" w:w="1872"/>
            <w:vAlign w:val="top"/>
            <w:shd w:fill="F2F6FB"/>
          </w:tcPr>
          <w:p>
            <w:pPr>
              <w:spacing w:after="0"/>
            </w:pPr>
            <w:r/>
            <w:r>
              <w:rPr>
                <w:rFonts w:ascii="Arial" w:hAnsi="Arial"/>
                <w:b w:val="0"/>
                <w:sz w:val="17"/>
              </w:rPr>
              <w:t>Required if customer or AI/ML impact</w:t>
            </w:r>
          </w:p>
        </w:tc>
        <w:tc>
          <w:tcPr>
            <w:tcW w:type="dxa" w:w="1872"/>
            <w:vAlign w:val="top"/>
            <w:shd w:fill="F2F6FB"/>
          </w:tcPr>
          <w:p>
            <w:pPr>
              <w:spacing w:after="0"/>
            </w:pPr>
            <w:r/>
            <w:r>
              <w:rPr>
                <w:rFonts w:ascii="Arial" w:hAnsi="Arial"/>
                <w:b w:val="0"/>
                <w:sz w:val="17"/>
              </w:rPr>
              <w:t>As applicable</w:t>
            </w:r>
          </w:p>
        </w:tc>
        <w:tc>
          <w:tcPr>
            <w:tcW w:type="dxa" w:w="1872"/>
            <w:vAlign w:val="top"/>
            <w:shd w:fill="F2F6FB"/>
          </w:tcPr>
          <w:p>
            <w:pPr>
              <w:spacing w:after="0"/>
            </w:pPr>
            <w:r/>
            <w:r>
              <w:rPr>
                <w:rFonts w:ascii="Arial" w:hAnsi="Arial"/>
                <w:b w:val="0"/>
                <w:sz w:val="17"/>
              </w:rPr>
              <w:t>As applicable</w:t>
            </w:r>
          </w:p>
        </w:tc>
      </w:tr>
      <w:tr>
        <w:tc>
          <w:tcPr>
            <w:tcW w:type="dxa" w:w="3024"/>
            <w:vAlign w:val="top"/>
          </w:tcPr>
          <w:p>
            <w:pPr>
              <w:spacing w:after="0"/>
            </w:pPr>
            <w:r/>
            <w:r>
              <w:rPr>
                <w:rFonts w:ascii="Arial" w:hAnsi="Arial"/>
                <w:b w:val="0"/>
                <w:sz w:val="17"/>
              </w:rPr>
              <w:t>Approval committee</w:t>
            </w:r>
          </w:p>
        </w:tc>
        <w:tc>
          <w:tcPr>
            <w:tcW w:type="dxa" w:w="1872"/>
            <w:vAlign w:val="top"/>
          </w:tcPr>
          <w:p>
            <w:pPr>
              <w:spacing w:after="0"/>
            </w:pPr>
            <w:r/>
            <w:r>
              <w:rPr>
                <w:rFonts w:ascii="Arial" w:hAnsi="Arial"/>
                <w:b w:val="0"/>
                <w:sz w:val="17"/>
              </w:rPr>
              <w:t>Senior committee</w:t>
            </w:r>
          </w:p>
        </w:tc>
        <w:tc>
          <w:tcPr>
            <w:tcW w:type="dxa" w:w="1872"/>
            <w:vAlign w:val="top"/>
          </w:tcPr>
          <w:p>
            <w:pPr>
              <w:spacing w:after="0"/>
            </w:pPr>
            <w:r/>
            <w:r>
              <w:rPr>
                <w:rFonts w:ascii="Arial" w:hAnsi="Arial"/>
                <w:b w:val="0"/>
                <w:sz w:val="17"/>
              </w:rPr>
              <w:t>Committee/delegated</w:t>
            </w:r>
          </w:p>
        </w:tc>
        <w:tc>
          <w:tcPr>
            <w:tcW w:type="dxa" w:w="1872"/>
            <w:vAlign w:val="top"/>
          </w:tcPr>
          <w:p>
            <w:pPr>
              <w:spacing w:after="0"/>
            </w:pPr>
            <w:r/>
            <w:r>
              <w:rPr>
                <w:rFonts w:ascii="Arial" w:hAnsi="Arial"/>
                <w:b w:val="0"/>
                <w:sz w:val="17"/>
              </w:rPr>
              <w:t>Delegated</w:t>
            </w:r>
          </w:p>
        </w:tc>
        <w:tc>
          <w:tcPr>
            <w:tcW w:type="dxa" w:w="1872"/>
            <w:vAlign w:val="top"/>
          </w:tcPr>
          <w:p>
            <w:pPr>
              <w:spacing w:after="0"/>
            </w:pPr>
            <w:r/>
            <w:r>
              <w:rPr>
                <w:rFonts w:ascii="Arial" w:hAnsi="Arial"/>
                <w:b w:val="0"/>
                <w:sz w:val="17"/>
              </w:rPr>
              <w:t>Delegated</w:t>
            </w:r>
          </w:p>
        </w:tc>
      </w:tr>
      <w:tr>
        <w:tc>
          <w:tcPr>
            <w:tcW w:type="dxa" w:w="3024"/>
            <w:vAlign w:val="top"/>
            <w:shd w:fill="F2F6FB"/>
          </w:tcPr>
          <w:p>
            <w:pPr>
              <w:spacing w:after="0"/>
            </w:pPr>
            <w:r/>
            <w:r>
              <w:rPr>
                <w:rFonts w:ascii="Arial" w:hAnsi="Arial"/>
                <w:b w:val="0"/>
                <w:sz w:val="17"/>
              </w:rPr>
              <w:t>Post-implementation verification</w:t>
            </w:r>
          </w:p>
        </w:tc>
        <w:tc>
          <w:tcPr>
            <w:tcW w:type="dxa" w:w="1872"/>
            <w:vAlign w:val="top"/>
            <w:shd w:fill="F2F6FB"/>
          </w:tcPr>
          <w:p>
            <w:pPr>
              <w:spacing w:after="0"/>
            </w:pPr>
            <w:r/>
            <w:r>
              <w:rPr>
                <w:rFonts w:ascii="Arial" w:hAnsi="Arial"/>
                <w:b w:val="0"/>
                <w:sz w:val="17"/>
              </w:rPr>
              <w:t>Required</w:t>
            </w:r>
          </w:p>
        </w:tc>
        <w:tc>
          <w:tcPr>
            <w:tcW w:type="dxa" w:w="1872"/>
            <w:vAlign w:val="top"/>
            <w:shd w:fill="F2F6FB"/>
          </w:tcPr>
          <w:p>
            <w:pPr>
              <w:spacing w:after="0"/>
            </w:pPr>
            <w:r/>
            <w:r>
              <w:rPr>
                <w:rFonts w:ascii="Arial" w:hAnsi="Arial"/>
                <w:b w:val="0"/>
                <w:sz w:val="17"/>
              </w:rPr>
              <w:t>Required</w:t>
            </w:r>
          </w:p>
        </w:tc>
        <w:tc>
          <w:tcPr>
            <w:tcW w:type="dxa" w:w="1872"/>
            <w:vAlign w:val="top"/>
            <w:shd w:fill="F2F6FB"/>
          </w:tcPr>
          <w:p>
            <w:pPr>
              <w:spacing w:after="0"/>
            </w:pPr>
            <w:r/>
            <w:r>
              <w:rPr>
                <w:rFonts w:ascii="Arial" w:hAnsi="Arial"/>
                <w:b w:val="0"/>
                <w:sz w:val="17"/>
              </w:rPr>
              <w:t>Required</w:t>
            </w:r>
          </w:p>
        </w:tc>
        <w:tc>
          <w:tcPr>
            <w:tcW w:type="dxa" w:w="1872"/>
            <w:vAlign w:val="top"/>
            <w:shd w:fill="F2F6FB"/>
          </w:tcPr>
          <w:p>
            <w:pPr>
              <w:spacing w:after="0"/>
            </w:pPr>
            <w:r/>
            <w:r>
              <w:rPr>
                <w:rFonts w:ascii="Arial" w:hAnsi="Arial"/>
                <w:b w:val="0"/>
                <w:sz w:val="17"/>
              </w:rPr>
              <w:t>As applicable</w:t>
            </w:r>
          </w:p>
        </w:tc>
      </w:tr>
      <w:tr>
        <w:tc>
          <w:tcPr>
            <w:tcW w:type="dxa" w:w="3024"/>
            <w:vAlign w:val="top"/>
          </w:tcPr>
          <w:p>
            <w:pPr>
              <w:spacing w:after="0"/>
            </w:pPr>
            <w:r/>
            <w:r>
              <w:rPr>
                <w:rFonts w:ascii="Arial" w:hAnsi="Arial"/>
                <w:b w:val="0"/>
                <w:sz w:val="17"/>
              </w:rPr>
              <w:t>Monitoring frequency</w:t>
            </w:r>
          </w:p>
        </w:tc>
        <w:tc>
          <w:tcPr>
            <w:tcW w:type="dxa" w:w="1872"/>
            <w:vAlign w:val="top"/>
          </w:tcPr>
          <w:p>
            <w:pPr>
              <w:spacing w:after="0"/>
            </w:pPr>
            <w:r/>
            <w:r>
              <w:rPr>
                <w:rFonts w:ascii="Arial" w:hAnsi="Arial"/>
                <w:b w:val="0"/>
                <w:sz w:val="17"/>
              </w:rPr>
              <w:t>Monthly or more frequent</w:t>
            </w:r>
          </w:p>
        </w:tc>
        <w:tc>
          <w:tcPr>
            <w:tcW w:type="dxa" w:w="1872"/>
            <w:vAlign w:val="top"/>
          </w:tcPr>
          <w:p>
            <w:pPr>
              <w:spacing w:after="0"/>
            </w:pPr>
            <w:r/>
            <w:r>
              <w:rPr>
                <w:rFonts w:ascii="Arial" w:hAnsi="Arial"/>
                <w:b w:val="0"/>
                <w:sz w:val="17"/>
              </w:rPr>
              <w:t>Quarterly</w:t>
            </w:r>
          </w:p>
        </w:tc>
        <w:tc>
          <w:tcPr>
            <w:tcW w:type="dxa" w:w="1872"/>
            <w:vAlign w:val="top"/>
          </w:tcPr>
          <w:p>
            <w:pPr>
              <w:spacing w:after="0"/>
            </w:pPr>
            <w:r/>
            <w:r>
              <w:rPr>
                <w:rFonts w:ascii="Arial" w:hAnsi="Arial"/>
                <w:b w:val="0"/>
                <w:sz w:val="17"/>
              </w:rPr>
              <w:t>Semi-annual</w:t>
            </w:r>
          </w:p>
        </w:tc>
        <w:tc>
          <w:tcPr>
            <w:tcW w:type="dxa" w:w="1872"/>
            <w:vAlign w:val="top"/>
          </w:tcPr>
          <w:p>
            <w:pPr>
              <w:spacing w:after="0"/>
            </w:pPr>
            <w:r/>
            <w:r>
              <w:rPr>
                <w:rFonts w:ascii="Arial" w:hAnsi="Arial"/>
                <w:b w:val="0"/>
                <w:sz w:val="17"/>
              </w:rPr>
              <w:t>Periodic</w:t>
            </w:r>
          </w:p>
        </w:tc>
      </w:tr>
      <w:tr>
        <w:tc>
          <w:tcPr>
            <w:tcW w:type="dxa" w:w="3024"/>
            <w:vAlign w:val="top"/>
            <w:shd w:fill="F2F6FB"/>
          </w:tcPr>
          <w:p>
            <w:pPr>
              <w:spacing w:after="0"/>
            </w:pPr>
            <w:r/>
            <w:r>
              <w:rPr>
                <w:rFonts w:ascii="Arial" w:hAnsi="Arial"/>
                <w:b w:val="0"/>
                <w:sz w:val="17"/>
              </w:rPr>
              <w:t>Periodic review</w:t>
            </w:r>
          </w:p>
        </w:tc>
        <w:tc>
          <w:tcPr>
            <w:tcW w:type="dxa" w:w="1872"/>
            <w:vAlign w:val="top"/>
            <w:shd w:fill="F2F6FB"/>
          </w:tcPr>
          <w:p>
            <w:pPr>
              <w:spacing w:after="0"/>
            </w:pPr>
            <w:r/>
            <w:r>
              <w:rPr>
                <w:rFonts w:ascii="Arial" w:hAnsi="Arial"/>
                <w:b w:val="0"/>
                <w:sz w:val="17"/>
              </w:rPr>
              <w:t>Annual or policy driven</w:t>
            </w:r>
          </w:p>
        </w:tc>
        <w:tc>
          <w:tcPr>
            <w:tcW w:type="dxa" w:w="1872"/>
            <w:vAlign w:val="top"/>
            <w:shd w:fill="F2F6FB"/>
          </w:tcPr>
          <w:p>
            <w:pPr>
              <w:spacing w:after="0"/>
            </w:pPr>
            <w:r/>
            <w:r>
              <w:rPr>
                <w:rFonts w:ascii="Arial" w:hAnsi="Arial"/>
                <w:b w:val="0"/>
                <w:sz w:val="17"/>
              </w:rPr>
              <w:t>Risk-based</w:t>
            </w:r>
          </w:p>
        </w:tc>
        <w:tc>
          <w:tcPr>
            <w:tcW w:type="dxa" w:w="1872"/>
            <w:vAlign w:val="top"/>
            <w:shd w:fill="F2F6FB"/>
          </w:tcPr>
          <w:p>
            <w:pPr>
              <w:spacing w:after="0"/>
            </w:pPr>
            <w:r/>
            <w:r>
              <w:rPr>
                <w:rFonts w:ascii="Arial" w:hAnsi="Arial"/>
                <w:b w:val="0"/>
                <w:sz w:val="17"/>
              </w:rPr>
              <w:t>Risk-based</w:t>
            </w:r>
          </w:p>
        </w:tc>
        <w:tc>
          <w:tcPr>
            <w:tcW w:type="dxa" w:w="1872"/>
            <w:vAlign w:val="top"/>
            <w:shd w:fill="F2F6FB"/>
          </w:tcPr>
          <w:p>
            <w:pPr>
              <w:spacing w:after="0"/>
            </w:pPr>
            <w:r/>
            <w:r>
              <w:rPr>
                <w:rFonts w:ascii="Arial" w:hAnsi="Arial"/>
                <w:b w:val="0"/>
                <w:sz w:val="17"/>
              </w:rPr>
              <w:t>Attestation</w:t>
            </w:r>
          </w:p>
        </w:tc>
      </w:tr>
    </w:tbl>
    <w:p>
      <w:pPr>
        <w:spacing w:after="20"/>
      </w:pPr>
    </w:p>
    <w:p>
      <w:pPr>
        <w:pStyle w:val="Heading2"/>
        <w:keepNext/>
      </w:pPr>
      <w:r>
        <w:t>Appendix F - Model Decline Rationale Codes</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top"/>
            <w:shd w:fill="1F4E79"/>
          </w:tcPr>
          <w:p>
            <w:pPr>
              <w:spacing w:after="0"/>
            </w:pPr>
            <w:r/>
            <w:r>
              <w:rPr>
                <w:rFonts w:ascii="Arial" w:hAnsi="Arial"/>
                <w:b/>
                <w:color w:val="FFFFFF"/>
                <w:sz w:val="17"/>
              </w:rPr>
              <w:t>Code</w:t>
            </w:r>
          </w:p>
        </w:tc>
        <w:tc>
          <w:tcPr>
            <w:tcW w:type="dxa" w:w="2880"/>
            <w:vAlign w:val="top"/>
            <w:shd w:fill="1F4E79"/>
          </w:tcPr>
          <w:p>
            <w:pPr>
              <w:spacing w:after="0"/>
            </w:pPr>
            <w:r/>
            <w:r>
              <w:rPr>
                <w:rFonts w:ascii="Arial" w:hAnsi="Arial"/>
                <w:b/>
                <w:color w:val="FFFFFF"/>
                <w:sz w:val="17"/>
              </w:rPr>
              <w:t>Decline reason</w:t>
            </w:r>
          </w:p>
        </w:tc>
        <w:tc>
          <w:tcPr>
            <w:tcW w:type="dxa" w:w="6480"/>
            <w:vAlign w:val="top"/>
            <w:shd w:fill="1F4E79"/>
          </w:tcPr>
          <w:p>
            <w:pPr>
              <w:spacing w:after="0"/>
            </w:pPr>
            <w:r/>
            <w:r>
              <w:rPr>
                <w:rFonts w:ascii="Arial" w:hAnsi="Arial"/>
                <w:b/>
                <w:color w:val="FFFFFF"/>
                <w:sz w:val="17"/>
              </w:rPr>
              <w:t>Examples</w:t>
            </w:r>
          </w:p>
        </w:tc>
      </w:tr>
      <w:tr>
        <w:tc>
          <w:tcPr>
            <w:tcW w:type="dxa" w:w="1008"/>
            <w:vAlign w:val="top"/>
          </w:tcPr>
          <w:p>
            <w:pPr>
              <w:spacing w:after="0"/>
            </w:pPr>
            <w:r/>
            <w:r>
              <w:rPr>
                <w:rFonts w:ascii="Arial" w:hAnsi="Arial"/>
                <w:b w:val="0"/>
                <w:sz w:val="17"/>
              </w:rPr>
              <w:t>D01</w:t>
            </w:r>
          </w:p>
        </w:tc>
        <w:tc>
          <w:tcPr>
            <w:tcW w:type="dxa" w:w="2880"/>
            <w:vAlign w:val="top"/>
          </w:tcPr>
          <w:p>
            <w:pPr>
              <w:spacing w:after="0"/>
            </w:pPr>
            <w:r/>
            <w:r>
              <w:rPr>
                <w:rFonts w:ascii="Arial" w:hAnsi="Arial"/>
                <w:b w:val="0"/>
                <w:sz w:val="17"/>
              </w:rPr>
              <w:t>Insufficient business justification</w:t>
            </w:r>
          </w:p>
        </w:tc>
        <w:tc>
          <w:tcPr>
            <w:tcW w:type="dxa" w:w="6480"/>
            <w:vAlign w:val="top"/>
          </w:tcPr>
          <w:p>
            <w:pPr>
              <w:spacing w:after="0"/>
            </w:pPr>
            <w:r/>
            <w:r>
              <w:rPr>
                <w:rFonts w:ascii="Arial" w:hAnsi="Arial"/>
                <w:b w:val="0"/>
                <w:sz w:val="17"/>
              </w:rPr>
              <w:t>No clear decision use, no sponsor, weak benefits, duplicate capability.</w:t>
            </w:r>
          </w:p>
        </w:tc>
      </w:tr>
      <w:tr>
        <w:tc>
          <w:tcPr>
            <w:tcW w:type="dxa" w:w="1008"/>
            <w:vAlign w:val="top"/>
            <w:shd w:fill="F2F6FB"/>
          </w:tcPr>
          <w:p>
            <w:pPr>
              <w:spacing w:after="0"/>
            </w:pPr>
            <w:r/>
            <w:r>
              <w:rPr>
                <w:rFonts w:ascii="Arial" w:hAnsi="Arial"/>
                <w:b w:val="0"/>
                <w:sz w:val="17"/>
              </w:rPr>
              <w:t>D02</w:t>
            </w:r>
          </w:p>
        </w:tc>
        <w:tc>
          <w:tcPr>
            <w:tcW w:type="dxa" w:w="2880"/>
            <w:vAlign w:val="top"/>
            <w:shd w:fill="F2F6FB"/>
          </w:tcPr>
          <w:p>
            <w:pPr>
              <w:spacing w:after="0"/>
            </w:pPr>
            <w:r/>
            <w:r>
              <w:rPr>
                <w:rFonts w:ascii="Arial" w:hAnsi="Arial"/>
                <w:b w:val="0"/>
                <w:sz w:val="17"/>
              </w:rPr>
              <w:t>Unacceptable data risk</w:t>
            </w:r>
          </w:p>
        </w:tc>
        <w:tc>
          <w:tcPr>
            <w:tcW w:type="dxa" w:w="6480"/>
            <w:vAlign w:val="top"/>
            <w:shd w:fill="F2F6FB"/>
          </w:tcPr>
          <w:p>
            <w:pPr>
              <w:spacing w:after="0"/>
            </w:pPr>
            <w:r/>
            <w:r>
              <w:rPr>
                <w:rFonts w:ascii="Arial" w:hAnsi="Arial"/>
                <w:b w:val="0"/>
                <w:sz w:val="17"/>
              </w:rPr>
              <w:t>Unapproved source, poor quality, bias, leakage, lack of lineage, privacy restriction.</w:t>
            </w:r>
          </w:p>
        </w:tc>
      </w:tr>
      <w:tr>
        <w:tc>
          <w:tcPr>
            <w:tcW w:type="dxa" w:w="1008"/>
            <w:vAlign w:val="top"/>
          </w:tcPr>
          <w:p>
            <w:pPr>
              <w:spacing w:after="0"/>
            </w:pPr>
            <w:r/>
            <w:r>
              <w:rPr>
                <w:rFonts w:ascii="Arial" w:hAnsi="Arial"/>
                <w:b w:val="0"/>
                <w:sz w:val="17"/>
              </w:rPr>
              <w:t>D03</w:t>
            </w:r>
          </w:p>
        </w:tc>
        <w:tc>
          <w:tcPr>
            <w:tcW w:type="dxa" w:w="2880"/>
            <w:vAlign w:val="top"/>
          </w:tcPr>
          <w:p>
            <w:pPr>
              <w:spacing w:after="0"/>
            </w:pPr>
            <w:r/>
            <w:r>
              <w:rPr>
                <w:rFonts w:ascii="Arial" w:hAnsi="Arial"/>
                <w:b w:val="0"/>
                <w:sz w:val="17"/>
              </w:rPr>
              <w:t>Unsound methodology</w:t>
            </w:r>
          </w:p>
        </w:tc>
        <w:tc>
          <w:tcPr>
            <w:tcW w:type="dxa" w:w="6480"/>
            <w:vAlign w:val="top"/>
          </w:tcPr>
          <w:p>
            <w:pPr>
              <w:spacing w:after="0"/>
            </w:pPr>
            <w:r/>
            <w:r>
              <w:rPr>
                <w:rFonts w:ascii="Arial" w:hAnsi="Arial"/>
                <w:b w:val="0"/>
                <w:sz w:val="17"/>
              </w:rPr>
              <w:t>Conceptually weak, overfit, unstable, not fit for intended use.</w:t>
            </w:r>
          </w:p>
        </w:tc>
      </w:tr>
      <w:tr>
        <w:tc>
          <w:tcPr>
            <w:tcW w:type="dxa" w:w="1008"/>
            <w:vAlign w:val="top"/>
            <w:shd w:fill="F2F6FB"/>
          </w:tcPr>
          <w:p>
            <w:pPr>
              <w:spacing w:after="0"/>
            </w:pPr>
            <w:r/>
            <w:r>
              <w:rPr>
                <w:rFonts w:ascii="Arial" w:hAnsi="Arial"/>
                <w:b w:val="0"/>
                <w:sz w:val="17"/>
              </w:rPr>
              <w:t>D04</w:t>
            </w:r>
          </w:p>
        </w:tc>
        <w:tc>
          <w:tcPr>
            <w:tcW w:type="dxa" w:w="2880"/>
            <w:vAlign w:val="top"/>
            <w:shd w:fill="F2F6FB"/>
          </w:tcPr>
          <w:p>
            <w:pPr>
              <w:spacing w:after="0"/>
            </w:pPr>
            <w:r/>
            <w:r>
              <w:rPr>
                <w:rFonts w:ascii="Arial" w:hAnsi="Arial"/>
                <w:b w:val="0"/>
                <w:sz w:val="17"/>
              </w:rPr>
              <w:t>Inadequate performance</w:t>
            </w:r>
          </w:p>
        </w:tc>
        <w:tc>
          <w:tcPr>
            <w:tcW w:type="dxa" w:w="6480"/>
            <w:vAlign w:val="top"/>
            <w:shd w:fill="F2F6FB"/>
          </w:tcPr>
          <w:p>
            <w:pPr>
              <w:spacing w:after="0"/>
            </w:pPr>
            <w:r/>
            <w:r>
              <w:rPr>
                <w:rFonts w:ascii="Arial" w:hAnsi="Arial"/>
                <w:b w:val="0"/>
                <w:sz w:val="17"/>
              </w:rPr>
              <w:t>Fails acceptance criteria, poor calibration, excessive false outcomes, weak benchmark comparison.</w:t>
            </w:r>
          </w:p>
        </w:tc>
      </w:tr>
      <w:tr>
        <w:tc>
          <w:tcPr>
            <w:tcW w:type="dxa" w:w="1008"/>
            <w:vAlign w:val="top"/>
          </w:tcPr>
          <w:p>
            <w:pPr>
              <w:spacing w:after="0"/>
            </w:pPr>
            <w:r/>
            <w:r>
              <w:rPr>
                <w:rFonts w:ascii="Arial" w:hAnsi="Arial"/>
                <w:b w:val="0"/>
                <w:sz w:val="17"/>
              </w:rPr>
              <w:t>D05</w:t>
            </w:r>
          </w:p>
        </w:tc>
        <w:tc>
          <w:tcPr>
            <w:tcW w:type="dxa" w:w="2880"/>
            <w:vAlign w:val="top"/>
          </w:tcPr>
          <w:p>
            <w:pPr>
              <w:spacing w:after="0"/>
            </w:pPr>
            <w:r/>
            <w:r>
              <w:rPr>
                <w:rFonts w:ascii="Arial" w:hAnsi="Arial"/>
                <w:b w:val="0"/>
                <w:sz w:val="17"/>
              </w:rPr>
              <w:t>Compliance or legal concern</w:t>
            </w:r>
          </w:p>
        </w:tc>
        <w:tc>
          <w:tcPr>
            <w:tcW w:type="dxa" w:w="6480"/>
            <w:vAlign w:val="top"/>
          </w:tcPr>
          <w:p>
            <w:pPr>
              <w:spacing w:after="0"/>
            </w:pPr>
            <w:r/>
            <w:r>
              <w:rPr>
                <w:rFonts w:ascii="Arial" w:hAnsi="Arial"/>
                <w:b w:val="0"/>
                <w:sz w:val="17"/>
              </w:rPr>
              <w:t>Consumer fairness, adverse action, prohibited data, privacy, regulatory reporting issue.</w:t>
            </w:r>
          </w:p>
        </w:tc>
      </w:tr>
      <w:tr>
        <w:tc>
          <w:tcPr>
            <w:tcW w:type="dxa" w:w="1008"/>
            <w:vAlign w:val="top"/>
            <w:shd w:fill="F2F6FB"/>
          </w:tcPr>
          <w:p>
            <w:pPr>
              <w:spacing w:after="0"/>
            </w:pPr>
            <w:r/>
            <w:r>
              <w:rPr>
                <w:rFonts w:ascii="Arial" w:hAnsi="Arial"/>
                <w:b w:val="0"/>
                <w:sz w:val="17"/>
              </w:rPr>
              <w:t>D06</w:t>
            </w:r>
          </w:p>
        </w:tc>
        <w:tc>
          <w:tcPr>
            <w:tcW w:type="dxa" w:w="2880"/>
            <w:vAlign w:val="top"/>
            <w:shd w:fill="F2F6FB"/>
          </w:tcPr>
          <w:p>
            <w:pPr>
              <w:spacing w:after="0"/>
            </w:pPr>
            <w:r/>
            <w:r>
              <w:rPr>
                <w:rFonts w:ascii="Arial" w:hAnsi="Arial"/>
                <w:b w:val="0"/>
                <w:sz w:val="17"/>
              </w:rPr>
              <w:t>Implementation risk</w:t>
            </w:r>
          </w:p>
        </w:tc>
        <w:tc>
          <w:tcPr>
            <w:tcW w:type="dxa" w:w="6480"/>
            <w:vAlign w:val="top"/>
            <w:shd w:fill="F2F6FB"/>
          </w:tcPr>
          <w:p>
            <w:pPr>
              <w:spacing w:after="0"/>
            </w:pPr>
            <w:r/>
            <w:r>
              <w:rPr>
                <w:rFonts w:ascii="Arial" w:hAnsi="Arial"/>
                <w:b w:val="0"/>
                <w:sz w:val="17"/>
              </w:rPr>
              <w:t>No controlled production path, inadequate access/security, weak fallback, unsupported technology.</w:t>
            </w:r>
          </w:p>
        </w:tc>
      </w:tr>
      <w:tr>
        <w:tc>
          <w:tcPr>
            <w:tcW w:type="dxa" w:w="1008"/>
            <w:vAlign w:val="top"/>
          </w:tcPr>
          <w:p>
            <w:pPr>
              <w:spacing w:after="0"/>
            </w:pPr>
            <w:r/>
            <w:r>
              <w:rPr>
                <w:rFonts w:ascii="Arial" w:hAnsi="Arial"/>
                <w:b w:val="0"/>
                <w:sz w:val="17"/>
              </w:rPr>
              <w:t>D07</w:t>
            </w:r>
          </w:p>
        </w:tc>
        <w:tc>
          <w:tcPr>
            <w:tcW w:type="dxa" w:w="2880"/>
            <w:vAlign w:val="top"/>
          </w:tcPr>
          <w:p>
            <w:pPr>
              <w:spacing w:after="0"/>
            </w:pPr>
            <w:r/>
            <w:r>
              <w:rPr>
                <w:rFonts w:ascii="Arial" w:hAnsi="Arial"/>
                <w:b w:val="0"/>
                <w:sz w:val="17"/>
              </w:rPr>
              <w:t>Validation block</w:t>
            </w:r>
          </w:p>
        </w:tc>
        <w:tc>
          <w:tcPr>
            <w:tcW w:type="dxa" w:w="6480"/>
            <w:vAlign w:val="top"/>
          </w:tcPr>
          <w:p>
            <w:pPr>
              <w:spacing w:after="0"/>
            </w:pPr>
            <w:r/>
            <w:r>
              <w:rPr>
                <w:rFonts w:ascii="Arial" w:hAnsi="Arial"/>
                <w:b w:val="0"/>
                <w:sz w:val="17"/>
              </w:rPr>
              <w:t>Critical validation findings unresolved or unable to validate.</w:t>
            </w:r>
          </w:p>
        </w:tc>
      </w:tr>
      <w:tr>
        <w:tc>
          <w:tcPr>
            <w:tcW w:type="dxa" w:w="1008"/>
            <w:vAlign w:val="top"/>
            <w:shd w:fill="F2F6FB"/>
          </w:tcPr>
          <w:p>
            <w:pPr>
              <w:spacing w:after="0"/>
            </w:pPr>
            <w:r/>
            <w:r>
              <w:rPr>
                <w:rFonts w:ascii="Arial" w:hAnsi="Arial"/>
                <w:b w:val="0"/>
                <w:sz w:val="17"/>
              </w:rPr>
              <w:t>D08</w:t>
            </w:r>
          </w:p>
        </w:tc>
        <w:tc>
          <w:tcPr>
            <w:tcW w:type="dxa" w:w="2880"/>
            <w:vAlign w:val="top"/>
            <w:shd w:fill="F2F6FB"/>
          </w:tcPr>
          <w:p>
            <w:pPr>
              <w:spacing w:after="0"/>
            </w:pPr>
            <w:r/>
            <w:r>
              <w:rPr>
                <w:rFonts w:ascii="Arial" w:hAnsi="Arial"/>
                <w:b w:val="0"/>
                <w:sz w:val="17"/>
              </w:rPr>
              <w:t>Governance issue</w:t>
            </w:r>
          </w:p>
        </w:tc>
        <w:tc>
          <w:tcPr>
            <w:tcW w:type="dxa" w:w="6480"/>
            <w:vAlign w:val="top"/>
            <w:shd w:fill="F2F6FB"/>
          </w:tcPr>
          <w:p>
            <w:pPr>
              <w:spacing w:after="0"/>
            </w:pPr>
            <w:r/>
            <w:r>
              <w:rPr>
                <w:rFonts w:ascii="Arial" w:hAnsi="Arial"/>
                <w:b w:val="0"/>
                <w:sz w:val="17"/>
              </w:rPr>
              <w:t>Unresolved conflicts, missing approvals, policy breach, unapproved use.</w:t>
            </w:r>
          </w:p>
        </w:tc>
      </w:tr>
    </w:tbl>
    <w:p>
      <w:pPr>
        <w:spacing w:after="20"/>
      </w:pPr>
    </w:p>
    <w:p>
      <w:r>
        <w:br w:type="page"/>
      </w:r>
    </w:p>
    <w:p>
      <w:pPr>
        <w:pStyle w:val="Heading2"/>
        <w:keepNext/>
      </w:pPr>
      <w:r>
        <w:t>Appendix G - Sample Ongoing Monitoring Report Structure</w:t>
      </w:r>
    </w:p>
    <w:p>
      <w:pPr>
        <w:pStyle w:val="ListBullet"/>
        <w:spacing w:after="40"/>
      </w:pPr>
      <w:r>
        <w:t>Model identification: name, ID, owner, tier, version, production date, approved use.</w:t>
      </w:r>
    </w:p>
    <w:p>
      <w:pPr>
        <w:pStyle w:val="ListBullet"/>
        <w:spacing w:after="40"/>
      </w:pPr>
      <w:r>
        <w:t>Executive summary: overall status, key breaches, required actions, and owner attestation.</w:t>
      </w:r>
    </w:p>
    <w:p>
      <w:pPr>
        <w:pStyle w:val="ListBullet"/>
        <w:spacing w:after="40"/>
      </w:pPr>
      <w:r>
        <w:t>Usage profile: volumes, channels, products, segments, decision types, and user groups.</w:t>
      </w:r>
    </w:p>
    <w:p>
      <w:pPr>
        <w:pStyle w:val="ListBullet"/>
        <w:spacing w:after="40"/>
      </w:pPr>
      <w:r>
        <w:t>Data quality: missingness, invalid values, reconciliation, timeliness, source changes.</w:t>
      </w:r>
    </w:p>
    <w:p>
      <w:pPr>
        <w:pStyle w:val="ListBullet"/>
        <w:spacing w:after="40"/>
      </w:pPr>
      <w:r>
        <w:t>Stability and drift: population stability, feature drift, output drift, threshold movement.</w:t>
      </w:r>
    </w:p>
    <w:p>
      <w:pPr>
        <w:pStyle w:val="ListBullet"/>
        <w:spacing w:after="40"/>
      </w:pPr>
      <w:r>
        <w:t>Performance: actual outcomes against predictions, calibration, error metrics, ranking metrics, back-testing.</w:t>
      </w:r>
    </w:p>
    <w:p>
      <w:pPr>
        <w:pStyle w:val="ListBullet"/>
        <w:spacing w:after="40"/>
      </w:pPr>
      <w:r>
        <w:t>Fairness and customer impact: segment performance, differential outcomes, complaints, overrides.</w:t>
      </w:r>
    </w:p>
    <w:p>
      <w:pPr>
        <w:pStyle w:val="ListBullet"/>
        <w:spacing w:after="40"/>
      </w:pPr>
      <w:r>
        <w:t>Operational controls: access, incidents, outages, latency, fallback use, manual overrides.</w:t>
      </w:r>
    </w:p>
    <w:p>
      <w:pPr>
        <w:pStyle w:val="ListBullet"/>
        <w:spacing w:after="40"/>
      </w:pPr>
      <w:r>
        <w:t>Issues and remediation: open issues, ageing, status, due dates, and closure evidence.</w:t>
      </w:r>
    </w:p>
    <w:p>
      <w:pPr>
        <w:pStyle w:val="ListBullet"/>
        <w:spacing w:after="40"/>
      </w:pPr>
      <w:r>
        <w:t>Conclusion: continue use, continue with conditions, restrict use, recalibrate, redevelop, or retire.</w:t>
      </w:r>
    </w:p>
    <w:p>
      <w:pPr>
        <w:pStyle w:val="Heading2"/>
        <w:keepNext/>
      </w:pPr>
      <w:r>
        <w:t>Appendix H - Key Control Summary</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1F4E79"/>
          </w:tcPr>
          <w:p>
            <w:pPr>
              <w:spacing w:after="0"/>
            </w:pPr>
            <w:r/>
            <w:r>
              <w:rPr>
                <w:rFonts w:ascii="Arial" w:hAnsi="Arial"/>
                <w:b/>
                <w:color w:val="FFFFFF"/>
                <w:sz w:val="17"/>
              </w:rPr>
              <w:t>Control objective</w:t>
            </w:r>
          </w:p>
        </w:tc>
        <w:tc>
          <w:tcPr>
            <w:tcW w:type="dxa" w:w="4320"/>
            <w:vAlign w:val="top"/>
            <w:shd w:fill="1F4E79"/>
          </w:tcPr>
          <w:p>
            <w:pPr>
              <w:spacing w:after="0"/>
            </w:pPr>
            <w:r/>
            <w:r>
              <w:rPr>
                <w:rFonts w:ascii="Arial" w:hAnsi="Arial"/>
                <w:b/>
                <w:color w:val="FFFFFF"/>
                <w:sz w:val="17"/>
              </w:rPr>
              <w:t>Key control</w:t>
            </w:r>
          </w:p>
        </w:tc>
        <w:tc>
          <w:tcPr>
            <w:tcW w:type="dxa" w:w="3168"/>
            <w:vAlign w:val="top"/>
            <w:shd w:fill="1F4E79"/>
          </w:tcPr>
          <w:p>
            <w:pPr>
              <w:spacing w:after="0"/>
            </w:pPr>
            <w:r/>
            <w:r>
              <w:rPr>
                <w:rFonts w:ascii="Arial" w:hAnsi="Arial"/>
                <w:b/>
                <w:color w:val="FFFFFF"/>
                <w:sz w:val="17"/>
              </w:rPr>
              <w:t>Evidence</w:t>
            </w:r>
          </w:p>
        </w:tc>
      </w:tr>
      <w:tr>
        <w:tc>
          <w:tcPr>
            <w:tcW w:type="dxa" w:w="2880"/>
            <w:vAlign w:val="top"/>
          </w:tcPr>
          <w:p>
            <w:pPr>
              <w:spacing w:after="0"/>
            </w:pPr>
            <w:r/>
            <w:r>
              <w:rPr>
                <w:rFonts w:ascii="Arial" w:hAnsi="Arial"/>
                <w:b w:val="0"/>
                <w:sz w:val="17"/>
              </w:rPr>
              <w:t>Prevent unapproved model development</w:t>
            </w:r>
          </w:p>
        </w:tc>
        <w:tc>
          <w:tcPr>
            <w:tcW w:type="dxa" w:w="4320"/>
            <w:vAlign w:val="top"/>
          </w:tcPr>
          <w:p>
            <w:pPr>
              <w:spacing w:after="0"/>
            </w:pPr>
            <w:r/>
            <w:r>
              <w:rPr>
                <w:rFonts w:ascii="Arial" w:hAnsi="Arial"/>
                <w:b w:val="0"/>
                <w:sz w:val="17"/>
              </w:rPr>
              <w:t>All new model requests logged before development.</w:t>
            </w:r>
          </w:p>
        </w:tc>
        <w:tc>
          <w:tcPr>
            <w:tcW w:type="dxa" w:w="3168"/>
            <w:vAlign w:val="top"/>
          </w:tcPr>
          <w:p>
            <w:pPr>
              <w:spacing w:after="0"/>
            </w:pPr>
            <w:r/>
            <w:r>
              <w:rPr>
                <w:rFonts w:ascii="Arial" w:hAnsi="Arial"/>
                <w:b w:val="0"/>
                <w:sz w:val="17"/>
              </w:rPr>
              <w:t>Intake register and model inventory shell.</w:t>
            </w:r>
          </w:p>
        </w:tc>
      </w:tr>
      <w:tr>
        <w:tc>
          <w:tcPr>
            <w:tcW w:type="dxa" w:w="2880"/>
            <w:vAlign w:val="top"/>
            <w:shd w:fill="F2F6FB"/>
          </w:tcPr>
          <w:p>
            <w:pPr>
              <w:spacing w:after="0"/>
            </w:pPr>
            <w:r/>
            <w:r>
              <w:rPr>
                <w:rFonts w:ascii="Arial" w:hAnsi="Arial"/>
                <w:b w:val="0"/>
                <w:sz w:val="17"/>
              </w:rPr>
              <w:t>Ensure appropriate risk-based governance</w:t>
            </w:r>
          </w:p>
        </w:tc>
        <w:tc>
          <w:tcPr>
            <w:tcW w:type="dxa" w:w="4320"/>
            <w:vAlign w:val="top"/>
            <w:shd w:fill="F2F6FB"/>
          </w:tcPr>
          <w:p>
            <w:pPr>
              <w:spacing w:after="0"/>
            </w:pPr>
            <w:r/>
            <w:r>
              <w:rPr>
                <w:rFonts w:ascii="Arial" w:hAnsi="Arial"/>
                <w:b w:val="0"/>
                <w:sz w:val="17"/>
              </w:rPr>
              <w:t>MRM-approved tiering before development gate approval.</w:t>
            </w:r>
          </w:p>
        </w:tc>
        <w:tc>
          <w:tcPr>
            <w:tcW w:type="dxa" w:w="3168"/>
            <w:vAlign w:val="top"/>
            <w:shd w:fill="F2F6FB"/>
          </w:tcPr>
          <w:p>
            <w:pPr>
              <w:spacing w:after="0"/>
            </w:pPr>
            <w:r/>
            <w:r>
              <w:rPr>
                <w:rFonts w:ascii="Arial" w:hAnsi="Arial"/>
                <w:b w:val="0"/>
                <w:sz w:val="17"/>
              </w:rPr>
              <w:t>Tiering form and MRM sign-off.</w:t>
            </w:r>
          </w:p>
        </w:tc>
      </w:tr>
      <w:tr>
        <w:tc>
          <w:tcPr>
            <w:tcW w:type="dxa" w:w="2880"/>
            <w:vAlign w:val="top"/>
          </w:tcPr>
          <w:p>
            <w:pPr>
              <w:spacing w:after="0"/>
            </w:pPr>
            <w:r/>
            <w:r>
              <w:rPr>
                <w:rFonts w:ascii="Arial" w:hAnsi="Arial"/>
                <w:b w:val="0"/>
                <w:sz w:val="17"/>
              </w:rPr>
              <w:t>Protect data and privacy</w:t>
            </w:r>
          </w:p>
        </w:tc>
        <w:tc>
          <w:tcPr>
            <w:tcW w:type="dxa" w:w="4320"/>
            <w:vAlign w:val="top"/>
          </w:tcPr>
          <w:p>
            <w:pPr>
              <w:spacing w:after="0"/>
            </w:pPr>
            <w:r/>
            <w:r>
              <w:rPr>
                <w:rFonts w:ascii="Arial" w:hAnsi="Arial"/>
                <w:b w:val="0"/>
                <w:sz w:val="17"/>
              </w:rPr>
              <w:t>Data owner, privacy, legal, and security approvals before sensitive data use.</w:t>
            </w:r>
          </w:p>
        </w:tc>
        <w:tc>
          <w:tcPr>
            <w:tcW w:type="dxa" w:w="3168"/>
            <w:vAlign w:val="top"/>
          </w:tcPr>
          <w:p>
            <w:pPr>
              <w:spacing w:after="0"/>
            </w:pPr>
            <w:r/>
            <w:r>
              <w:rPr>
                <w:rFonts w:ascii="Arial" w:hAnsi="Arial"/>
                <w:b w:val="0"/>
                <w:sz w:val="17"/>
              </w:rPr>
              <w:t>Data approval record and assessment outcomes.</w:t>
            </w:r>
          </w:p>
        </w:tc>
      </w:tr>
      <w:tr>
        <w:tc>
          <w:tcPr>
            <w:tcW w:type="dxa" w:w="2880"/>
            <w:vAlign w:val="top"/>
            <w:shd w:fill="F2F6FB"/>
          </w:tcPr>
          <w:p>
            <w:pPr>
              <w:spacing w:after="0"/>
            </w:pPr>
            <w:r/>
            <w:r>
              <w:rPr>
                <w:rFonts w:ascii="Arial" w:hAnsi="Arial"/>
                <w:b w:val="0"/>
                <w:sz w:val="17"/>
              </w:rPr>
              <w:t>Ensure reproducibility</w:t>
            </w:r>
          </w:p>
        </w:tc>
        <w:tc>
          <w:tcPr>
            <w:tcW w:type="dxa" w:w="4320"/>
            <w:vAlign w:val="top"/>
            <w:shd w:fill="F2F6FB"/>
          </w:tcPr>
          <w:p>
            <w:pPr>
              <w:spacing w:after="0"/>
            </w:pPr>
            <w:r/>
            <w:r>
              <w:rPr>
                <w:rFonts w:ascii="Arial" w:hAnsi="Arial"/>
                <w:b w:val="0"/>
                <w:sz w:val="17"/>
              </w:rPr>
              <w:t>Code, data, configurations, model artifacts, and environment versions retained.</w:t>
            </w:r>
          </w:p>
        </w:tc>
        <w:tc>
          <w:tcPr>
            <w:tcW w:type="dxa" w:w="3168"/>
            <w:vAlign w:val="top"/>
            <w:shd w:fill="F2F6FB"/>
          </w:tcPr>
          <w:p>
            <w:pPr>
              <w:spacing w:after="0"/>
            </w:pPr>
            <w:r/>
            <w:r>
              <w:rPr>
                <w:rFonts w:ascii="Arial" w:hAnsi="Arial"/>
                <w:b w:val="0"/>
                <w:sz w:val="17"/>
              </w:rPr>
              <w:t>Repository tags, dataset manifests, checksums.</w:t>
            </w:r>
          </w:p>
        </w:tc>
      </w:tr>
      <w:tr>
        <w:tc>
          <w:tcPr>
            <w:tcW w:type="dxa" w:w="2880"/>
            <w:vAlign w:val="top"/>
          </w:tcPr>
          <w:p>
            <w:pPr>
              <w:spacing w:after="0"/>
            </w:pPr>
            <w:r/>
            <w:r>
              <w:rPr>
                <w:rFonts w:ascii="Arial" w:hAnsi="Arial"/>
                <w:b w:val="0"/>
                <w:sz w:val="17"/>
              </w:rPr>
              <w:t>Ensure independent challenge</w:t>
            </w:r>
          </w:p>
        </w:tc>
        <w:tc>
          <w:tcPr>
            <w:tcW w:type="dxa" w:w="4320"/>
            <w:vAlign w:val="top"/>
          </w:tcPr>
          <w:p>
            <w:pPr>
              <w:spacing w:after="0"/>
            </w:pPr>
            <w:r/>
            <w:r>
              <w:rPr>
                <w:rFonts w:ascii="Arial" w:hAnsi="Arial"/>
                <w:b w:val="0"/>
                <w:sz w:val="17"/>
              </w:rPr>
              <w:t>Model cannot be approved for production until validation is completed or formal exception approved.</w:t>
            </w:r>
          </w:p>
        </w:tc>
        <w:tc>
          <w:tcPr>
            <w:tcW w:type="dxa" w:w="3168"/>
            <w:vAlign w:val="top"/>
          </w:tcPr>
          <w:p>
            <w:pPr>
              <w:spacing w:after="0"/>
            </w:pPr>
            <w:r/>
            <w:r>
              <w:rPr>
                <w:rFonts w:ascii="Arial" w:hAnsi="Arial"/>
                <w:b w:val="0"/>
                <w:sz w:val="17"/>
              </w:rPr>
              <w:t>Validation report or exception approval.</w:t>
            </w:r>
          </w:p>
        </w:tc>
      </w:tr>
      <w:tr>
        <w:tc>
          <w:tcPr>
            <w:tcW w:type="dxa" w:w="2880"/>
            <w:vAlign w:val="top"/>
            <w:shd w:fill="F2F6FB"/>
          </w:tcPr>
          <w:p>
            <w:pPr>
              <w:spacing w:after="0"/>
            </w:pPr>
            <w:r/>
            <w:r>
              <w:rPr>
                <w:rFonts w:ascii="Arial" w:hAnsi="Arial"/>
                <w:b w:val="0"/>
                <w:sz w:val="17"/>
              </w:rPr>
              <w:t>Control deployment</w:t>
            </w:r>
          </w:p>
        </w:tc>
        <w:tc>
          <w:tcPr>
            <w:tcW w:type="dxa" w:w="4320"/>
            <w:vAlign w:val="top"/>
            <w:shd w:fill="F2F6FB"/>
          </w:tcPr>
          <w:p>
            <w:pPr>
              <w:spacing w:after="0"/>
            </w:pPr>
            <w:r/>
            <w:r>
              <w:rPr>
                <w:rFonts w:ascii="Arial" w:hAnsi="Arial"/>
                <w:b w:val="0"/>
                <w:sz w:val="17"/>
              </w:rPr>
              <w:t>Production deployment uses approved release process and locked version.</w:t>
            </w:r>
          </w:p>
        </w:tc>
        <w:tc>
          <w:tcPr>
            <w:tcW w:type="dxa" w:w="3168"/>
            <w:vAlign w:val="top"/>
            <w:shd w:fill="F2F6FB"/>
          </w:tcPr>
          <w:p>
            <w:pPr>
              <w:spacing w:after="0"/>
            </w:pPr>
            <w:r/>
            <w:r>
              <w:rPr>
                <w:rFonts w:ascii="Arial" w:hAnsi="Arial"/>
                <w:b w:val="0"/>
                <w:sz w:val="17"/>
              </w:rPr>
              <w:t>Release ticket, artifact hash, PIV report.</w:t>
            </w:r>
          </w:p>
        </w:tc>
      </w:tr>
      <w:tr>
        <w:tc>
          <w:tcPr>
            <w:tcW w:type="dxa" w:w="2880"/>
            <w:vAlign w:val="top"/>
          </w:tcPr>
          <w:p>
            <w:pPr>
              <w:spacing w:after="0"/>
            </w:pPr>
            <w:r/>
            <w:r>
              <w:rPr>
                <w:rFonts w:ascii="Arial" w:hAnsi="Arial"/>
                <w:b w:val="0"/>
                <w:sz w:val="17"/>
              </w:rPr>
              <w:t>Detect deterioration</w:t>
            </w:r>
          </w:p>
        </w:tc>
        <w:tc>
          <w:tcPr>
            <w:tcW w:type="dxa" w:w="4320"/>
            <w:vAlign w:val="top"/>
          </w:tcPr>
          <w:p>
            <w:pPr>
              <w:spacing w:after="0"/>
            </w:pPr>
            <w:r/>
            <w:r>
              <w:rPr>
                <w:rFonts w:ascii="Arial" w:hAnsi="Arial"/>
                <w:b w:val="0"/>
                <w:sz w:val="17"/>
              </w:rPr>
              <w:t>Monitoring thresholds and escalation defined before implementation.</w:t>
            </w:r>
          </w:p>
        </w:tc>
        <w:tc>
          <w:tcPr>
            <w:tcW w:type="dxa" w:w="3168"/>
            <w:vAlign w:val="top"/>
          </w:tcPr>
          <w:p>
            <w:pPr>
              <w:spacing w:after="0"/>
            </w:pPr>
            <w:r/>
            <w:r>
              <w:rPr>
                <w:rFonts w:ascii="Arial" w:hAnsi="Arial"/>
                <w:b w:val="0"/>
                <w:sz w:val="17"/>
              </w:rPr>
              <w:t>Monitoring plan and reports.</w:t>
            </w:r>
          </w:p>
        </w:tc>
      </w:tr>
      <w:tr>
        <w:tc>
          <w:tcPr>
            <w:tcW w:type="dxa" w:w="2880"/>
            <w:vAlign w:val="top"/>
            <w:shd w:fill="F2F6FB"/>
          </w:tcPr>
          <w:p>
            <w:pPr>
              <w:spacing w:after="0"/>
            </w:pPr>
            <w:r/>
            <w:r>
              <w:rPr>
                <w:rFonts w:ascii="Arial" w:hAnsi="Arial"/>
                <w:b w:val="0"/>
                <w:sz w:val="17"/>
              </w:rPr>
              <w:t>Maintain accountability</w:t>
            </w:r>
          </w:p>
        </w:tc>
        <w:tc>
          <w:tcPr>
            <w:tcW w:type="dxa" w:w="4320"/>
            <w:vAlign w:val="top"/>
            <w:shd w:fill="F2F6FB"/>
          </w:tcPr>
          <w:p>
            <w:pPr>
              <w:spacing w:after="0"/>
            </w:pPr>
            <w:r/>
            <w:r>
              <w:rPr>
                <w:rFonts w:ascii="Arial" w:hAnsi="Arial"/>
                <w:b w:val="0"/>
                <w:sz w:val="17"/>
              </w:rPr>
              <w:t>Model owner attests to continued fit for purpose.</w:t>
            </w:r>
          </w:p>
        </w:tc>
        <w:tc>
          <w:tcPr>
            <w:tcW w:type="dxa" w:w="3168"/>
            <w:vAlign w:val="top"/>
            <w:shd w:fill="F2F6FB"/>
          </w:tcPr>
          <w:p>
            <w:pPr>
              <w:spacing w:after="0"/>
            </w:pPr>
            <w:r/>
            <w:r>
              <w:rPr>
                <w:rFonts w:ascii="Arial" w:hAnsi="Arial"/>
                <w:b w:val="0"/>
                <w:sz w:val="17"/>
              </w:rPr>
              <w:t>Periodic review and owner attestation.</w:t>
            </w:r>
          </w:p>
        </w:tc>
      </w:tr>
    </w:tbl>
    <w:p>
      <w:pPr>
        <w:spacing w:after="20"/>
      </w:pPr>
    </w:p>
    <w:p>
      <w:pPr>
        <w:pStyle w:val="Heading1"/>
        <w:keepNext/>
      </w:pPr>
      <w:r>
        <w:t>27. Source Notes</w:t>
      </w:r>
    </w:p>
    <w:p>
      <w:r>
        <w:t>This SOP was prepared using common banking model risk management practices and public regulatory frameworks. The institution should map this SOP to its applicable jurisdiction, regulator, board-approved Model Risk Management Policy, Data Governance Policy, Technology Change Policy, Privacy Policy, Third Party Risk Management Policy, and Records Retention Standard before issuance.</w:t>
      </w:r>
    </w:p>
    <w:p>
      <w:pPr>
        <w:pStyle w:val="ListBullet"/>
        <w:spacing w:after="40"/>
      </w:pPr>
      <w:r>
        <w:t>Federal Reserve Board: Supervisory Guidance on Model Risk Management and 2026 Revised Guidance on Model Risk Management.</w:t>
      </w:r>
    </w:p>
    <w:p>
      <w:pPr>
        <w:pStyle w:val="ListBullet"/>
        <w:spacing w:after="40"/>
      </w:pPr>
      <w:r>
        <w:t>Office of the Comptroller of the Currency: Model Risk Management guidance and related bulletins.</w:t>
      </w:r>
    </w:p>
    <w:p>
      <w:pPr>
        <w:pStyle w:val="ListBullet"/>
        <w:spacing w:after="40"/>
      </w:pPr>
      <w:r>
        <w:t>Basel Committee on Banking Supervision: Principles for effective risk data aggregation and risk reporting (BCBS 239).</w:t>
      </w:r>
    </w:p>
    <w:p>
      <w:pPr>
        <w:pStyle w:val="ListBullet"/>
        <w:spacing w:after="40"/>
      </w:pPr>
      <w:r>
        <w:t>National Institute of Standards and Technology: Artificial Intelligence Risk Management Framework 1.0.</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Controlled document. Printed copies are uncontrolled unless verified against the approved repository.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Bank Model Development SOP | Confidential Internal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pPr>
      <w:spacing w:after="40"/>
    </w:pPr>
    <w:rPr>
      <w:rFonts w:ascii="Arial" w:hAnsi="Arial" w:eastAsia="Arial"/>
      <w:sz w:val="16"/>
    </w:rPr>
  </w:style>
  <w:style w:type="paragraph" w:customStyle="1" w:styleId="ControlText">
    <w:name w:val="ControlText"/>
    <w:pPr>
      <w:spacing w:after="4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