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48"/>
        </w:rPr>
        <w:t>STANDARD OPERATING PROCEDURE</w:t>
      </w:r>
    </w:p>
    <w:p>
      <w:pPr>
        <w:jc w:val="center"/>
      </w:pPr>
      <w:r>
        <w:rPr>
          <w:b/>
          <w:sz w:val="44"/>
        </w:rPr>
        <w:t>Mortgage Application Processing</w:t>
      </w:r>
    </w:p>
    <w:p>
      <w:pPr>
        <w:jc w:val="center"/>
      </w:pPr>
      <w:r>
        <w:rPr>
          <w:i/>
          <w:color w:val="595959"/>
          <w:sz w:val="28"/>
        </w:rPr>
        <w:t>From Application Receipt to Approval, Conditional Approval, or Decline</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
              <w:rPr>
                <w:b/>
                <w:color w:val="FFFFFF"/>
                <w:sz w:val="18"/>
              </w:rPr>
              <w:t>Document Field</w:t>
            </w:r>
          </w:p>
        </w:tc>
        <w:tc>
          <w:tcPr>
            <w:tcW w:type="dxa" w:w="6624"/>
            <w:shd w:fill="1F4E79"/>
            <w:vAlign w:val="center"/>
          </w:tcPr>
          <w:p>
            <w:r/>
            <w:r>
              <w:rPr>
                <w:b/>
                <w:color w:val="FFFFFF"/>
                <w:sz w:val="18"/>
              </w:rPr>
              <w:t>Value</w:t>
            </w:r>
          </w:p>
        </w:tc>
      </w:tr>
      <w:tr>
        <w:tc>
          <w:tcPr>
            <w:tcW w:type="dxa" w:w="2880"/>
            <w:vAlign w:val="top"/>
          </w:tcPr>
          <w:p>
            <w:r/>
            <w:r>
              <w:rPr>
                <w:b w:val="0"/>
                <w:sz w:val="18"/>
              </w:rPr>
              <w:t>Document owner</w:t>
            </w:r>
          </w:p>
        </w:tc>
        <w:tc>
          <w:tcPr>
            <w:tcW w:type="dxa" w:w="6624"/>
            <w:vAlign w:val="top"/>
          </w:tcPr>
          <w:p>
            <w:r/>
            <w:r>
              <w:rPr>
                <w:b w:val="0"/>
                <w:sz w:val="18"/>
              </w:rPr>
              <w:t>Mortgage Operations / Lending Operations</w:t>
            </w:r>
          </w:p>
        </w:tc>
      </w:tr>
      <w:tr>
        <w:tc>
          <w:tcPr>
            <w:tcW w:type="dxa" w:w="2880"/>
            <w:vAlign w:val="top"/>
          </w:tcPr>
          <w:p>
            <w:r/>
            <w:r>
              <w:rPr>
                <w:b w:val="0"/>
                <w:sz w:val="18"/>
              </w:rPr>
              <w:t>Process owner</w:t>
            </w:r>
          </w:p>
        </w:tc>
        <w:tc>
          <w:tcPr>
            <w:tcW w:type="dxa" w:w="6624"/>
            <w:vAlign w:val="top"/>
          </w:tcPr>
          <w:p>
            <w:r/>
            <w:r>
              <w:rPr>
                <w:b w:val="0"/>
                <w:sz w:val="18"/>
              </w:rPr>
              <w:t>Head of Mortgage Processing</w:t>
            </w:r>
          </w:p>
        </w:tc>
      </w:tr>
      <w:tr>
        <w:tc>
          <w:tcPr>
            <w:tcW w:type="dxa" w:w="2880"/>
            <w:vAlign w:val="top"/>
          </w:tcPr>
          <w:p>
            <w:r/>
            <w:r>
              <w:rPr>
                <w:b w:val="0"/>
                <w:sz w:val="18"/>
              </w:rPr>
              <w:t>Approved by</w:t>
            </w:r>
          </w:p>
        </w:tc>
        <w:tc>
          <w:tcPr>
            <w:tcW w:type="dxa" w:w="6624"/>
            <w:vAlign w:val="top"/>
          </w:tcPr>
          <w:p>
            <w:r/>
            <w:r>
              <w:rPr>
                <w:b w:val="0"/>
                <w:sz w:val="18"/>
              </w:rPr>
              <w:t>Chief Credit Officer / Lending Governance Committee</w:t>
            </w:r>
          </w:p>
        </w:tc>
      </w:tr>
      <w:tr>
        <w:tc>
          <w:tcPr>
            <w:tcW w:type="dxa" w:w="2880"/>
            <w:vAlign w:val="top"/>
          </w:tcPr>
          <w:p>
            <w:r/>
            <w:r>
              <w:rPr>
                <w:b w:val="0"/>
                <w:sz w:val="18"/>
              </w:rPr>
              <w:t>Effective date</w:t>
            </w:r>
          </w:p>
        </w:tc>
        <w:tc>
          <w:tcPr>
            <w:tcW w:type="dxa" w:w="6624"/>
            <w:vAlign w:val="top"/>
          </w:tcPr>
          <w:p>
            <w:r/>
            <w:r>
              <w:rPr>
                <w:b w:val="0"/>
                <w:sz w:val="18"/>
              </w:rPr>
              <w:t>[Insert effective date]</w:t>
            </w:r>
          </w:p>
        </w:tc>
      </w:tr>
      <w:tr>
        <w:tc>
          <w:tcPr>
            <w:tcW w:type="dxa" w:w="2880"/>
            <w:vAlign w:val="top"/>
          </w:tcPr>
          <w:p>
            <w:r/>
            <w:r>
              <w:rPr>
                <w:b w:val="0"/>
                <w:sz w:val="18"/>
              </w:rPr>
              <w:t>Review cycle</w:t>
            </w:r>
          </w:p>
        </w:tc>
        <w:tc>
          <w:tcPr>
            <w:tcW w:type="dxa" w:w="6624"/>
            <w:vAlign w:val="top"/>
          </w:tcPr>
          <w:p>
            <w:r/>
            <w:r>
              <w:rPr>
                <w:b w:val="0"/>
                <w:sz w:val="18"/>
              </w:rPr>
              <w:t>At least annually, and whenever policy, product, regulatory, or system changes occur</w:t>
            </w:r>
          </w:p>
        </w:tc>
      </w:tr>
      <w:tr>
        <w:tc>
          <w:tcPr>
            <w:tcW w:type="dxa" w:w="2880"/>
            <w:vAlign w:val="top"/>
          </w:tcPr>
          <w:p>
            <w:r/>
            <w:r>
              <w:rPr>
                <w:b w:val="0"/>
                <w:sz w:val="18"/>
              </w:rPr>
              <w:t>Version</w:t>
            </w:r>
          </w:p>
        </w:tc>
        <w:tc>
          <w:tcPr>
            <w:tcW w:type="dxa" w:w="6624"/>
            <w:vAlign w:val="top"/>
          </w:tcPr>
          <w:p>
            <w:r/>
            <w:r>
              <w:rPr>
                <w:b w:val="0"/>
                <w:sz w:val="18"/>
              </w:rPr>
              <w:t>1.0 - Draft for customization</w:t>
            </w:r>
          </w:p>
        </w:tc>
      </w:tr>
      <w:tr>
        <w:tc>
          <w:tcPr>
            <w:tcW w:type="dxa" w:w="2880"/>
            <w:vAlign w:val="top"/>
          </w:tcPr>
          <w:p>
            <w:r/>
            <w:r>
              <w:rPr>
                <w:b w:val="0"/>
                <w:sz w:val="18"/>
              </w:rPr>
              <w:t>Jurisdiction</w:t>
            </w:r>
          </w:p>
        </w:tc>
        <w:tc>
          <w:tcPr>
            <w:tcW w:type="dxa" w:w="6624"/>
            <w:vAlign w:val="top"/>
          </w:tcPr>
          <w:p>
            <w:r/>
            <w:r>
              <w:rPr>
                <w:b w:val="0"/>
                <w:sz w:val="18"/>
              </w:rPr>
              <w:t>Configurable; insert local legal and regulatory requirements</w:t>
            </w:r>
          </w:p>
        </w:tc>
      </w:tr>
    </w:tbl>
    <w:p>
      <w:pPr>
        <w:spacing w:after="40"/>
      </w:pPr>
    </w:p>
    <w:p>
      <w:pPr>
        <w:spacing w:after="80"/>
      </w:pPr>
      <w:r>
        <w:rPr>
          <w:sz w:val="18"/>
        </w:rPr>
        <w:t>Confidentiality note: This SOP is intended for internal operational use. It does not replace credit policy, responsible lending requirements, consumer protection obligations, privacy obligations, anti-money laundering/counter-terrorism financing obligations, or any other applicable law. Where this SOP conflicts with approved policy or local regulation, the stricter requirement must be followed and escalated.</w:t>
      </w:r>
    </w:p>
    <w:p>
      <w:r>
        <w:br w:type="page"/>
      </w:r>
    </w:p>
    <w:p>
      <w:pPr>
        <w:pStyle w:val="Heading1"/>
        <w:spacing w:before="80" w:after="160"/>
      </w:pPr>
      <w:r>
        <w:t>1. Document Control</w:t>
      </w:r>
    </w:p>
    <w:p>
      <w:pPr>
        <w:pStyle w:val="Heading2"/>
      </w:pPr>
      <w:r>
        <w:t>1.1 Revision History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shd w:fill="1F4E79"/>
            <w:vAlign w:val="center"/>
          </w:tcPr>
          <w:p>
            <w:r/>
            <w:r>
              <w:rPr>
                <w:b/>
                <w:color w:val="FFFFFF"/>
                <w:sz w:val="16"/>
              </w:rPr>
              <w:t>Version</w:t>
            </w:r>
          </w:p>
        </w:tc>
        <w:tc>
          <w:tcPr>
            <w:tcW w:type="dxa" w:w="1152"/>
            <w:shd w:fill="1F4E79"/>
            <w:vAlign w:val="center"/>
          </w:tcPr>
          <w:p>
            <w:r/>
            <w:r>
              <w:rPr>
                <w:b/>
                <w:color w:val="FFFFFF"/>
                <w:sz w:val="16"/>
              </w:rPr>
              <w:t>Date</w:t>
            </w:r>
          </w:p>
        </w:tc>
        <w:tc>
          <w:tcPr>
            <w:tcW w:type="dxa" w:w="1944"/>
            <w:shd w:fill="1F4E79"/>
            <w:vAlign w:val="center"/>
          </w:tcPr>
          <w:p>
            <w:r/>
            <w:r>
              <w:rPr>
                <w:b/>
                <w:color w:val="FFFFFF"/>
                <w:sz w:val="16"/>
              </w:rPr>
              <w:t>Author</w:t>
            </w:r>
          </w:p>
        </w:tc>
        <w:tc>
          <w:tcPr>
            <w:tcW w:type="dxa" w:w="4032"/>
            <w:shd w:fill="1F4E79"/>
            <w:vAlign w:val="center"/>
          </w:tcPr>
          <w:p>
            <w:r/>
            <w:r>
              <w:rPr>
                <w:b/>
                <w:color w:val="FFFFFF"/>
                <w:sz w:val="16"/>
              </w:rPr>
              <w:t>Summary of Change</w:t>
            </w:r>
          </w:p>
        </w:tc>
        <w:tc>
          <w:tcPr>
            <w:tcW w:type="dxa" w:w="1584"/>
            <w:shd w:fill="1F4E79"/>
            <w:vAlign w:val="center"/>
          </w:tcPr>
          <w:p>
            <w:r/>
            <w:r>
              <w:rPr>
                <w:b/>
                <w:color w:val="FFFFFF"/>
                <w:sz w:val="16"/>
              </w:rPr>
              <w:t>Approval</w:t>
            </w:r>
          </w:p>
        </w:tc>
      </w:tr>
      <w:tr>
        <w:tc>
          <w:tcPr>
            <w:tcW w:type="dxa" w:w="1152"/>
            <w:vAlign w:val="top"/>
          </w:tcPr>
          <w:p>
            <w:r/>
            <w:r>
              <w:rPr>
                <w:b w:val="0"/>
                <w:sz w:val="16"/>
              </w:rPr>
              <w:t>0.1</w:t>
            </w:r>
          </w:p>
        </w:tc>
        <w:tc>
          <w:tcPr>
            <w:tcW w:type="dxa" w:w="1152"/>
            <w:vAlign w:val="top"/>
          </w:tcPr>
          <w:p>
            <w:r/>
            <w:r>
              <w:rPr>
                <w:b w:val="0"/>
                <w:sz w:val="16"/>
              </w:rPr>
              <w:t>[Insert]</w:t>
            </w:r>
          </w:p>
        </w:tc>
        <w:tc>
          <w:tcPr>
            <w:tcW w:type="dxa" w:w="1944"/>
            <w:vAlign w:val="top"/>
          </w:tcPr>
          <w:p>
            <w:r/>
            <w:r>
              <w:rPr>
                <w:b w:val="0"/>
                <w:sz w:val="16"/>
              </w:rPr>
              <w:t>Mortgage Operations</w:t>
            </w:r>
          </w:p>
        </w:tc>
        <w:tc>
          <w:tcPr>
            <w:tcW w:type="dxa" w:w="4032"/>
            <w:vAlign w:val="top"/>
          </w:tcPr>
          <w:p>
            <w:r/>
            <w:r>
              <w:rPr>
                <w:b w:val="0"/>
                <w:sz w:val="16"/>
              </w:rPr>
              <w:t>Initial draft</w:t>
            </w:r>
          </w:p>
        </w:tc>
        <w:tc>
          <w:tcPr>
            <w:tcW w:type="dxa" w:w="1584"/>
            <w:vAlign w:val="top"/>
          </w:tcPr>
          <w:p>
            <w:r/>
            <w:r>
              <w:rPr>
                <w:b w:val="0"/>
                <w:sz w:val="16"/>
              </w:rPr>
              <w:t>Pending</w:t>
            </w:r>
          </w:p>
        </w:tc>
      </w:tr>
      <w:tr>
        <w:tc>
          <w:tcPr>
            <w:tcW w:type="dxa" w:w="1152"/>
            <w:vAlign w:val="top"/>
          </w:tcPr>
          <w:p>
            <w:r/>
            <w:r>
              <w:rPr>
                <w:b w:val="0"/>
                <w:sz w:val="16"/>
              </w:rPr>
              <w:t>1.0</w:t>
            </w:r>
          </w:p>
        </w:tc>
        <w:tc>
          <w:tcPr>
            <w:tcW w:type="dxa" w:w="1152"/>
            <w:vAlign w:val="top"/>
          </w:tcPr>
          <w:p>
            <w:r/>
            <w:r>
              <w:rPr>
                <w:b w:val="0"/>
                <w:sz w:val="16"/>
              </w:rPr>
              <w:t>[Insert]</w:t>
            </w:r>
          </w:p>
        </w:tc>
        <w:tc>
          <w:tcPr>
            <w:tcW w:type="dxa" w:w="1944"/>
            <w:vAlign w:val="top"/>
          </w:tcPr>
          <w:p>
            <w:r/>
            <w:r>
              <w:rPr>
                <w:b w:val="0"/>
                <w:sz w:val="16"/>
              </w:rPr>
              <w:t>Process Owner</w:t>
            </w:r>
          </w:p>
        </w:tc>
        <w:tc>
          <w:tcPr>
            <w:tcW w:type="dxa" w:w="4032"/>
            <w:vAlign w:val="top"/>
          </w:tcPr>
          <w:p>
            <w:r/>
            <w:r>
              <w:rPr>
                <w:b w:val="0"/>
                <w:sz w:val="16"/>
              </w:rPr>
              <w:t>Approved release</w:t>
            </w:r>
          </w:p>
        </w:tc>
        <w:tc>
          <w:tcPr>
            <w:tcW w:type="dxa" w:w="1584"/>
            <w:vAlign w:val="top"/>
          </w:tcPr>
          <w:p>
            <w:r/>
            <w:r>
              <w:rPr>
                <w:b w:val="0"/>
                <w:sz w:val="16"/>
              </w:rPr>
              <w:t>[Insert]</w:t>
            </w:r>
          </w:p>
        </w:tc>
      </w:tr>
      <w:tr>
        <w:tc>
          <w:tcPr>
            <w:tcW w:type="dxa" w:w="1152"/>
            <w:vAlign w:val="top"/>
          </w:tcPr>
          <w:p>
            <w:r/>
            <w:r>
              <w:rPr>
                <w:b w:val="0"/>
                <w:sz w:val="16"/>
              </w:rPr>
              <w:t>1.x</w:t>
            </w:r>
          </w:p>
        </w:tc>
        <w:tc>
          <w:tcPr>
            <w:tcW w:type="dxa" w:w="1152"/>
            <w:vAlign w:val="top"/>
          </w:tcPr>
          <w:p>
            <w:r/>
            <w:r>
              <w:rPr>
                <w:b w:val="0"/>
                <w:sz w:val="16"/>
              </w:rPr>
              <w:t>[Insert]</w:t>
            </w:r>
          </w:p>
        </w:tc>
        <w:tc>
          <w:tcPr>
            <w:tcW w:type="dxa" w:w="1944"/>
            <w:vAlign w:val="top"/>
          </w:tcPr>
          <w:p>
            <w:r/>
            <w:r>
              <w:rPr>
                <w:b w:val="0"/>
                <w:sz w:val="16"/>
              </w:rPr>
              <w:t>Compliance / Credit Policy</w:t>
            </w:r>
          </w:p>
        </w:tc>
        <w:tc>
          <w:tcPr>
            <w:tcW w:type="dxa" w:w="4032"/>
            <w:vAlign w:val="top"/>
          </w:tcPr>
          <w:p>
            <w:r/>
            <w:r>
              <w:rPr>
                <w:b w:val="0"/>
                <w:sz w:val="16"/>
              </w:rPr>
              <w:t>Regulatory, product, or system update</w:t>
            </w:r>
          </w:p>
        </w:tc>
        <w:tc>
          <w:tcPr>
            <w:tcW w:type="dxa" w:w="1584"/>
            <w:vAlign w:val="top"/>
          </w:tcPr>
          <w:p>
            <w:r/>
            <w:r>
              <w:rPr>
                <w:b w:val="0"/>
                <w:sz w:val="16"/>
              </w:rPr>
              <w:t>[Insert]</w:t>
            </w:r>
          </w:p>
        </w:tc>
      </w:tr>
    </w:tbl>
    <w:p>
      <w:pPr>
        <w:spacing w:after="40"/>
      </w:pPr>
    </w:p>
    <w:p>
      <w:pPr>
        <w:pStyle w:val="Heading2"/>
      </w:pPr>
      <w:r>
        <w:t>1.2 Distribution and Access</w:t>
      </w:r>
    </w:p>
    <w:p>
      <w:pPr>
        <w:pStyle w:val="ListBullet"/>
      </w:pPr>
      <w:r>
        <w:rPr>
          <w:sz w:val="19"/>
        </w:rPr>
        <w:t>Primary users: mortgage processors, loan officers, verification analysts, underwriting support, underwriters, quality assurance teams, and team leaders.</w:t>
      </w:r>
    </w:p>
    <w:p>
      <w:pPr>
        <w:pStyle w:val="ListBullet"/>
      </w:pPr>
      <w:r>
        <w:rPr>
          <w:sz w:val="19"/>
        </w:rPr>
        <w:t>Read-only distribution should be provided to compliance, risk, legal, audit, servicing, post-closing, technology support, and customer service teams.</w:t>
      </w:r>
    </w:p>
    <w:p>
      <w:pPr>
        <w:pStyle w:val="ListBullet"/>
      </w:pPr>
      <w:r>
        <w:rPr>
          <w:sz w:val="19"/>
        </w:rPr>
        <w:t>Controlled copies must be stored in the document management system. Printed copies are uncontrolled unless stamped and tracked by Document Control.</w:t>
      </w:r>
    </w:p>
    <w:p>
      <w:pPr>
        <w:pStyle w:val="ListBullet"/>
      </w:pPr>
      <w:r>
        <w:rPr>
          <w:sz w:val="19"/>
        </w:rPr>
        <w:t>Team leaders must brief staff on material changes before the effective date and retain evidence of training completion.</w:t>
      </w:r>
    </w:p>
    <w:p>
      <w:pPr>
        <w:pStyle w:val="Heading2"/>
      </w:pPr>
      <w:r>
        <w:t>1.3 Key Terms and Abbreviations</w:t>
      </w:r>
    </w:p>
    <w:tbl>
      <w:tblPr>
        <w:tblStyle w:val="TableGrid"/>
        <w:tblW w:type="auto" w:w="0"/>
        <w:jc w:val="center"/>
        <w:tblLook w:firstColumn="1" w:firstRow="1" w:lastColumn="0" w:lastRow="0" w:noHBand="0" w:noVBand="1" w:val="04A0"/>
      </w:tblPr>
      <w:tblGrid>
        <w:gridCol w:w="5184"/>
        <w:gridCol w:w="5184"/>
      </w:tblGrid>
      <w:tr>
        <w:tc>
          <w:tcPr>
            <w:tcW w:type="dxa" w:w="2160"/>
            <w:shd w:fill="1F4E79"/>
            <w:vAlign w:val="center"/>
          </w:tcPr>
          <w:p>
            <w:r/>
            <w:r>
              <w:rPr>
                <w:b/>
                <w:color w:val="FFFFFF"/>
                <w:sz w:val="16"/>
              </w:rPr>
              <w:t>Term</w:t>
            </w:r>
          </w:p>
        </w:tc>
        <w:tc>
          <w:tcPr>
            <w:tcW w:type="dxa" w:w="7488"/>
            <w:shd w:fill="1F4E79"/>
            <w:vAlign w:val="center"/>
          </w:tcPr>
          <w:p>
            <w:r/>
            <w:r>
              <w:rPr>
                <w:b/>
                <w:color w:val="FFFFFF"/>
                <w:sz w:val="16"/>
              </w:rPr>
              <w:t>Meaning</w:t>
            </w:r>
          </w:p>
        </w:tc>
      </w:tr>
      <w:tr>
        <w:tc>
          <w:tcPr>
            <w:tcW w:type="dxa" w:w="2160"/>
            <w:vAlign w:val="top"/>
          </w:tcPr>
          <w:p>
            <w:r/>
            <w:r>
              <w:rPr>
                <w:b w:val="0"/>
                <w:sz w:val="16"/>
              </w:rPr>
              <w:t>Application package</w:t>
            </w:r>
          </w:p>
        </w:tc>
        <w:tc>
          <w:tcPr>
            <w:tcW w:type="dxa" w:w="7488"/>
            <w:vAlign w:val="top"/>
          </w:tcPr>
          <w:p>
            <w:r/>
            <w:r>
              <w:rPr>
                <w:b w:val="0"/>
                <w:sz w:val="16"/>
              </w:rPr>
              <w:t>All forms, disclosures, supporting documents, consents, and system data required to start processing.</w:t>
            </w:r>
          </w:p>
        </w:tc>
      </w:tr>
      <w:tr>
        <w:tc>
          <w:tcPr>
            <w:tcW w:type="dxa" w:w="2160"/>
            <w:vAlign w:val="top"/>
          </w:tcPr>
          <w:p>
            <w:r/>
            <w:r>
              <w:rPr>
                <w:b w:val="0"/>
                <w:sz w:val="16"/>
              </w:rPr>
              <w:t>Applicant / borrower</w:t>
            </w:r>
          </w:p>
        </w:tc>
        <w:tc>
          <w:tcPr>
            <w:tcW w:type="dxa" w:w="7488"/>
            <w:vAlign w:val="top"/>
          </w:tcPr>
          <w:p>
            <w:r/>
            <w:r>
              <w:rPr>
                <w:b w:val="0"/>
                <w:sz w:val="16"/>
              </w:rPr>
              <w:t>Primary party seeking credit. Co-borrowers, guarantors, and security providers are included where applicable.</w:t>
            </w:r>
          </w:p>
        </w:tc>
      </w:tr>
      <w:tr>
        <w:tc>
          <w:tcPr>
            <w:tcW w:type="dxa" w:w="2160"/>
            <w:vAlign w:val="top"/>
          </w:tcPr>
          <w:p>
            <w:r/>
            <w:r>
              <w:rPr>
                <w:b w:val="0"/>
                <w:sz w:val="16"/>
              </w:rPr>
              <w:t>Conditional approval</w:t>
            </w:r>
          </w:p>
        </w:tc>
        <w:tc>
          <w:tcPr>
            <w:tcW w:type="dxa" w:w="7488"/>
            <w:vAlign w:val="top"/>
          </w:tcPr>
          <w:p>
            <w:r/>
            <w:r>
              <w:rPr>
                <w:b w:val="0"/>
                <w:sz w:val="16"/>
              </w:rPr>
              <w:t>A credit decision that is subject to outstanding conditions being satisfied before final approval or closing.</w:t>
            </w:r>
          </w:p>
        </w:tc>
      </w:tr>
      <w:tr>
        <w:tc>
          <w:tcPr>
            <w:tcW w:type="dxa" w:w="2160"/>
            <w:vAlign w:val="top"/>
          </w:tcPr>
          <w:p>
            <w:r/>
            <w:r>
              <w:rPr>
                <w:b w:val="0"/>
                <w:sz w:val="16"/>
              </w:rPr>
              <w:t>Credit policy</w:t>
            </w:r>
          </w:p>
        </w:tc>
        <w:tc>
          <w:tcPr>
            <w:tcW w:type="dxa" w:w="7488"/>
            <w:vAlign w:val="top"/>
          </w:tcPr>
          <w:p>
            <w:r/>
            <w:r>
              <w:rPr>
                <w:b w:val="0"/>
                <w:sz w:val="16"/>
              </w:rPr>
              <w:t>The approved lending policy, underwriting standards, product rules, and exception authority matrix.</w:t>
            </w:r>
          </w:p>
        </w:tc>
      </w:tr>
      <w:tr>
        <w:tc>
          <w:tcPr>
            <w:tcW w:type="dxa" w:w="2160"/>
            <w:vAlign w:val="top"/>
          </w:tcPr>
          <w:p>
            <w:r/>
            <w:r>
              <w:rPr>
                <w:b w:val="0"/>
                <w:sz w:val="16"/>
              </w:rPr>
              <w:t>DMS</w:t>
            </w:r>
          </w:p>
        </w:tc>
        <w:tc>
          <w:tcPr>
            <w:tcW w:type="dxa" w:w="7488"/>
            <w:vAlign w:val="top"/>
          </w:tcPr>
          <w:p>
            <w:r/>
            <w:r>
              <w:rPr>
                <w:b w:val="0"/>
                <w:sz w:val="16"/>
              </w:rPr>
              <w:t>Document management system or imaging repository.</w:t>
            </w:r>
          </w:p>
        </w:tc>
      </w:tr>
      <w:tr>
        <w:tc>
          <w:tcPr>
            <w:tcW w:type="dxa" w:w="2160"/>
            <w:vAlign w:val="top"/>
          </w:tcPr>
          <w:p>
            <w:r/>
            <w:r>
              <w:rPr>
                <w:b w:val="0"/>
                <w:sz w:val="16"/>
              </w:rPr>
              <w:t>LOS</w:t>
            </w:r>
          </w:p>
        </w:tc>
        <w:tc>
          <w:tcPr>
            <w:tcW w:type="dxa" w:w="7488"/>
            <w:vAlign w:val="top"/>
          </w:tcPr>
          <w:p>
            <w:r/>
            <w:r>
              <w:rPr>
                <w:b w:val="0"/>
                <w:sz w:val="16"/>
              </w:rPr>
              <w:t>Loan origination system or workflow platform.</w:t>
            </w:r>
          </w:p>
        </w:tc>
      </w:tr>
      <w:tr>
        <w:tc>
          <w:tcPr>
            <w:tcW w:type="dxa" w:w="2160"/>
            <w:vAlign w:val="top"/>
          </w:tcPr>
          <w:p>
            <w:r/>
            <w:r>
              <w:rPr>
                <w:b w:val="0"/>
                <w:sz w:val="16"/>
              </w:rPr>
              <w:t>KYC / CIP</w:t>
            </w:r>
          </w:p>
        </w:tc>
        <w:tc>
          <w:tcPr>
            <w:tcW w:type="dxa" w:w="7488"/>
            <w:vAlign w:val="top"/>
          </w:tcPr>
          <w:p>
            <w:r/>
            <w:r>
              <w:rPr>
                <w:b w:val="0"/>
                <w:sz w:val="16"/>
              </w:rPr>
              <w:t>Know-your-customer / customer identification program, as applicable.</w:t>
            </w:r>
          </w:p>
        </w:tc>
      </w:tr>
      <w:tr>
        <w:tc>
          <w:tcPr>
            <w:tcW w:type="dxa" w:w="2160"/>
            <w:vAlign w:val="top"/>
          </w:tcPr>
          <w:p>
            <w:r/>
            <w:r>
              <w:rPr>
                <w:b w:val="0"/>
                <w:sz w:val="16"/>
              </w:rPr>
              <w:t>LTV / CLTV</w:t>
            </w:r>
          </w:p>
        </w:tc>
        <w:tc>
          <w:tcPr>
            <w:tcW w:type="dxa" w:w="7488"/>
            <w:vAlign w:val="top"/>
          </w:tcPr>
          <w:p>
            <w:r/>
            <w:r>
              <w:rPr>
                <w:b w:val="0"/>
                <w:sz w:val="16"/>
              </w:rPr>
              <w:t>Loan-to-value / combined loan-to-value.</w:t>
            </w:r>
          </w:p>
        </w:tc>
      </w:tr>
      <w:tr>
        <w:tc>
          <w:tcPr>
            <w:tcW w:type="dxa" w:w="2160"/>
            <w:vAlign w:val="top"/>
          </w:tcPr>
          <w:p>
            <w:r/>
            <w:r>
              <w:rPr>
                <w:b w:val="0"/>
                <w:sz w:val="16"/>
              </w:rPr>
              <w:t>Serviceability / affordability</w:t>
            </w:r>
          </w:p>
        </w:tc>
        <w:tc>
          <w:tcPr>
            <w:tcW w:type="dxa" w:w="7488"/>
            <w:vAlign w:val="top"/>
          </w:tcPr>
          <w:p>
            <w:r/>
            <w:r>
              <w:rPr>
                <w:b w:val="0"/>
                <w:sz w:val="16"/>
              </w:rPr>
              <w:t>Assessment of the borrower’s capacity to repay under approved methodology.</w:t>
            </w:r>
          </w:p>
        </w:tc>
      </w:tr>
      <w:tr>
        <w:tc>
          <w:tcPr>
            <w:tcW w:type="dxa" w:w="2160"/>
            <w:vAlign w:val="top"/>
          </w:tcPr>
          <w:p>
            <w:r/>
            <w:r>
              <w:rPr>
                <w:b w:val="0"/>
                <w:sz w:val="16"/>
              </w:rPr>
              <w:t>SLA</w:t>
            </w:r>
          </w:p>
        </w:tc>
        <w:tc>
          <w:tcPr>
            <w:tcW w:type="dxa" w:w="7488"/>
            <w:vAlign w:val="top"/>
          </w:tcPr>
          <w:p>
            <w:r/>
            <w:r>
              <w:rPr>
                <w:b w:val="0"/>
                <w:sz w:val="16"/>
              </w:rPr>
              <w:t>Service level agreement or required turnaround time.</w:t>
            </w:r>
          </w:p>
        </w:tc>
      </w:tr>
    </w:tbl>
    <w:p>
      <w:pPr>
        <w:spacing w:after="40"/>
      </w:pPr>
    </w:p>
    <w:p>
      <w:r>
        <w:br w:type="page"/>
      </w:r>
    </w:p>
    <w:p>
      <w:pPr>
        <w:pStyle w:val="Heading1"/>
        <w:spacing w:before="80" w:after="160"/>
      </w:pPr>
      <w:r>
        <w:t>2. Purpose, Scope, and Guiding Principles</w:t>
      </w:r>
    </w:p>
    <w:p>
      <w:pPr>
        <w:pStyle w:val="Heading2"/>
      </w:pPr>
      <w:r>
        <w:t>2.1 Purpose</w:t>
      </w:r>
    </w:p>
    <w:p>
      <w:pPr>
        <w:spacing w:after="80"/>
      </w:pPr>
      <w:r>
        <w:rPr>
          <w:sz w:val="18"/>
        </w:rPr>
        <w:t>This SOP defines the standard end-to-end process for receiving, validating, processing, verifying, underwriting, quality checking, and communicating the outcome of a mortgage application. The process begins when an application is received through any approved channel and ends when the application is approved, conditionally approved, declined, withdrawn, or closed as incomplete according to policy.</w:t>
      </w:r>
    </w:p>
    <w:p>
      <w:pPr>
        <w:pStyle w:val="Heading2"/>
      </w:pPr>
      <w:r>
        <w:t>2.2 Scope</w:t>
      </w:r>
    </w:p>
    <w:p>
      <w:pPr>
        <w:pStyle w:val="ListBullet"/>
      </w:pPr>
      <w:r>
        <w:rPr>
          <w:sz w:val="19"/>
        </w:rPr>
        <w:t>Included: application intake, triage, completeness checks, document collection, data entry, borrower identity checks, income verification, employment verification, asset verification, liability review, collateral/property review, valuation coordination, fraud screening, underwriting packaging, decisioning, condition management, approval and decline communication, record retention, and operational reporting.</w:t>
      </w:r>
    </w:p>
    <w:p>
      <w:pPr>
        <w:pStyle w:val="ListBullet"/>
      </w:pPr>
      <w:r>
        <w:rPr>
          <w:sz w:val="19"/>
        </w:rPr>
        <w:t>Excluded unless specifically added by the organization: broker accreditation, construction draw administration, servicing transfer, foreclosure, hardship management, collections, securitization, investor delivery, and post-settlement servicing activities.</w:t>
      </w:r>
    </w:p>
    <w:p>
      <w:pPr>
        <w:pStyle w:val="ListBullet"/>
      </w:pPr>
      <w:r>
        <w:rPr>
          <w:sz w:val="19"/>
        </w:rPr>
        <w:t>The SOP applies to purchase, refinance, top-up, equity release, investment-property, owner-occupied, fixed-rate, variable-rate, and packaged mortgage products where supported by credit policy.</w:t>
      </w:r>
    </w:p>
    <w:p>
      <w:pPr>
        <w:pStyle w:val="Heading2"/>
      </w:pPr>
      <w:r>
        <w:t>2.3 Guiding Principles</w:t>
      </w:r>
    </w:p>
    <w:p>
      <w:pPr>
        <w:pStyle w:val="ListBullet"/>
      </w:pPr>
      <w:r>
        <w:rPr>
          <w:b/>
          <w:sz w:val="19"/>
        </w:rPr>
        <w:t xml:space="preserve">Customer fairness: </w:t>
      </w:r>
      <w:r>
        <w:rPr>
          <w:sz w:val="19"/>
        </w:rPr>
        <w:t>Applicants must receive clear requests, timely updates, and consistent treatment. Staff must not discourage protected or eligible applicants from applying.</w:t>
      </w:r>
    </w:p>
    <w:p>
      <w:pPr>
        <w:pStyle w:val="ListBullet"/>
      </w:pPr>
      <w:r>
        <w:rPr>
          <w:b/>
          <w:sz w:val="19"/>
        </w:rPr>
        <w:t xml:space="preserve">Accuracy: </w:t>
      </w:r>
      <w:r>
        <w:rPr>
          <w:sz w:val="19"/>
        </w:rPr>
        <w:t>All decision-critical fields in the LOS must be supported by source documents, verified data, or approved system integrations.</w:t>
      </w:r>
    </w:p>
    <w:p>
      <w:pPr>
        <w:pStyle w:val="ListBullet"/>
      </w:pPr>
      <w:r>
        <w:rPr>
          <w:b/>
          <w:sz w:val="19"/>
        </w:rPr>
        <w:t xml:space="preserve">Traceability: </w:t>
      </w:r>
      <w:r>
        <w:rPr>
          <w:sz w:val="19"/>
        </w:rPr>
        <w:t>Every material action must leave an audit trail showing who performed the action, when it occurred, what was reviewed, and the outcome.</w:t>
      </w:r>
    </w:p>
    <w:p>
      <w:pPr>
        <w:pStyle w:val="ListBullet"/>
      </w:pPr>
      <w:r>
        <w:rPr>
          <w:b/>
          <w:sz w:val="19"/>
        </w:rPr>
        <w:t xml:space="preserve">Independence: </w:t>
      </w:r>
      <w:r>
        <w:rPr>
          <w:sz w:val="19"/>
        </w:rPr>
        <w:t>Where required, underwriting decisions must be made by appropriately delegated credit authority and not overridden by sales or processing staff.</w:t>
      </w:r>
    </w:p>
    <w:p>
      <w:pPr>
        <w:pStyle w:val="ListBullet"/>
      </w:pPr>
      <w:r>
        <w:rPr>
          <w:b/>
          <w:sz w:val="19"/>
        </w:rPr>
        <w:t xml:space="preserve">Security: </w:t>
      </w:r>
      <w:r>
        <w:rPr>
          <w:sz w:val="19"/>
        </w:rPr>
        <w:t>Customer information must be handled under privacy, data security, and information classification requirements.</w:t>
      </w:r>
    </w:p>
    <w:p>
      <w:pPr>
        <w:pStyle w:val="Heading2"/>
      </w:pPr>
      <w:r>
        <w:t>2.4 Process Outcome States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shd w:fill="1F4E79"/>
            <w:vAlign w:val="center"/>
          </w:tcPr>
          <w:p>
            <w:r/>
            <w:r>
              <w:rPr>
                <w:b/>
                <w:color w:val="FFFFFF"/>
                <w:sz w:val="16"/>
              </w:rPr>
              <w:t>Outcome</w:t>
            </w:r>
          </w:p>
        </w:tc>
        <w:tc>
          <w:tcPr>
            <w:tcW w:type="dxa" w:w="3456"/>
            <w:shd w:fill="1F4E79"/>
            <w:vAlign w:val="center"/>
          </w:tcPr>
          <w:p>
            <w:r/>
            <w:r>
              <w:rPr>
                <w:b/>
                <w:color w:val="FFFFFF"/>
                <w:sz w:val="16"/>
              </w:rPr>
              <w:t>Definition</w:t>
            </w:r>
          </w:p>
        </w:tc>
        <w:tc>
          <w:tcPr>
            <w:tcW w:type="dxa" w:w="2088"/>
            <w:shd w:fill="1F4E79"/>
            <w:vAlign w:val="center"/>
          </w:tcPr>
          <w:p>
            <w:r/>
            <w:r>
              <w:rPr>
                <w:b/>
                <w:color w:val="FFFFFF"/>
                <w:sz w:val="16"/>
              </w:rPr>
              <w:t>Owner</w:t>
            </w:r>
          </w:p>
        </w:tc>
        <w:tc>
          <w:tcPr>
            <w:tcW w:type="dxa" w:w="2520"/>
            <w:shd w:fill="1F4E79"/>
            <w:vAlign w:val="center"/>
          </w:tcPr>
          <w:p>
            <w:r/>
            <w:r>
              <w:rPr>
                <w:b/>
                <w:color w:val="FFFFFF"/>
                <w:sz w:val="16"/>
              </w:rPr>
              <w:t>Next Step</w:t>
            </w:r>
          </w:p>
        </w:tc>
      </w:tr>
      <w:tr>
        <w:tc>
          <w:tcPr>
            <w:tcW w:type="dxa" w:w="1800"/>
            <w:vAlign w:val="top"/>
          </w:tcPr>
          <w:p>
            <w:r/>
            <w:r>
              <w:rPr>
                <w:b w:val="0"/>
                <w:sz w:val="16"/>
              </w:rPr>
              <w:t>Approved</w:t>
            </w:r>
          </w:p>
        </w:tc>
        <w:tc>
          <w:tcPr>
            <w:tcW w:type="dxa" w:w="3456"/>
            <w:vAlign w:val="top"/>
          </w:tcPr>
          <w:p>
            <w:r/>
            <w:r>
              <w:rPr>
                <w:b w:val="0"/>
                <w:sz w:val="16"/>
              </w:rPr>
              <w:t>All credit requirements and final approval criteria are met.</w:t>
            </w:r>
          </w:p>
        </w:tc>
        <w:tc>
          <w:tcPr>
            <w:tcW w:type="dxa" w:w="2088"/>
            <w:vAlign w:val="top"/>
          </w:tcPr>
          <w:p>
            <w:r/>
            <w:r>
              <w:rPr>
                <w:b w:val="0"/>
                <w:sz w:val="16"/>
              </w:rPr>
              <w:t>Underwriter / Credit Approver</w:t>
            </w:r>
          </w:p>
        </w:tc>
        <w:tc>
          <w:tcPr>
            <w:tcW w:type="dxa" w:w="2520"/>
            <w:vAlign w:val="top"/>
          </w:tcPr>
          <w:p>
            <w:r/>
            <w:r>
              <w:rPr>
                <w:b w:val="0"/>
                <w:sz w:val="16"/>
              </w:rPr>
              <w:t>Issue approval notice and proceed to offer / closing workflow.</w:t>
            </w:r>
          </w:p>
        </w:tc>
      </w:tr>
      <w:tr>
        <w:tc>
          <w:tcPr>
            <w:tcW w:type="dxa" w:w="1800"/>
            <w:vAlign w:val="top"/>
          </w:tcPr>
          <w:p>
            <w:r/>
            <w:r>
              <w:rPr>
                <w:b w:val="0"/>
                <w:sz w:val="16"/>
              </w:rPr>
              <w:t>Conditionally approved</w:t>
            </w:r>
          </w:p>
        </w:tc>
        <w:tc>
          <w:tcPr>
            <w:tcW w:type="dxa" w:w="3456"/>
            <w:vAlign w:val="top"/>
          </w:tcPr>
          <w:p>
            <w:r/>
            <w:r>
              <w:rPr>
                <w:b w:val="0"/>
                <w:sz w:val="16"/>
              </w:rPr>
              <w:t>Credit decision is positive but one or more policy, documentation, collateral, or operational conditions remain.</w:t>
            </w:r>
          </w:p>
        </w:tc>
        <w:tc>
          <w:tcPr>
            <w:tcW w:type="dxa" w:w="2088"/>
            <w:vAlign w:val="top"/>
          </w:tcPr>
          <w:p>
            <w:r/>
            <w:r>
              <w:rPr>
                <w:b w:val="0"/>
                <w:sz w:val="16"/>
              </w:rPr>
              <w:t>Underwriter / Processor</w:t>
            </w:r>
          </w:p>
        </w:tc>
        <w:tc>
          <w:tcPr>
            <w:tcW w:type="dxa" w:w="2520"/>
            <w:vAlign w:val="top"/>
          </w:tcPr>
          <w:p>
            <w:r/>
            <w:r>
              <w:rPr>
                <w:b w:val="0"/>
                <w:sz w:val="16"/>
              </w:rPr>
              <w:t>Track conditions to clearance or expiry.</w:t>
            </w:r>
          </w:p>
        </w:tc>
      </w:tr>
      <w:tr>
        <w:tc>
          <w:tcPr>
            <w:tcW w:type="dxa" w:w="1800"/>
            <w:vAlign w:val="top"/>
          </w:tcPr>
          <w:p>
            <w:r/>
            <w:r>
              <w:rPr>
                <w:b w:val="0"/>
                <w:sz w:val="16"/>
              </w:rPr>
              <w:t>Declined</w:t>
            </w:r>
          </w:p>
        </w:tc>
        <w:tc>
          <w:tcPr>
            <w:tcW w:type="dxa" w:w="3456"/>
            <w:vAlign w:val="top"/>
          </w:tcPr>
          <w:p>
            <w:r/>
            <w:r>
              <w:rPr>
                <w:b w:val="0"/>
                <w:sz w:val="16"/>
              </w:rPr>
              <w:t>Application fails policy, affordability, collateral, fraud, eligibility, documentation, or risk criteria.</w:t>
            </w:r>
          </w:p>
        </w:tc>
        <w:tc>
          <w:tcPr>
            <w:tcW w:type="dxa" w:w="2088"/>
            <w:vAlign w:val="top"/>
          </w:tcPr>
          <w:p>
            <w:r/>
            <w:r>
              <w:rPr>
                <w:b w:val="0"/>
                <w:sz w:val="16"/>
              </w:rPr>
              <w:t>Underwriter / Credit Approver</w:t>
            </w:r>
          </w:p>
        </w:tc>
        <w:tc>
          <w:tcPr>
            <w:tcW w:type="dxa" w:w="2520"/>
            <w:vAlign w:val="top"/>
          </w:tcPr>
          <w:p>
            <w:r/>
            <w:r>
              <w:rPr>
                <w:b w:val="0"/>
                <w:sz w:val="16"/>
              </w:rPr>
              <w:t>Issue compliant decline notice and close file.</w:t>
            </w:r>
          </w:p>
        </w:tc>
      </w:tr>
      <w:tr>
        <w:tc>
          <w:tcPr>
            <w:tcW w:type="dxa" w:w="1800"/>
            <w:vAlign w:val="top"/>
          </w:tcPr>
          <w:p>
            <w:r/>
            <w:r>
              <w:rPr>
                <w:b w:val="0"/>
                <w:sz w:val="16"/>
              </w:rPr>
              <w:t>Withdrawn</w:t>
            </w:r>
          </w:p>
        </w:tc>
        <w:tc>
          <w:tcPr>
            <w:tcW w:type="dxa" w:w="3456"/>
            <w:vAlign w:val="top"/>
          </w:tcPr>
          <w:p>
            <w:r/>
            <w:r>
              <w:rPr>
                <w:b w:val="0"/>
                <w:sz w:val="16"/>
              </w:rPr>
              <w:t>Applicant or introducer requests cancellation before decision.</w:t>
            </w:r>
          </w:p>
        </w:tc>
        <w:tc>
          <w:tcPr>
            <w:tcW w:type="dxa" w:w="2088"/>
            <w:vAlign w:val="top"/>
          </w:tcPr>
          <w:p>
            <w:r/>
            <w:r>
              <w:rPr>
                <w:b w:val="0"/>
                <w:sz w:val="16"/>
              </w:rPr>
              <w:t>Processor / Loan Officer</w:t>
            </w:r>
          </w:p>
        </w:tc>
        <w:tc>
          <w:tcPr>
            <w:tcW w:type="dxa" w:w="2520"/>
            <w:vAlign w:val="top"/>
          </w:tcPr>
          <w:p>
            <w:r/>
            <w:r>
              <w:rPr>
                <w:b w:val="0"/>
                <w:sz w:val="16"/>
              </w:rPr>
              <w:t>Confirm withdrawal and close file.</w:t>
            </w:r>
          </w:p>
        </w:tc>
      </w:tr>
      <w:tr>
        <w:tc>
          <w:tcPr>
            <w:tcW w:type="dxa" w:w="1800"/>
            <w:vAlign w:val="top"/>
          </w:tcPr>
          <w:p>
            <w:r/>
            <w:r>
              <w:rPr>
                <w:b w:val="0"/>
                <w:sz w:val="16"/>
              </w:rPr>
              <w:t>Incomplete / expired</w:t>
            </w:r>
          </w:p>
        </w:tc>
        <w:tc>
          <w:tcPr>
            <w:tcW w:type="dxa" w:w="3456"/>
            <w:vAlign w:val="top"/>
          </w:tcPr>
          <w:p>
            <w:r/>
            <w:r>
              <w:rPr>
                <w:b w:val="0"/>
                <w:sz w:val="16"/>
              </w:rPr>
              <w:t>Required information was not supplied within defined timeframe.</w:t>
            </w:r>
          </w:p>
        </w:tc>
        <w:tc>
          <w:tcPr>
            <w:tcW w:type="dxa" w:w="2088"/>
            <w:vAlign w:val="top"/>
          </w:tcPr>
          <w:p>
            <w:r/>
            <w:r>
              <w:rPr>
                <w:b w:val="0"/>
                <w:sz w:val="16"/>
              </w:rPr>
              <w:t>Processor / Team Leader</w:t>
            </w:r>
          </w:p>
        </w:tc>
        <w:tc>
          <w:tcPr>
            <w:tcW w:type="dxa" w:w="2520"/>
            <w:vAlign w:val="top"/>
          </w:tcPr>
          <w:p>
            <w:r/>
            <w:r>
              <w:rPr>
                <w:b w:val="0"/>
                <w:sz w:val="16"/>
              </w:rPr>
              <w:t>Send final notice and close in LOS.</w:t>
            </w:r>
          </w:p>
        </w:tc>
      </w:tr>
    </w:tbl>
    <w:p>
      <w:pPr>
        <w:spacing w:after="40"/>
      </w:pPr>
    </w:p>
    <w:p>
      <w:r>
        <w:br w:type="page"/>
      </w:r>
    </w:p>
    <w:p>
      <w:pPr>
        <w:pStyle w:val="Heading1"/>
        <w:spacing w:before="80" w:after="160"/>
      </w:pPr>
      <w:r>
        <w:t>3. Governance, Roles, and Segregation of Duties</w:t>
      </w:r>
    </w:p>
    <w:p>
      <w:pPr>
        <w:pStyle w:val="Heading2"/>
      </w:pPr>
      <w:r>
        <w:t>3.1 Governance Model</w:t>
      </w:r>
    </w:p>
    <w:p>
      <w:pPr>
        <w:spacing w:after="80"/>
      </w:pPr>
      <w:r>
        <w:rPr>
          <w:sz w:val="18"/>
        </w:rPr>
        <w:t>The mortgage processing function operates under documented credit policy, product procedures, delegated authority, compliance obligations, and operational risk controls. Changes to this SOP must be assessed for impacts on systems, forms, disclosures, training, scripts, reporting, and third-party arrangements.</w:t>
      </w:r>
    </w:p>
    <w:p>
      <w:pPr>
        <w:pStyle w:val="Heading2"/>
      </w:pPr>
      <w:r>
        <w:t>3.2 Role Definitions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vAlign w:val="center"/>
          </w:tcPr>
          <w:p>
            <w:r/>
            <w:r>
              <w:rPr>
                <w:b/>
                <w:color w:val="FFFFFF"/>
                <w:sz w:val="15"/>
              </w:rPr>
              <w:t>Role</w:t>
            </w:r>
          </w:p>
        </w:tc>
        <w:tc>
          <w:tcPr>
            <w:tcW w:type="dxa" w:w="4680"/>
            <w:shd w:fill="1F4E79"/>
            <w:vAlign w:val="center"/>
          </w:tcPr>
          <w:p>
            <w:r/>
            <w:r>
              <w:rPr>
                <w:b/>
                <w:color w:val="FFFFFF"/>
                <w:sz w:val="15"/>
              </w:rPr>
              <w:t>Core Responsibilities</w:t>
            </w:r>
          </w:p>
        </w:tc>
        <w:tc>
          <w:tcPr>
            <w:tcW w:type="dxa" w:w="3096"/>
            <w:shd w:fill="1F4E79"/>
            <w:vAlign w:val="center"/>
          </w:tcPr>
          <w:p>
            <w:r/>
            <w:r>
              <w:rPr>
                <w:b/>
                <w:color w:val="FFFFFF"/>
                <w:sz w:val="15"/>
              </w:rPr>
              <w:t>Key Restrictions</w:t>
            </w:r>
          </w:p>
        </w:tc>
      </w:tr>
      <w:tr>
        <w:tc>
          <w:tcPr>
            <w:tcW w:type="dxa" w:w="2016"/>
            <w:vAlign w:val="top"/>
          </w:tcPr>
          <w:p>
            <w:r/>
            <w:r>
              <w:rPr>
                <w:b w:val="0"/>
                <w:sz w:val="15"/>
              </w:rPr>
              <w:t>Loan Officer / Relationship Manager</w:t>
            </w:r>
          </w:p>
        </w:tc>
        <w:tc>
          <w:tcPr>
            <w:tcW w:type="dxa" w:w="4680"/>
            <w:vAlign w:val="top"/>
          </w:tcPr>
          <w:p>
            <w:r/>
            <w:r>
              <w:rPr>
                <w:b w:val="0"/>
                <w:sz w:val="15"/>
              </w:rPr>
              <w:t>Explains product options, collects application data, obtains consents, sets borrower expectations, and supports missing-information follow-up.</w:t>
            </w:r>
          </w:p>
        </w:tc>
        <w:tc>
          <w:tcPr>
            <w:tcW w:type="dxa" w:w="3096"/>
            <w:vAlign w:val="top"/>
          </w:tcPr>
          <w:p>
            <w:r/>
            <w:r>
              <w:rPr>
                <w:b w:val="0"/>
                <w:sz w:val="15"/>
              </w:rPr>
              <w:t>Must not make final credit decisions unless formally delegated and documented.</w:t>
            </w:r>
          </w:p>
        </w:tc>
      </w:tr>
      <w:tr>
        <w:tc>
          <w:tcPr>
            <w:tcW w:type="dxa" w:w="2016"/>
            <w:vAlign w:val="top"/>
          </w:tcPr>
          <w:p>
            <w:r/>
            <w:r>
              <w:rPr>
                <w:b w:val="0"/>
                <w:sz w:val="15"/>
              </w:rPr>
              <w:t>Mortgage Processor</w:t>
            </w:r>
          </w:p>
        </w:tc>
        <w:tc>
          <w:tcPr>
            <w:tcW w:type="dxa" w:w="4680"/>
            <w:vAlign w:val="top"/>
          </w:tcPr>
          <w:p>
            <w:r/>
            <w:r>
              <w:rPr>
                <w:b w:val="0"/>
                <w:sz w:val="15"/>
              </w:rPr>
              <w:t>Performs intake, validation, document chasing, LOS data maintenance, verification coordination, condition tracking, and file packaging.</w:t>
            </w:r>
          </w:p>
        </w:tc>
        <w:tc>
          <w:tcPr>
            <w:tcW w:type="dxa" w:w="3096"/>
            <w:vAlign w:val="top"/>
          </w:tcPr>
          <w:p>
            <w:r/>
            <w:r>
              <w:rPr>
                <w:b w:val="0"/>
                <w:sz w:val="15"/>
              </w:rPr>
              <w:t>Must not alter source documents or suppress adverse information.</w:t>
            </w:r>
          </w:p>
        </w:tc>
      </w:tr>
      <w:tr>
        <w:tc>
          <w:tcPr>
            <w:tcW w:type="dxa" w:w="2016"/>
            <w:vAlign w:val="top"/>
          </w:tcPr>
          <w:p>
            <w:r/>
            <w:r>
              <w:rPr>
                <w:b w:val="0"/>
                <w:sz w:val="15"/>
              </w:rPr>
              <w:t>Verification Analyst</w:t>
            </w:r>
          </w:p>
        </w:tc>
        <w:tc>
          <w:tcPr>
            <w:tcW w:type="dxa" w:w="4680"/>
            <w:vAlign w:val="top"/>
          </w:tcPr>
          <w:p>
            <w:r/>
            <w:r>
              <w:rPr>
                <w:b w:val="0"/>
                <w:sz w:val="15"/>
              </w:rPr>
              <w:t>Completes income, employment, asset, liability, identity, occupancy, and third-party data verification.</w:t>
            </w:r>
          </w:p>
        </w:tc>
        <w:tc>
          <w:tcPr>
            <w:tcW w:type="dxa" w:w="3096"/>
            <w:vAlign w:val="top"/>
          </w:tcPr>
          <w:p>
            <w:r/>
            <w:r>
              <w:rPr>
                <w:b w:val="0"/>
                <w:sz w:val="15"/>
              </w:rPr>
              <w:t>Must record source, date, method, result, and exceptions.</w:t>
            </w:r>
          </w:p>
        </w:tc>
      </w:tr>
      <w:tr>
        <w:tc>
          <w:tcPr>
            <w:tcW w:type="dxa" w:w="2016"/>
            <w:vAlign w:val="top"/>
          </w:tcPr>
          <w:p>
            <w:r/>
            <w:r>
              <w:rPr>
                <w:b w:val="0"/>
                <w:sz w:val="15"/>
              </w:rPr>
              <w:t>Valuation / Collateral Team</w:t>
            </w:r>
          </w:p>
        </w:tc>
        <w:tc>
          <w:tcPr>
            <w:tcW w:type="dxa" w:w="4680"/>
            <w:vAlign w:val="top"/>
          </w:tcPr>
          <w:p>
            <w:r/>
            <w:r>
              <w:rPr>
                <w:b w:val="0"/>
                <w:sz w:val="15"/>
              </w:rPr>
              <w:t>Orders valuations, reviews collateral documents, tracks valuation conditions, and confirms property eligibility.</w:t>
            </w:r>
          </w:p>
        </w:tc>
        <w:tc>
          <w:tcPr>
            <w:tcW w:type="dxa" w:w="3096"/>
            <w:vAlign w:val="top"/>
          </w:tcPr>
          <w:p>
            <w:r/>
            <w:r>
              <w:rPr>
                <w:b w:val="0"/>
                <w:sz w:val="15"/>
              </w:rPr>
              <w:t>Must use approved valuation ordering channels and independence controls.</w:t>
            </w:r>
          </w:p>
        </w:tc>
      </w:tr>
      <w:tr>
        <w:tc>
          <w:tcPr>
            <w:tcW w:type="dxa" w:w="2016"/>
            <w:vAlign w:val="top"/>
          </w:tcPr>
          <w:p>
            <w:r/>
            <w:r>
              <w:rPr>
                <w:b w:val="0"/>
                <w:sz w:val="15"/>
              </w:rPr>
              <w:t>Underwriter</w:t>
            </w:r>
          </w:p>
        </w:tc>
        <w:tc>
          <w:tcPr>
            <w:tcW w:type="dxa" w:w="4680"/>
            <w:vAlign w:val="top"/>
          </w:tcPr>
          <w:p>
            <w:r/>
            <w:r>
              <w:rPr>
                <w:b w:val="0"/>
                <w:sz w:val="15"/>
              </w:rPr>
              <w:t>Assesses credit risk, serviceability, collateral, policy compliance, exceptions, and final decision recommendation.</w:t>
            </w:r>
          </w:p>
        </w:tc>
        <w:tc>
          <w:tcPr>
            <w:tcW w:type="dxa" w:w="3096"/>
            <w:vAlign w:val="top"/>
          </w:tcPr>
          <w:p>
            <w:r/>
            <w:r>
              <w:rPr>
                <w:b w:val="0"/>
                <w:sz w:val="15"/>
              </w:rPr>
              <w:t>Must operate within delegated authority and refer exceptions above authority.</w:t>
            </w:r>
          </w:p>
        </w:tc>
      </w:tr>
      <w:tr>
        <w:tc>
          <w:tcPr>
            <w:tcW w:type="dxa" w:w="2016"/>
            <w:vAlign w:val="top"/>
          </w:tcPr>
          <w:p>
            <w:r/>
            <w:r>
              <w:rPr>
                <w:b w:val="0"/>
                <w:sz w:val="15"/>
              </w:rPr>
              <w:t>Credit Approver</w:t>
            </w:r>
          </w:p>
        </w:tc>
        <w:tc>
          <w:tcPr>
            <w:tcW w:type="dxa" w:w="4680"/>
            <w:vAlign w:val="top"/>
          </w:tcPr>
          <w:p>
            <w:r/>
            <w:r>
              <w:rPr>
                <w:b w:val="0"/>
                <w:sz w:val="15"/>
              </w:rPr>
              <w:t>Approves, conditionally approves, or declines applications within delegation.</w:t>
            </w:r>
          </w:p>
        </w:tc>
        <w:tc>
          <w:tcPr>
            <w:tcW w:type="dxa" w:w="3096"/>
            <w:vAlign w:val="top"/>
          </w:tcPr>
          <w:p>
            <w:r/>
            <w:r>
              <w:rPr>
                <w:b w:val="0"/>
                <w:sz w:val="15"/>
              </w:rPr>
              <w:t>Must document rationale and conditions.</w:t>
            </w:r>
          </w:p>
        </w:tc>
      </w:tr>
      <w:tr>
        <w:tc>
          <w:tcPr>
            <w:tcW w:type="dxa" w:w="2016"/>
            <w:vAlign w:val="top"/>
          </w:tcPr>
          <w:p>
            <w:r/>
            <w:r>
              <w:rPr>
                <w:b w:val="0"/>
                <w:sz w:val="15"/>
              </w:rPr>
              <w:t>Quality Assurance</w:t>
            </w:r>
          </w:p>
        </w:tc>
        <w:tc>
          <w:tcPr>
            <w:tcW w:type="dxa" w:w="4680"/>
            <w:vAlign w:val="top"/>
          </w:tcPr>
          <w:p>
            <w:r/>
            <w:r>
              <w:rPr>
                <w:b w:val="0"/>
                <w:sz w:val="15"/>
              </w:rPr>
              <w:t>Samples files, tests controls, identifies defects, and reports trends.</w:t>
            </w:r>
          </w:p>
        </w:tc>
        <w:tc>
          <w:tcPr>
            <w:tcW w:type="dxa" w:w="3096"/>
            <w:vAlign w:val="top"/>
          </w:tcPr>
          <w:p>
            <w:r/>
            <w:r>
              <w:rPr>
                <w:b w:val="0"/>
                <w:sz w:val="15"/>
              </w:rPr>
              <w:t>Must be independent from original processing where feasible.</w:t>
            </w:r>
          </w:p>
        </w:tc>
      </w:tr>
      <w:tr>
        <w:tc>
          <w:tcPr>
            <w:tcW w:type="dxa" w:w="2016"/>
            <w:vAlign w:val="top"/>
          </w:tcPr>
          <w:p>
            <w:r/>
            <w:r>
              <w:rPr>
                <w:b w:val="0"/>
                <w:sz w:val="15"/>
              </w:rPr>
              <w:t>Compliance / Risk</w:t>
            </w:r>
          </w:p>
        </w:tc>
        <w:tc>
          <w:tcPr>
            <w:tcW w:type="dxa" w:w="4680"/>
            <w:vAlign w:val="top"/>
          </w:tcPr>
          <w:p>
            <w:r/>
            <w:r>
              <w:rPr>
                <w:b w:val="0"/>
                <w:sz w:val="15"/>
              </w:rPr>
              <w:t>Interprets regulatory and conduct obligations, approves control changes, and investigates material breaches.</w:t>
            </w:r>
          </w:p>
        </w:tc>
        <w:tc>
          <w:tcPr>
            <w:tcW w:type="dxa" w:w="3096"/>
            <w:vAlign w:val="top"/>
          </w:tcPr>
          <w:p>
            <w:r/>
            <w:r>
              <w:rPr>
                <w:b w:val="0"/>
                <w:sz w:val="15"/>
              </w:rPr>
              <w:t>Does not substitute for delegated credit authority unless policy provides.</w:t>
            </w:r>
          </w:p>
        </w:tc>
      </w:tr>
    </w:tbl>
    <w:p>
      <w:pPr>
        <w:spacing w:after="40"/>
      </w:pPr>
    </w:p>
    <w:p>
      <w:pPr>
        <w:pStyle w:val="Heading2"/>
      </w:pPr>
      <w:r>
        <w:t>3.3 RACI Matrix</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2880"/>
            <w:shd w:fill="1F4E79"/>
            <w:vAlign w:val="center"/>
          </w:tcPr>
          <w:p>
            <w:r/>
            <w:r>
              <w:rPr>
                <w:b/>
                <w:color w:val="FFFFFF"/>
                <w:sz w:val="14"/>
              </w:rPr>
              <w:t>Activity</w:t>
            </w:r>
          </w:p>
        </w:tc>
        <w:tc>
          <w:tcPr>
            <w:tcW w:type="dxa" w:w="1080"/>
            <w:shd w:fill="1F4E79"/>
            <w:vAlign w:val="center"/>
          </w:tcPr>
          <w:p>
            <w:r/>
            <w:r>
              <w:rPr>
                <w:b/>
                <w:color w:val="FFFFFF"/>
                <w:sz w:val="14"/>
              </w:rPr>
              <w:t>Loan Officer</w:t>
            </w:r>
          </w:p>
        </w:tc>
        <w:tc>
          <w:tcPr>
            <w:tcW w:type="dxa" w:w="1080"/>
            <w:shd w:fill="1F4E79"/>
            <w:vAlign w:val="center"/>
          </w:tcPr>
          <w:p>
            <w:r/>
            <w:r>
              <w:rPr>
                <w:b/>
                <w:color w:val="FFFFFF"/>
                <w:sz w:val="14"/>
              </w:rPr>
              <w:t>Processor</w:t>
            </w:r>
          </w:p>
        </w:tc>
        <w:tc>
          <w:tcPr>
            <w:tcW w:type="dxa" w:w="1080"/>
            <w:shd w:fill="1F4E79"/>
            <w:vAlign w:val="center"/>
          </w:tcPr>
          <w:p>
            <w:r/>
            <w:r>
              <w:rPr>
                <w:b/>
                <w:color w:val="FFFFFF"/>
                <w:sz w:val="14"/>
              </w:rPr>
              <w:t>Verifier</w:t>
            </w:r>
          </w:p>
        </w:tc>
        <w:tc>
          <w:tcPr>
            <w:tcW w:type="dxa" w:w="1080"/>
            <w:shd w:fill="1F4E79"/>
            <w:vAlign w:val="center"/>
          </w:tcPr>
          <w:p>
            <w:r/>
            <w:r>
              <w:rPr>
                <w:b/>
                <w:color w:val="FFFFFF"/>
                <w:sz w:val="14"/>
              </w:rPr>
              <w:t>Valuation</w:t>
            </w:r>
          </w:p>
        </w:tc>
        <w:tc>
          <w:tcPr>
            <w:tcW w:type="dxa" w:w="1296"/>
            <w:shd w:fill="1F4E79"/>
            <w:vAlign w:val="center"/>
          </w:tcPr>
          <w:p>
            <w:r/>
            <w:r>
              <w:rPr>
                <w:b/>
                <w:color w:val="FFFFFF"/>
                <w:sz w:val="14"/>
              </w:rPr>
              <w:t>Underwriter</w:t>
            </w:r>
          </w:p>
        </w:tc>
        <w:tc>
          <w:tcPr>
            <w:tcW w:type="dxa" w:w="1512"/>
            <w:shd w:fill="1F4E79"/>
            <w:vAlign w:val="center"/>
          </w:tcPr>
          <w:p>
            <w:r/>
            <w:r>
              <w:rPr>
                <w:b/>
                <w:color w:val="FFFFFF"/>
                <w:sz w:val="14"/>
              </w:rPr>
              <w:t>QA / Compliance</w:t>
            </w:r>
          </w:p>
        </w:tc>
      </w:tr>
      <w:tr>
        <w:tc>
          <w:tcPr>
            <w:tcW w:type="dxa" w:w="2880"/>
            <w:vAlign w:val="top"/>
          </w:tcPr>
          <w:p>
            <w:r/>
            <w:r>
              <w:rPr>
                <w:b w:val="0"/>
                <w:sz w:val="14"/>
              </w:rPr>
              <w:t>Application receipt</w:t>
            </w:r>
          </w:p>
        </w:tc>
        <w:tc>
          <w:tcPr>
            <w:tcW w:type="dxa" w:w="1080"/>
            <w:vAlign w:val="top"/>
          </w:tcPr>
          <w:p>
            <w:r/>
            <w:r>
              <w:rPr>
                <w:b w:val="0"/>
                <w:sz w:val="14"/>
              </w:rPr>
              <w:t>R</w:t>
            </w:r>
          </w:p>
        </w:tc>
        <w:tc>
          <w:tcPr>
            <w:tcW w:type="dxa" w:w="1080"/>
            <w:vAlign w:val="top"/>
          </w:tcPr>
          <w:p>
            <w:r/>
            <w:r>
              <w:rPr>
                <w:b w:val="0"/>
                <w:sz w:val="14"/>
              </w:rPr>
              <w:t>A/R</w:t>
            </w:r>
          </w:p>
        </w:tc>
        <w:tc>
          <w:tcPr>
            <w:tcW w:type="dxa" w:w="1080"/>
            <w:vAlign w:val="top"/>
          </w:tcPr>
          <w:p>
            <w:r/>
            <w:r>
              <w:rPr>
                <w:b w:val="0"/>
                <w:sz w:val="14"/>
              </w:rPr>
              <w:t>C</w:t>
            </w:r>
          </w:p>
        </w:tc>
        <w:tc>
          <w:tcPr>
            <w:tcW w:type="dxa" w:w="1080"/>
            <w:vAlign w:val="top"/>
          </w:tcPr>
          <w:p>
            <w:r/>
            <w:r>
              <w:rPr>
                <w:b w:val="0"/>
                <w:sz w:val="14"/>
              </w:rPr>
              <w:t>-</w:t>
            </w:r>
          </w:p>
        </w:tc>
        <w:tc>
          <w:tcPr>
            <w:tcW w:type="dxa" w:w="1296"/>
            <w:vAlign w:val="top"/>
          </w:tcPr>
          <w:p>
            <w:r/>
            <w:r>
              <w:rPr>
                <w:b w:val="0"/>
                <w:sz w:val="14"/>
              </w:rPr>
              <w:t>-</w:t>
            </w:r>
          </w:p>
        </w:tc>
        <w:tc>
          <w:tcPr>
            <w:tcW w:type="dxa" w:w="1512"/>
            <w:vAlign w:val="top"/>
          </w:tcPr>
          <w:p>
            <w:r/>
            <w:r>
              <w:rPr>
                <w:b w:val="0"/>
                <w:sz w:val="14"/>
              </w:rPr>
              <w:t>I</w:t>
            </w:r>
          </w:p>
        </w:tc>
      </w:tr>
      <w:tr>
        <w:tc>
          <w:tcPr>
            <w:tcW w:type="dxa" w:w="2880"/>
            <w:vAlign w:val="top"/>
          </w:tcPr>
          <w:p>
            <w:r/>
            <w:r>
              <w:rPr>
                <w:b w:val="0"/>
                <w:sz w:val="14"/>
              </w:rPr>
              <w:t>Completeness review</w:t>
            </w:r>
          </w:p>
        </w:tc>
        <w:tc>
          <w:tcPr>
            <w:tcW w:type="dxa" w:w="1080"/>
            <w:vAlign w:val="top"/>
          </w:tcPr>
          <w:p>
            <w:r/>
            <w:r>
              <w:rPr>
                <w:b w:val="0"/>
                <w:sz w:val="14"/>
              </w:rPr>
              <w:t>C</w:t>
            </w:r>
          </w:p>
        </w:tc>
        <w:tc>
          <w:tcPr>
            <w:tcW w:type="dxa" w:w="1080"/>
            <w:vAlign w:val="top"/>
          </w:tcPr>
          <w:p>
            <w:r/>
            <w:r>
              <w:rPr>
                <w:b w:val="0"/>
                <w:sz w:val="14"/>
              </w:rPr>
              <w:t>A/R</w:t>
            </w:r>
          </w:p>
        </w:tc>
        <w:tc>
          <w:tcPr>
            <w:tcW w:type="dxa" w:w="1080"/>
            <w:vAlign w:val="top"/>
          </w:tcPr>
          <w:p>
            <w:r/>
            <w:r>
              <w:rPr>
                <w:b w:val="0"/>
                <w:sz w:val="14"/>
              </w:rPr>
              <w:t>C</w:t>
            </w:r>
          </w:p>
        </w:tc>
        <w:tc>
          <w:tcPr>
            <w:tcW w:type="dxa" w:w="1080"/>
            <w:vAlign w:val="top"/>
          </w:tcPr>
          <w:p>
            <w:r/>
            <w:r>
              <w:rPr>
                <w:b w:val="0"/>
                <w:sz w:val="14"/>
              </w:rPr>
              <w:t>-</w:t>
            </w:r>
          </w:p>
        </w:tc>
        <w:tc>
          <w:tcPr>
            <w:tcW w:type="dxa" w:w="1296"/>
            <w:vAlign w:val="top"/>
          </w:tcPr>
          <w:p>
            <w:r/>
            <w:r>
              <w:rPr>
                <w:b w:val="0"/>
                <w:sz w:val="14"/>
              </w:rPr>
              <w:t>I</w:t>
            </w:r>
          </w:p>
        </w:tc>
        <w:tc>
          <w:tcPr>
            <w:tcW w:type="dxa" w:w="1512"/>
            <w:vAlign w:val="top"/>
          </w:tcPr>
          <w:p>
            <w:r/>
            <w:r>
              <w:rPr>
                <w:b w:val="0"/>
                <w:sz w:val="14"/>
              </w:rPr>
              <w:t>I</w:t>
            </w:r>
          </w:p>
        </w:tc>
      </w:tr>
      <w:tr>
        <w:tc>
          <w:tcPr>
            <w:tcW w:type="dxa" w:w="2880"/>
            <w:vAlign w:val="top"/>
          </w:tcPr>
          <w:p>
            <w:r/>
            <w:r>
              <w:rPr>
                <w:b w:val="0"/>
                <w:sz w:val="14"/>
              </w:rPr>
              <w:t>KYC and consent validation</w:t>
            </w:r>
          </w:p>
        </w:tc>
        <w:tc>
          <w:tcPr>
            <w:tcW w:type="dxa" w:w="1080"/>
            <w:vAlign w:val="top"/>
          </w:tcPr>
          <w:p>
            <w:r/>
            <w:r>
              <w:rPr>
                <w:b w:val="0"/>
                <w:sz w:val="14"/>
              </w:rPr>
              <w:t>R</w:t>
            </w:r>
          </w:p>
        </w:tc>
        <w:tc>
          <w:tcPr>
            <w:tcW w:type="dxa" w:w="1080"/>
            <w:vAlign w:val="top"/>
          </w:tcPr>
          <w:p>
            <w:r/>
            <w:r>
              <w:rPr>
                <w:b w:val="0"/>
                <w:sz w:val="14"/>
              </w:rPr>
              <w:t>A/R</w:t>
            </w:r>
          </w:p>
        </w:tc>
        <w:tc>
          <w:tcPr>
            <w:tcW w:type="dxa" w:w="1080"/>
            <w:vAlign w:val="top"/>
          </w:tcPr>
          <w:p>
            <w:r/>
            <w:r>
              <w:rPr>
                <w:b w:val="0"/>
                <w:sz w:val="14"/>
              </w:rPr>
              <w:t>C</w:t>
            </w:r>
          </w:p>
        </w:tc>
        <w:tc>
          <w:tcPr>
            <w:tcW w:type="dxa" w:w="1080"/>
            <w:vAlign w:val="top"/>
          </w:tcPr>
          <w:p>
            <w:r/>
            <w:r>
              <w:rPr>
                <w:b w:val="0"/>
                <w:sz w:val="14"/>
              </w:rPr>
              <w:t>-</w:t>
            </w:r>
          </w:p>
        </w:tc>
        <w:tc>
          <w:tcPr>
            <w:tcW w:type="dxa" w:w="1296"/>
            <w:vAlign w:val="top"/>
          </w:tcPr>
          <w:p>
            <w:r/>
            <w:r>
              <w:rPr>
                <w:b w:val="0"/>
                <w:sz w:val="14"/>
              </w:rPr>
              <w:t>C</w:t>
            </w:r>
          </w:p>
        </w:tc>
        <w:tc>
          <w:tcPr>
            <w:tcW w:type="dxa" w:w="1512"/>
            <w:vAlign w:val="top"/>
          </w:tcPr>
          <w:p>
            <w:r/>
            <w:r>
              <w:rPr>
                <w:b w:val="0"/>
                <w:sz w:val="14"/>
              </w:rPr>
              <w:t>C</w:t>
            </w:r>
          </w:p>
        </w:tc>
      </w:tr>
      <w:tr>
        <w:tc>
          <w:tcPr>
            <w:tcW w:type="dxa" w:w="2880"/>
            <w:vAlign w:val="top"/>
          </w:tcPr>
          <w:p>
            <w:r/>
            <w:r>
              <w:rPr>
                <w:b w:val="0"/>
                <w:sz w:val="14"/>
              </w:rPr>
              <w:t>Income / employment verification</w:t>
            </w:r>
          </w:p>
        </w:tc>
        <w:tc>
          <w:tcPr>
            <w:tcW w:type="dxa" w:w="1080"/>
            <w:vAlign w:val="top"/>
          </w:tcPr>
          <w:p>
            <w:r/>
            <w:r>
              <w:rPr>
                <w:b w:val="0"/>
                <w:sz w:val="14"/>
              </w:rPr>
              <w:t>C</w:t>
            </w:r>
          </w:p>
        </w:tc>
        <w:tc>
          <w:tcPr>
            <w:tcW w:type="dxa" w:w="1080"/>
            <w:vAlign w:val="top"/>
          </w:tcPr>
          <w:p>
            <w:r/>
            <w:r>
              <w:rPr>
                <w:b w:val="0"/>
                <w:sz w:val="14"/>
              </w:rPr>
              <w:t>R</w:t>
            </w:r>
          </w:p>
        </w:tc>
        <w:tc>
          <w:tcPr>
            <w:tcW w:type="dxa" w:w="1080"/>
            <w:vAlign w:val="top"/>
          </w:tcPr>
          <w:p>
            <w:r/>
            <w:r>
              <w:rPr>
                <w:b w:val="0"/>
                <w:sz w:val="14"/>
              </w:rPr>
              <w:t>A/R</w:t>
            </w:r>
          </w:p>
        </w:tc>
        <w:tc>
          <w:tcPr>
            <w:tcW w:type="dxa" w:w="1080"/>
            <w:vAlign w:val="top"/>
          </w:tcPr>
          <w:p>
            <w:r/>
            <w:r>
              <w:rPr>
                <w:b w:val="0"/>
                <w:sz w:val="14"/>
              </w:rPr>
              <w:t>-</w:t>
            </w:r>
          </w:p>
        </w:tc>
        <w:tc>
          <w:tcPr>
            <w:tcW w:type="dxa" w:w="1296"/>
            <w:vAlign w:val="top"/>
          </w:tcPr>
          <w:p>
            <w:r/>
            <w:r>
              <w:rPr>
                <w:b w:val="0"/>
                <w:sz w:val="14"/>
              </w:rPr>
              <w:t>C</w:t>
            </w:r>
          </w:p>
        </w:tc>
        <w:tc>
          <w:tcPr>
            <w:tcW w:type="dxa" w:w="1512"/>
            <w:vAlign w:val="top"/>
          </w:tcPr>
          <w:p>
            <w:r/>
            <w:r>
              <w:rPr>
                <w:b w:val="0"/>
                <w:sz w:val="14"/>
              </w:rPr>
              <w:t>I</w:t>
            </w:r>
          </w:p>
        </w:tc>
      </w:tr>
      <w:tr>
        <w:tc>
          <w:tcPr>
            <w:tcW w:type="dxa" w:w="2880"/>
            <w:vAlign w:val="top"/>
          </w:tcPr>
          <w:p>
            <w:r/>
            <w:r>
              <w:rPr>
                <w:b w:val="0"/>
                <w:sz w:val="14"/>
              </w:rPr>
              <w:t>Asset / liability verification</w:t>
            </w:r>
          </w:p>
        </w:tc>
        <w:tc>
          <w:tcPr>
            <w:tcW w:type="dxa" w:w="1080"/>
            <w:vAlign w:val="top"/>
          </w:tcPr>
          <w:p>
            <w:r/>
            <w:r>
              <w:rPr>
                <w:b w:val="0"/>
                <w:sz w:val="14"/>
              </w:rPr>
              <w:t>C</w:t>
            </w:r>
          </w:p>
        </w:tc>
        <w:tc>
          <w:tcPr>
            <w:tcW w:type="dxa" w:w="1080"/>
            <w:vAlign w:val="top"/>
          </w:tcPr>
          <w:p>
            <w:r/>
            <w:r>
              <w:rPr>
                <w:b w:val="0"/>
                <w:sz w:val="14"/>
              </w:rPr>
              <w:t>R</w:t>
            </w:r>
          </w:p>
        </w:tc>
        <w:tc>
          <w:tcPr>
            <w:tcW w:type="dxa" w:w="1080"/>
            <w:vAlign w:val="top"/>
          </w:tcPr>
          <w:p>
            <w:r/>
            <w:r>
              <w:rPr>
                <w:b w:val="0"/>
                <w:sz w:val="14"/>
              </w:rPr>
              <w:t>A/R</w:t>
            </w:r>
          </w:p>
        </w:tc>
        <w:tc>
          <w:tcPr>
            <w:tcW w:type="dxa" w:w="1080"/>
            <w:vAlign w:val="top"/>
          </w:tcPr>
          <w:p>
            <w:r/>
            <w:r>
              <w:rPr>
                <w:b w:val="0"/>
                <w:sz w:val="14"/>
              </w:rPr>
              <w:t>-</w:t>
            </w:r>
          </w:p>
        </w:tc>
        <w:tc>
          <w:tcPr>
            <w:tcW w:type="dxa" w:w="1296"/>
            <w:vAlign w:val="top"/>
          </w:tcPr>
          <w:p>
            <w:r/>
            <w:r>
              <w:rPr>
                <w:b w:val="0"/>
                <w:sz w:val="14"/>
              </w:rPr>
              <w:t>C</w:t>
            </w:r>
          </w:p>
        </w:tc>
        <w:tc>
          <w:tcPr>
            <w:tcW w:type="dxa" w:w="1512"/>
            <w:vAlign w:val="top"/>
          </w:tcPr>
          <w:p>
            <w:r/>
            <w:r>
              <w:rPr>
                <w:b w:val="0"/>
                <w:sz w:val="14"/>
              </w:rPr>
              <w:t>I</w:t>
            </w:r>
          </w:p>
        </w:tc>
      </w:tr>
      <w:tr>
        <w:tc>
          <w:tcPr>
            <w:tcW w:type="dxa" w:w="2880"/>
            <w:vAlign w:val="top"/>
          </w:tcPr>
          <w:p>
            <w:r/>
            <w:r>
              <w:rPr>
                <w:b w:val="0"/>
                <w:sz w:val="14"/>
              </w:rPr>
              <w:t>Valuation order and review</w:t>
            </w:r>
          </w:p>
        </w:tc>
        <w:tc>
          <w:tcPr>
            <w:tcW w:type="dxa" w:w="1080"/>
            <w:vAlign w:val="top"/>
          </w:tcPr>
          <w:p>
            <w:r/>
            <w:r>
              <w:rPr>
                <w:b w:val="0"/>
                <w:sz w:val="14"/>
              </w:rPr>
              <w:t>I</w:t>
            </w:r>
          </w:p>
        </w:tc>
        <w:tc>
          <w:tcPr>
            <w:tcW w:type="dxa" w:w="1080"/>
            <w:vAlign w:val="top"/>
          </w:tcPr>
          <w:p>
            <w:r/>
            <w:r>
              <w:rPr>
                <w:b w:val="0"/>
                <w:sz w:val="14"/>
              </w:rPr>
              <w:t>R</w:t>
            </w:r>
          </w:p>
        </w:tc>
        <w:tc>
          <w:tcPr>
            <w:tcW w:type="dxa" w:w="1080"/>
            <w:vAlign w:val="top"/>
          </w:tcPr>
          <w:p>
            <w:r/>
            <w:r>
              <w:rPr>
                <w:b w:val="0"/>
                <w:sz w:val="14"/>
              </w:rPr>
              <w:t>-</w:t>
            </w:r>
          </w:p>
        </w:tc>
        <w:tc>
          <w:tcPr>
            <w:tcW w:type="dxa" w:w="1080"/>
            <w:vAlign w:val="top"/>
          </w:tcPr>
          <w:p>
            <w:r/>
            <w:r>
              <w:rPr>
                <w:b w:val="0"/>
                <w:sz w:val="14"/>
              </w:rPr>
              <w:t>A/R</w:t>
            </w:r>
          </w:p>
        </w:tc>
        <w:tc>
          <w:tcPr>
            <w:tcW w:type="dxa" w:w="1296"/>
            <w:vAlign w:val="top"/>
          </w:tcPr>
          <w:p>
            <w:r/>
            <w:r>
              <w:rPr>
                <w:b w:val="0"/>
                <w:sz w:val="14"/>
              </w:rPr>
              <w:t>C</w:t>
            </w:r>
          </w:p>
        </w:tc>
        <w:tc>
          <w:tcPr>
            <w:tcW w:type="dxa" w:w="1512"/>
            <w:vAlign w:val="top"/>
          </w:tcPr>
          <w:p>
            <w:r/>
            <w:r>
              <w:rPr>
                <w:b w:val="0"/>
                <w:sz w:val="14"/>
              </w:rPr>
              <w:t>I</w:t>
            </w:r>
          </w:p>
        </w:tc>
      </w:tr>
      <w:tr>
        <w:tc>
          <w:tcPr>
            <w:tcW w:type="dxa" w:w="2880"/>
            <w:vAlign w:val="top"/>
          </w:tcPr>
          <w:p>
            <w:r/>
            <w:r>
              <w:rPr>
                <w:b w:val="0"/>
                <w:sz w:val="14"/>
              </w:rPr>
              <w:t>Fraud screening</w:t>
            </w:r>
          </w:p>
        </w:tc>
        <w:tc>
          <w:tcPr>
            <w:tcW w:type="dxa" w:w="1080"/>
            <w:vAlign w:val="top"/>
          </w:tcPr>
          <w:p>
            <w:r/>
            <w:r>
              <w:rPr>
                <w:b w:val="0"/>
                <w:sz w:val="14"/>
              </w:rPr>
              <w:t>C</w:t>
            </w:r>
          </w:p>
        </w:tc>
        <w:tc>
          <w:tcPr>
            <w:tcW w:type="dxa" w:w="1080"/>
            <w:vAlign w:val="top"/>
          </w:tcPr>
          <w:p>
            <w:r/>
            <w:r>
              <w:rPr>
                <w:b w:val="0"/>
                <w:sz w:val="14"/>
              </w:rPr>
              <w:t>R</w:t>
            </w:r>
          </w:p>
        </w:tc>
        <w:tc>
          <w:tcPr>
            <w:tcW w:type="dxa" w:w="1080"/>
            <w:vAlign w:val="top"/>
          </w:tcPr>
          <w:p>
            <w:r/>
            <w:r>
              <w:rPr>
                <w:b w:val="0"/>
                <w:sz w:val="14"/>
              </w:rPr>
              <w:t>R</w:t>
            </w:r>
          </w:p>
        </w:tc>
        <w:tc>
          <w:tcPr>
            <w:tcW w:type="dxa" w:w="1080"/>
            <w:vAlign w:val="top"/>
          </w:tcPr>
          <w:p>
            <w:r/>
            <w:r>
              <w:rPr>
                <w:b w:val="0"/>
                <w:sz w:val="14"/>
              </w:rPr>
              <w:t>C</w:t>
            </w:r>
          </w:p>
        </w:tc>
        <w:tc>
          <w:tcPr>
            <w:tcW w:type="dxa" w:w="1296"/>
            <w:vAlign w:val="top"/>
          </w:tcPr>
          <w:p>
            <w:r/>
            <w:r>
              <w:rPr>
                <w:b w:val="0"/>
                <w:sz w:val="14"/>
              </w:rPr>
              <w:t>A/R</w:t>
            </w:r>
          </w:p>
        </w:tc>
        <w:tc>
          <w:tcPr>
            <w:tcW w:type="dxa" w:w="1512"/>
            <w:vAlign w:val="top"/>
          </w:tcPr>
          <w:p>
            <w:r/>
            <w:r>
              <w:rPr>
                <w:b w:val="0"/>
                <w:sz w:val="14"/>
              </w:rPr>
              <w:t>C</w:t>
            </w:r>
          </w:p>
        </w:tc>
      </w:tr>
      <w:tr>
        <w:tc>
          <w:tcPr>
            <w:tcW w:type="dxa" w:w="2880"/>
            <w:vAlign w:val="top"/>
          </w:tcPr>
          <w:p>
            <w:r/>
            <w:r>
              <w:rPr>
                <w:b w:val="0"/>
                <w:sz w:val="14"/>
              </w:rPr>
              <w:t>Underwriting decision</w:t>
            </w:r>
          </w:p>
        </w:tc>
        <w:tc>
          <w:tcPr>
            <w:tcW w:type="dxa" w:w="1080"/>
            <w:vAlign w:val="top"/>
          </w:tcPr>
          <w:p>
            <w:r/>
            <w:r>
              <w:rPr>
                <w:b w:val="0"/>
                <w:sz w:val="14"/>
              </w:rPr>
              <w:t>I</w:t>
            </w:r>
          </w:p>
        </w:tc>
        <w:tc>
          <w:tcPr>
            <w:tcW w:type="dxa" w:w="1080"/>
            <w:vAlign w:val="top"/>
          </w:tcPr>
          <w:p>
            <w:r/>
            <w:r>
              <w:rPr>
                <w:b w:val="0"/>
                <w:sz w:val="14"/>
              </w:rPr>
              <w:t>C</w:t>
            </w:r>
          </w:p>
        </w:tc>
        <w:tc>
          <w:tcPr>
            <w:tcW w:type="dxa" w:w="1080"/>
            <w:vAlign w:val="top"/>
          </w:tcPr>
          <w:p>
            <w:r/>
            <w:r>
              <w:rPr>
                <w:b w:val="0"/>
                <w:sz w:val="14"/>
              </w:rPr>
              <w:t>C</w:t>
            </w:r>
          </w:p>
        </w:tc>
        <w:tc>
          <w:tcPr>
            <w:tcW w:type="dxa" w:w="1080"/>
            <w:vAlign w:val="top"/>
          </w:tcPr>
          <w:p>
            <w:r/>
            <w:r>
              <w:rPr>
                <w:b w:val="0"/>
                <w:sz w:val="14"/>
              </w:rPr>
              <w:t>C</w:t>
            </w:r>
          </w:p>
        </w:tc>
        <w:tc>
          <w:tcPr>
            <w:tcW w:type="dxa" w:w="1296"/>
            <w:vAlign w:val="top"/>
          </w:tcPr>
          <w:p>
            <w:r/>
            <w:r>
              <w:rPr>
                <w:b w:val="0"/>
                <w:sz w:val="14"/>
              </w:rPr>
              <w:t>A/R</w:t>
            </w:r>
          </w:p>
        </w:tc>
        <w:tc>
          <w:tcPr>
            <w:tcW w:type="dxa" w:w="1512"/>
            <w:vAlign w:val="top"/>
          </w:tcPr>
          <w:p>
            <w:r/>
            <w:r>
              <w:rPr>
                <w:b w:val="0"/>
                <w:sz w:val="14"/>
              </w:rPr>
              <w:t>I</w:t>
            </w:r>
          </w:p>
        </w:tc>
      </w:tr>
      <w:tr>
        <w:tc>
          <w:tcPr>
            <w:tcW w:type="dxa" w:w="2880"/>
            <w:vAlign w:val="top"/>
          </w:tcPr>
          <w:p>
            <w:r/>
            <w:r>
              <w:rPr>
                <w:b w:val="0"/>
                <w:sz w:val="14"/>
              </w:rPr>
              <w:t>Approval / decline communication</w:t>
            </w:r>
          </w:p>
        </w:tc>
        <w:tc>
          <w:tcPr>
            <w:tcW w:type="dxa" w:w="1080"/>
            <w:vAlign w:val="top"/>
          </w:tcPr>
          <w:p>
            <w:r/>
            <w:r>
              <w:rPr>
                <w:b w:val="0"/>
                <w:sz w:val="14"/>
              </w:rPr>
              <w:t>R</w:t>
            </w:r>
          </w:p>
        </w:tc>
        <w:tc>
          <w:tcPr>
            <w:tcW w:type="dxa" w:w="1080"/>
            <w:vAlign w:val="top"/>
          </w:tcPr>
          <w:p>
            <w:r/>
            <w:r>
              <w:rPr>
                <w:b w:val="0"/>
                <w:sz w:val="14"/>
              </w:rPr>
              <w:t>A/R</w:t>
            </w:r>
          </w:p>
        </w:tc>
        <w:tc>
          <w:tcPr>
            <w:tcW w:type="dxa" w:w="1080"/>
            <w:vAlign w:val="top"/>
          </w:tcPr>
          <w:p>
            <w:r/>
            <w:r>
              <w:rPr>
                <w:b w:val="0"/>
                <w:sz w:val="14"/>
              </w:rPr>
              <w:t>I</w:t>
            </w:r>
          </w:p>
        </w:tc>
        <w:tc>
          <w:tcPr>
            <w:tcW w:type="dxa" w:w="1080"/>
            <w:vAlign w:val="top"/>
          </w:tcPr>
          <w:p>
            <w:r/>
            <w:r>
              <w:rPr>
                <w:b w:val="0"/>
                <w:sz w:val="14"/>
              </w:rPr>
              <w:t>I</w:t>
            </w:r>
          </w:p>
        </w:tc>
        <w:tc>
          <w:tcPr>
            <w:tcW w:type="dxa" w:w="1296"/>
            <w:vAlign w:val="top"/>
          </w:tcPr>
          <w:p>
            <w:r/>
            <w:r>
              <w:rPr>
                <w:b w:val="0"/>
                <w:sz w:val="14"/>
              </w:rPr>
              <w:t>C</w:t>
            </w:r>
          </w:p>
        </w:tc>
        <w:tc>
          <w:tcPr>
            <w:tcW w:type="dxa" w:w="1512"/>
            <w:vAlign w:val="top"/>
          </w:tcPr>
          <w:p>
            <w:r/>
            <w:r>
              <w:rPr>
                <w:b w:val="0"/>
                <w:sz w:val="14"/>
              </w:rPr>
              <w:t>I</w:t>
            </w:r>
          </w:p>
        </w:tc>
      </w:tr>
      <w:tr>
        <w:tc>
          <w:tcPr>
            <w:tcW w:type="dxa" w:w="2880"/>
            <w:vAlign w:val="top"/>
          </w:tcPr>
          <w:p>
            <w:r/>
            <w:r>
              <w:rPr>
                <w:b w:val="0"/>
                <w:sz w:val="14"/>
              </w:rPr>
              <w:t>File closure and retention</w:t>
            </w:r>
          </w:p>
        </w:tc>
        <w:tc>
          <w:tcPr>
            <w:tcW w:type="dxa" w:w="1080"/>
            <w:vAlign w:val="top"/>
          </w:tcPr>
          <w:p>
            <w:r/>
            <w:r>
              <w:rPr>
                <w:b w:val="0"/>
                <w:sz w:val="14"/>
              </w:rPr>
              <w:t>I</w:t>
            </w:r>
          </w:p>
        </w:tc>
        <w:tc>
          <w:tcPr>
            <w:tcW w:type="dxa" w:w="1080"/>
            <w:vAlign w:val="top"/>
          </w:tcPr>
          <w:p>
            <w:r/>
            <w:r>
              <w:rPr>
                <w:b w:val="0"/>
                <w:sz w:val="14"/>
              </w:rPr>
              <w:t>A/R</w:t>
            </w:r>
          </w:p>
        </w:tc>
        <w:tc>
          <w:tcPr>
            <w:tcW w:type="dxa" w:w="1080"/>
            <w:vAlign w:val="top"/>
          </w:tcPr>
          <w:p>
            <w:r/>
            <w:r>
              <w:rPr>
                <w:b w:val="0"/>
                <w:sz w:val="14"/>
              </w:rPr>
              <w:t>I</w:t>
            </w:r>
          </w:p>
        </w:tc>
        <w:tc>
          <w:tcPr>
            <w:tcW w:type="dxa" w:w="1080"/>
            <w:vAlign w:val="top"/>
          </w:tcPr>
          <w:p>
            <w:r/>
            <w:r>
              <w:rPr>
                <w:b w:val="0"/>
                <w:sz w:val="14"/>
              </w:rPr>
              <w:t>I</w:t>
            </w:r>
          </w:p>
        </w:tc>
        <w:tc>
          <w:tcPr>
            <w:tcW w:type="dxa" w:w="1296"/>
            <w:vAlign w:val="top"/>
          </w:tcPr>
          <w:p>
            <w:r/>
            <w:r>
              <w:rPr>
                <w:b w:val="0"/>
                <w:sz w:val="14"/>
              </w:rPr>
              <w:t>I</w:t>
            </w:r>
          </w:p>
        </w:tc>
        <w:tc>
          <w:tcPr>
            <w:tcW w:type="dxa" w:w="1512"/>
            <w:vAlign w:val="top"/>
          </w:tcPr>
          <w:p>
            <w:r/>
            <w:r>
              <w:rPr>
                <w:b w:val="0"/>
                <w:sz w:val="14"/>
              </w:rPr>
              <w:t>C</w:t>
            </w:r>
          </w:p>
        </w:tc>
      </w:tr>
    </w:tbl>
    <w:p>
      <w:pPr>
        <w:spacing w:after="40"/>
      </w:pPr>
    </w:p>
    <w:p>
      <w:r>
        <w:br w:type="page"/>
      </w:r>
    </w:p>
    <w:p>
      <w:pPr>
        <w:pStyle w:val="Heading1"/>
        <w:spacing w:before="80" w:after="160"/>
      </w:pPr>
      <w:r>
        <w:t>4. End-to-End Workflow Overview</w:t>
      </w:r>
    </w:p>
    <w:p>
      <w:pPr>
        <w:pStyle w:val="Heading2"/>
      </w:pPr>
      <w:r>
        <w:t>4.1 Process Flow Summary</w:t>
      </w:r>
    </w:p>
    <w:p>
      <w:pPr>
        <w:pStyle w:val="ListNumber"/>
      </w:pPr>
      <w:r>
        <w:rPr>
          <w:sz w:val="18"/>
        </w:rPr>
        <w:t>Receive mortgage application through an approved channel and create or locate the customer/application record in the LOS.</w:t>
      </w:r>
    </w:p>
    <w:p>
      <w:pPr>
        <w:pStyle w:val="ListNumber"/>
      </w:pPr>
      <w:r>
        <w:rPr>
          <w:sz w:val="18"/>
        </w:rPr>
        <w:t>Log receipt date/time, channel, source, product, requested loan amount, property details, and applicant identifiers.</w:t>
      </w:r>
    </w:p>
    <w:p>
      <w:pPr>
        <w:pStyle w:val="ListNumber"/>
      </w:pPr>
      <w:r>
        <w:rPr>
          <w:sz w:val="18"/>
        </w:rPr>
        <w:t>Perform initial triage for duplicate applications, missing consents, prohibited jurisdictions, unsupported products, obvious eligibility failures, fraud indicators, and urgency markers.</w:t>
      </w:r>
    </w:p>
    <w:p>
      <w:pPr>
        <w:pStyle w:val="ListNumber"/>
      </w:pPr>
      <w:r>
        <w:rPr>
          <w:sz w:val="18"/>
        </w:rPr>
        <w:t>Validate completeness of required application fields, signatures, disclosures, consent forms, and supporting documents.</w:t>
      </w:r>
    </w:p>
    <w:p>
      <w:pPr>
        <w:pStyle w:val="ListNumber"/>
      </w:pPr>
      <w:r>
        <w:rPr>
          <w:sz w:val="18"/>
        </w:rPr>
        <w:t>Issue a missing-information request where the package is incomplete, and set follow-up tasks with due dates.</w:t>
      </w:r>
    </w:p>
    <w:p>
      <w:pPr>
        <w:pStyle w:val="ListNumber"/>
      </w:pPr>
      <w:r>
        <w:rPr>
          <w:sz w:val="18"/>
        </w:rPr>
        <w:t>Complete data entry and data normalization in the LOS so that decisioning fields match source documents.</w:t>
      </w:r>
    </w:p>
    <w:p>
      <w:pPr>
        <w:pStyle w:val="ListNumber"/>
      </w:pPr>
      <w:r>
        <w:rPr>
          <w:sz w:val="18"/>
        </w:rPr>
        <w:t>Conduct identity, sanctions/watchlist, privacy consent, and customer profile checks as required by policy.</w:t>
      </w:r>
    </w:p>
    <w:p>
      <w:pPr>
        <w:pStyle w:val="ListNumber"/>
      </w:pPr>
      <w:r>
        <w:rPr>
          <w:sz w:val="18"/>
        </w:rPr>
        <w:t>Verify income, employment, assets, liabilities, deposit funds, occupancy, property ownership, and credit bureau information.</w:t>
      </w:r>
    </w:p>
    <w:p>
      <w:pPr>
        <w:pStyle w:val="ListNumber"/>
      </w:pPr>
      <w:r>
        <w:rPr>
          <w:sz w:val="18"/>
        </w:rPr>
        <w:t>Order valuation and collateral checks using approved channels; review valuation result against product and policy criteria.</w:t>
      </w:r>
    </w:p>
    <w:p>
      <w:pPr>
        <w:pStyle w:val="ListNumber"/>
      </w:pPr>
      <w:r>
        <w:rPr>
          <w:sz w:val="18"/>
        </w:rPr>
        <w:t>Run serviceability, affordability, LTV, product eligibility, risk grading, and automated decisioning tools as applicable.</w:t>
      </w:r>
    </w:p>
    <w:p>
      <w:pPr>
        <w:pStyle w:val="ListNumber"/>
      </w:pPr>
      <w:r>
        <w:rPr>
          <w:sz w:val="18"/>
        </w:rPr>
        <w:t>Package the file for underwriting with a clear summary, exceptions list, and document index.</w:t>
      </w:r>
    </w:p>
    <w:p>
      <w:pPr>
        <w:pStyle w:val="ListNumber"/>
      </w:pPr>
      <w:r>
        <w:rPr>
          <w:sz w:val="18"/>
        </w:rPr>
        <w:t>Underwriter reviews, requests clarification or conditions, approves, conditionally approves, or declines within authority.</w:t>
      </w:r>
    </w:p>
    <w:p>
      <w:pPr>
        <w:pStyle w:val="ListNumber"/>
      </w:pPr>
      <w:r>
        <w:rPr>
          <w:sz w:val="18"/>
        </w:rPr>
        <w:t>Communicate the outcome using approved templates and adverse-action or decline reason requirements where applicable.</w:t>
      </w:r>
    </w:p>
    <w:p>
      <w:pPr>
        <w:pStyle w:val="ListNumber"/>
      </w:pPr>
      <w:r>
        <w:rPr>
          <w:sz w:val="18"/>
        </w:rPr>
        <w:t>If approved or conditionally approved, transfer to offer, closing, or settlement workflow with all conditions documented.</w:t>
      </w:r>
    </w:p>
    <w:p>
      <w:pPr>
        <w:pStyle w:val="ListNumber"/>
      </w:pPr>
      <w:r>
        <w:rPr>
          <w:sz w:val="18"/>
        </w:rPr>
        <w:t>If declined, withdrawn, or incomplete, close the file, retain records, update metrics, and notify relevant parties.</w:t>
      </w:r>
    </w:p>
    <w:p>
      <w:pPr>
        <w:pStyle w:val="Heading2"/>
      </w:pPr>
      <w:r>
        <w:t>4.2 Standard Status Codes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F4E79"/>
            <w:vAlign w:val="center"/>
          </w:tcPr>
          <w:p>
            <w:r/>
            <w:r>
              <w:rPr>
                <w:b/>
                <w:color w:val="FFFFFF"/>
                <w:sz w:val="16"/>
              </w:rPr>
              <w:t>Status</w:t>
            </w:r>
          </w:p>
        </w:tc>
        <w:tc>
          <w:tcPr>
            <w:tcW w:type="dxa" w:w="4392"/>
            <w:shd w:fill="1F4E79"/>
            <w:vAlign w:val="center"/>
          </w:tcPr>
          <w:p>
            <w:r/>
            <w:r>
              <w:rPr>
                <w:b/>
                <w:color w:val="FFFFFF"/>
                <w:sz w:val="16"/>
              </w:rPr>
              <w:t>Use When</w:t>
            </w:r>
          </w:p>
        </w:tc>
        <w:tc>
          <w:tcPr>
            <w:tcW w:type="dxa" w:w="3384"/>
            <w:shd w:fill="1F4E79"/>
            <w:vAlign w:val="center"/>
          </w:tcPr>
          <w:p>
            <w:r/>
            <w:r>
              <w:rPr>
                <w:b/>
                <w:color w:val="FFFFFF"/>
                <w:sz w:val="16"/>
              </w:rPr>
              <w:t>Required Action Before Moving Forward</w:t>
            </w:r>
          </w:p>
        </w:tc>
      </w:tr>
      <w:tr>
        <w:tc>
          <w:tcPr>
            <w:tcW w:type="dxa" w:w="1944"/>
            <w:vAlign w:val="top"/>
          </w:tcPr>
          <w:p>
            <w:r/>
            <w:r>
              <w:rPr>
                <w:b w:val="0"/>
                <w:sz w:val="16"/>
              </w:rPr>
              <w:t>Received</w:t>
            </w:r>
          </w:p>
        </w:tc>
        <w:tc>
          <w:tcPr>
            <w:tcW w:type="dxa" w:w="4392"/>
            <w:vAlign w:val="top"/>
          </w:tcPr>
          <w:p>
            <w:r/>
            <w:r>
              <w:rPr>
                <w:b w:val="0"/>
                <w:sz w:val="16"/>
              </w:rPr>
              <w:t>Application has arrived but has not yet been triaged.</w:t>
            </w:r>
          </w:p>
        </w:tc>
        <w:tc>
          <w:tcPr>
            <w:tcW w:type="dxa" w:w="3384"/>
            <w:vAlign w:val="top"/>
          </w:tcPr>
          <w:p>
            <w:r/>
            <w:r>
              <w:rPr>
                <w:b w:val="0"/>
                <w:sz w:val="16"/>
              </w:rPr>
              <w:t>Create LOS record, assign owner, and start SLA clock.</w:t>
            </w:r>
          </w:p>
        </w:tc>
      </w:tr>
      <w:tr>
        <w:tc>
          <w:tcPr>
            <w:tcW w:type="dxa" w:w="1944"/>
            <w:vAlign w:val="top"/>
          </w:tcPr>
          <w:p>
            <w:r/>
            <w:r>
              <w:rPr>
                <w:b w:val="0"/>
                <w:sz w:val="16"/>
              </w:rPr>
              <w:t>Intake Review</w:t>
            </w:r>
          </w:p>
        </w:tc>
        <w:tc>
          <w:tcPr>
            <w:tcW w:type="dxa" w:w="4392"/>
            <w:vAlign w:val="top"/>
          </w:tcPr>
          <w:p>
            <w:r/>
            <w:r>
              <w:rPr>
                <w:b w:val="0"/>
                <w:sz w:val="16"/>
              </w:rPr>
              <w:t>Processor is checking completeness and basic eligibility.</w:t>
            </w:r>
          </w:p>
        </w:tc>
        <w:tc>
          <w:tcPr>
            <w:tcW w:type="dxa" w:w="3384"/>
            <w:vAlign w:val="top"/>
          </w:tcPr>
          <w:p>
            <w:r/>
            <w:r>
              <w:rPr>
                <w:b w:val="0"/>
                <w:sz w:val="16"/>
              </w:rPr>
              <w:t>Complete intake checklist and record missing items.</w:t>
            </w:r>
          </w:p>
        </w:tc>
      </w:tr>
      <w:tr>
        <w:tc>
          <w:tcPr>
            <w:tcW w:type="dxa" w:w="1944"/>
            <w:vAlign w:val="top"/>
          </w:tcPr>
          <w:p>
            <w:r/>
            <w:r>
              <w:rPr>
                <w:b w:val="0"/>
                <w:sz w:val="16"/>
              </w:rPr>
              <w:t>Awaiting Applicant</w:t>
            </w:r>
          </w:p>
        </w:tc>
        <w:tc>
          <w:tcPr>
            <w:tcW w:type="dxa" w:w="4392"/>
            <w:vAlign w:val="top"/>
          </w:tcPr>
          <w:p>
            <w:r/>
            <w:r>
              <w:rPr>
                <w:b w:val="0"/>
                <w:sz w:val="16"/>
              </w:rPr>
              <w:t>Applicant or introducer must provide information.</w:t>
            </w:r>
          </w:p>
        </w:tc>
        <w:tc>
          <w:tcPr>
            <w:tcW w:type="dxa" w:w="3384"/>
            <w:vAlign w:val="top"/>
          </w:tcPr>
          <w:p>
            <w:r/>
            <w:r>
              <w:rPr>
                <w:b w:val="0"/>
                <w:sz w:val="16"/>
              </w:rPr>
              <w:t>Send request, diary follow-up, and pause or continue SLA per policy.</w:t>
            </w:r>
          </w:p>
        </w:tc>
      </w:tr>
      <w:tr>
        <w:tc>
          <w:tcPr>
            <w:tcW w:type="dxa" w:w="1944"/>
            <w:vAlign w:val="top"/>
          </w:tcPr>
          <w:p>
            <w:r/>
            <w:r>
              <w:rPr>
                <w:b w:val="0"/>
                <w:sz w:val="16"/>
              </w:rPr>
              <w:t>Verification</w:t>
            </w:r>
          </w:p>
        </w:tc>
        <w:tc>
          <w:tcPr>
            <w:tcW w:type="dxa" w:w="4392"/>
            <w:vAlign w:val="top"/>
          </w:tcPr>
          <w:p>
            <w:r/>
            <w:r>
              <w:rPr>
                <w:b w:val="0"/>
                <w:sz w:val="16"/>
              </w:rPr>
              <w:t>Source data is being verified.</w:t>
            </w:r>
          </w:p>
        </w:tc>
        <w:tc>
          <w:tcPr>
            <w:tcW w:type="dxa" w:w="3384"/>
            <w:vAlign w:val="top"/>
          </w:tcPr>
          <w:p>
            <w:r/>
            <w:r>
              <w:rPr>
                <w:b w:val="0"/>
                <w:sz w:val="16"/>
              </w:rPr>
              <w:t>Complete all applicable verification worksheets.</w:t>
            </w:r>
          </w:p>
        </w:tc>
      </w:tr>
      <w:tr>
        <w:tc>
          <w:tcPr>
            <w:tcW w:type="dxa" w:w="1944"/>
            <w:vAlign w:val="top"/>
          </w:tcPr>
          <w:p>
            <w:r/>
            <w:r>
              <w:rPr>
                <w:b w:val="0"/>
                <w:sz w:val="16"/>
              </w:rPr>
              <w:t>Valuation Pending</w:t>
            </w:r>
          </w:p>
        </w:tc>
        <w:tc>
          <w:tcPr>
            <w:tcW w:type="dxa" w:w="4392"/>
            <w:vAlign w:val="top"/>
          </w:tcPr>
          <w:p>
            <w:r/>
            <w:r>
              <w:rPr>
                <w:b w:val="0"/>
                <w:sz w:val="16"/>
              </w:rPr>
              <w:t>Collateral valuation has been ordered or is under review.</w:t>
            </w:r>
          </w:p>
        </w:tc>
        <w:tc>
          <w:tcPr>
            <w:tcW w:type="dxa" w:w="3384"/>
            <w:vAlign w:val="top"/>
          </w:tcPr>
          <w:p>
            <w:r/>
            <w:r>
              <w:rPr>
                <w:b w:val="0"/>
                <w:sz w:val="16"/>
              </w:rPr>
              <w:t>Track order, inspect report, resolve issues.</w:t>
            </w:r>
          </w:p>
        </w:tc>
      </w:tr>
      <w:tr>
        <w:tc>
          <w:tcPr>
            <w:tcW w:type="dxa" w:w="1944"/>
            <w:vAlign w:val="top"/>
          </w:tcPr>
          <w:p>
            <w:r/>
            <w:r>
              <w:rPr>
                <w:b w:val="0"/>
                <w:sz w:val="16"/>
              </w:rPr>
              <w:t>Ready for Underwriting</w:t>
            </w:r>
          </w:p>
        </w:tc>
        <w:tc>
          <w:tcPr>
            <w:tcW w:type="dxa" w:w="4392"/>
            <w:vAlign w:val="top"/>
          </w:tcPr>
          <w:p>
            <w:r/>
            <w:r>
              <w:rPr>
                <w:b w:val="0"/>
                <w:sz w:val="16"/>
              </w:rPr>
              <w:t>File is complete enough for decision review.</w:t>
            </w:r>
          </w:p>
        </w:tc>
        <w:tc>
          <w:tcPr>
            <w:tcW w:type="dxa" w:w="3384"/>
            <w:vAlign w:val="top"/>
          </w:tcPr>
          <w:p>
            <w:r/>
            <w:r>
              <w:rPr>
                <w:b w:val="0"/>
                <w:sz w:val="16"/>
              </w:rPr>
              <w:t>Upload package and summary.</w:t>
            </w:r>
          </w:p>
        </w:tc>
      </w:tr>
      <w:tr>
        <w:tc>
          <w:tcPr>
            <w:tcW w:type="dxa" w:w="1944"/>
            <w:vAlign w:val="top"/>
          </w:tcPr>
          <w:p>
            <w:r/>
            <w:r>
              <w:rPr>
                <w:b w:val="0"/>
                <w:sz w:val="16"/>
              </w:rPr>
              <w:t>Underwriting Review</w:t>
            </w:r>
          </w:p>
        </w:tc>
        <w:tc>
          <w:tcPr>
            <w:tcW w:type="dxa" w:w="4392"/>
            <w:vAlign w:val="top"/>
          </w:tcPr>
          <w:p>
            <w:r/>
            <w:r>
              <w:rPr>
                <w:b w:val="0"/>
                <w:sz w:val="16"/>
              </w:rPr>
              <w:t>Underwriter is assessing credit risk and policy compliance.</w:t>
            </w:r>
          </w:p>
        </w:tc>
        <w:tc>
          <w:tcPr>
            <w:tcW w:type="dxa" w:w="3384"/>
            <w:vAlign w:val="top"/>
          </w:tcPr>
          <w:p>
            <w:r/>
            <w:r>
              <w:rPr>
                <w:b w:val="0"/>
                <w:sz w:val="16"/>
              </w:rPr>
              <w:t>Respond to questions and document clarifications.</w:t>
            </w:r>
          </w:p>
        </w:tc>
      </w:tr>
      <w:tr>
        <w:tc>
          <w:tcPr>
            <w:tcW w:type="dxa" w:w="1944"/>
            <w:vAlign w:val="top"/>
          </w:tcPr>
          <w:p>
            <w:r/>
            <w:r>
              <w:rPr>
                <w:b w:val="0"/>
                <w:sz w:val="16"/>
              </w:rPr>
              <w:t>Conditioned</w:t>
            </w:r>
          </w:p>
        </w:tc>
        <w:tc>
          <w:tcPr>
            <w:tcW w:type="dxa" w:w="4392"/>
            <w:vAlign w:val="top"/>
          </w:tcPr>
          <w:p>
            <w:r/>
            <w:r>
              <w:rPr>
                <w:b w:val="0"/>
                <w:sz w:val="16"/>
              </w:rPr>
              <w:t>Conditional approval has been issued.</w:t>
            </w:r>
          </w:p>
        </w:tc>
        <w:tc>
          <w:tcPr>
            <w:tcW w:type="dxa" w:w="3384"/>
            <w:vAlign w:val="top"/>
          </w:tcPr>
          <w:p>
            <w:r/>
            <w:r>
              <w:rPr>
                <w:b w:val="0"/>
                <w:sz w:val="16"/>
              </w:rPr>
              <w:t>Track, clear, and evidence each condition.</w:t>
            </w:r>
          </w:p>
        </w:tc>
      </w:tr>
      <w:tr>
        <w:tc>
          <w:tcPr>
            <w:tcW w:type="dxa" w:w="1944"/>
            <w:vAlign w:val="top"/>
          </w:tcPr>
          <w:p>
            <w:r/>
            <w:r>
              <w:rPr>
                <w:b w:val="0"/>
                <w:sz w:val="16"/>
              </w:rPr>
              <w:t>Approved</w:t>
            </w:r>
          </w:p>
        </w:tc>
        <w:tc>
          <w:tcPr>
            <w:tcW w:type="dxa" w:w="4392"/>
            <w:vAlign w:val="top"/>
          </w:tcPr>
          <w:p>
            <w:r/>
            <w:r>
              <w:rPr>
                <w:b w:val="0"/>
                <w:sz w:val="16"/>
              </w:rPr>
              <w:t>Final approval granted.</w:t>
            </w:r>
          </w:p>
        </w:tc>
        <w:tc>
          <w:tcPr>
            <w:tcW w:type="dxa" w:w="3384"/>
            <w:vAlign w:val="top"/>
          </w:tcPr>
          <w:p>
            <w:r/>
            <w:r>
              <w:rPr>
                <w:b w:val="0"/>
                <w:sz w:val="16"/>
              </w:rPr>
              <w:t>Issue approval notice and hand off to closing.</w:t>
            </w:r>
          </w:p>
        </w:tc>
      </w:tr>
      <w:tr>
        <w:tc>
          <w:tcPr>
            <w:tcW w:type="dxa" w:w="1944"/>
            <w:vAlign w:val="top"/>
          </w:tcPr>
          <w:p>
            <w:r/>
            <w:r>
              <w:rPr>
                <w:b w:val="0"/>
                <w:sz w:val="16"/>
              </w:rPr>
              <w:t>Declined</w:t>
            </w:r>
          </w:p>
        </w:tc>
        <w:tc>
          <w:tcPr>
            <w:tcW w:type="dxa" w:w="4392"/>
            <w:vAlign w:val="top"/>
          </w:tcPr>
          <w:p>
            <w:r/>
            <w:r>
              <w:rPr>
                <w:b w:val="0"/>
                <w:sz w:val="16"/>
              </w:rPr>
              <w:t>Application declined.</w:t>
            </w:r>
          </w:p>
        </w:tc>
        <w:tc>
          <w:tcPr>
            <w:tcW w:type="dxa" w:w="3384"/>
            <w:vAlign w:val="top"/>
          </w:tcPr>
          <w:p>
            <w:r/>
            <w:r>
              <w:rPr>
                <w:b w:val="0"/>
                <w:sz w:val="16"/>
              </w:rPr>
              <w:t>Send compliant notice and close file.</w:t>
            </w:r>
          </w:p>
        </w:tc>
      </w:tr>
    </w:tbl>
    <w:p>
      <w:pPr>
        <w:spacing w:after="40"/>
      </w:pPr>
    </w:p>
    <w:p>
      <w:pPr>
        <w:pStyle w:val="Heading2"/>
      </w:pPr>
      <w:r>
        <w:t>4.3 SLA Targets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304"/>
            <w:shd w:fill="1F4E79"/>
            <w:vAlign w:val="center"/>
          </w:tcPr>
          <w:p>
            <w:r/>
            <w:r>
              <w:rPr>
                <w:b/>
                <w:color w:val="FFFFFF"/>
                <w:sz w:val="15"/>
              </w:rPr>
              <w:t>Stage</w:t>
            </w:r>
          </w:p>
        </w:tc>
        <w:tc>
          <w:tcPr>
            <w:tcW w:type="dxa" w:w="1656"/>
            <w:shd w:fill="1F4E79"/>
            <w:vAlign w:val="center"/>
          </w:tcPr>
          <w:p>
            <w:r/>
            <w:r>
              <w:rPr>
                <w:b/>
                <w:color w:val="FFFFFF"/>
                <w:sz w:val="15"/>
              </w:rPr>
              <w:t>Target Time</w:t>
            </w:r>
          </w:p>
        </w:tc>
        <w:tc>
          <w:tcPr>
            <w:tcW w:type="dxa" w:w="1944"/>
            <w:shd w:fill="1F4E79"/>
            <w:vAlign w:val="center"/>
          </w:tcPr>
          <w:p>
            <w:r/>
            <w:r>
              <w:rPr>
                <w:b/>
                <w:color w:val="FFFFFF"/>
                <w:sz w:val="15"/>
              </w:rPr>
              <w:t>SLA Start</w:t>
            </w:r>
          </w:p>
        </w:tc>
        <w:tc>
          <w:tcPr>
            <w:tcW w:type="dxa" w:w="2016"/>
            <w:shd w:fill="1F4E79"/>
            <w:vAlign w:val="center"/>
          </w:tcPr>
          <w:p>
            <w:r/>
            <w:r>
              <w:rPr>
                <w:b/>
                <w:color w:val="FFFFFF"/>
                <w:sz w:val="15"/>
              </w:rPr>
              <w:t>SLA Stop</w:t>
            </w:r>
          </w:p>
        </w:tc>
        <w:tc>
          <w:tcPr>
            <w:tcW w:type="dxa" w:w="2448"/>
            <w:shd w:fill="1F4E79"/>
            <w:vAlign w:val="center"/>
          </w:tcPr>
          <w:p>
            <w:r/>
            <w:r>
              <w:rPr>
                <w:b/>
                <w:color w:val="FFFFFF"/>
                <w:sz w:val="15"/>
              </w:rPr>
              <w:t>Escalation Trigger</w:t>
            </w:r>
          </w:p>
        </w:tc>
      </w:tr>
      <w:tr>
        <w:tc>
          <w:tcPr>
            <w:tcW w:type="dxa" w:w="2304"/>
            <w:vAlign w:val="top"/>
          </w:tcPr>
          <w:p>
            <w:r/>
            <w:r>
              <w:rPr>
                <w:b w:val="0"/>
                <w:sz w:val="15"/>
              </w:rPr>
              <w:t>Initial receipt logging</w:t>
            </w:r>
          </w:p>
        </w:tc>
        <w:tc>
          <w:tcPr>
            <w:tcW w:type="dxa" w:w="1656"/>
            <w:vAlign w:val="top"/>
          </w:tcPr>
          <w:p>
            <w:r/>
            <w:r>
              <w:rPr>
                <w:b w:val="0"/>
                <w:sz w:val="15"/>
              </w:rPr>
              <w:t>Same business day</w:t>
            </w:r>
          </w:p>
        </w:tc>
        <w:tc>
          <w:tcPr>
            <w:tcW w:type="dxa" w:w="1944"/>
            <w:vAlign w:val="top"/>
          </w:tcPr>
          <w:p>
            <w:r/>
            <w:r>
              <w:rPr>
                <w:b w:val="0"/>
                <w:sz w:val="15"/>
              </w:rPr>
              <w:t>Application received</w:t>
            </w:r>
          </w:p>
        </w:tc>
        <w:tc>
          <w:tcPr>
            <w:tcW w:type="dxa" w:w="2016"/>
            <w:vAlign w:val="top"/>
          </w:tcPr>
          <w:p>
            <w:r/>
            <w:r>
              <w:rPr>
                <w:b w:val="0"/>
                <w:sz w:val="15"/>
              </w:rPr>
              <w:t>LOS record created</w:t>
            </w:r>
          </w:p>
        </w:tc>
        <w:tc>
          <w:tcPr>
            <w:tcW w:type="dxa" w:w="2448"/>
            <w:vAlign w:val="top"/>
          </w:tcPr>
          <w:p>
            <w:r/>
            <w:r>
              <w:rPr>
                <w:b w:val="0"/>
                <w:sz w:val="15"/>
              </w:rPr>
              <w:t>Any unlogged item at end of day</w:t>
            </w:r>
          </w:p>
        </w:tc>
      </w:tr>
      <w:tr>
        <w:tc>
          <w:tcPr>
            <w:tcW w:type="dxa" w:w="2304"/>
            <w:vAlign w:val="top"/>
          </w:tcPr>
          <w:p>
            <w:r/>
            <w:r>
              <w:rPr>
                <w:b w:val="0"/>
                <w:sz w:val="15"/>
              </w:rPr>
              <w:t>Completeness review</w:t>
            </w:r>
          </w:p>
        </w:tc>
        <w:tc>
          <w:tcPr>
            <w:tcW w:type="dxa" w:w="1656"/>
            <w:vAlign w:val="top"/>
          </w:tcPr>
          <w:p>
            <w:r/>
            <w:r>
              <w:rPr>
                <w:b w:val="0"/>
                <w:sz w:val="15"/>
              </w:rPr>
              <w:t>1 business day</w:t>
            </w:r>
          </w:p>
        </w:tc>
        <w:tc>
          <w:tcPr>
            <w:tcW w:type="dxa" w:w="1944"/>
            <w:vAlign w:val="top"/>
          </w:tcPr>
          <w:p>
            <w:r/>
            <w:r>
              <w:rPr>
                <w:b w:val="0"/>
                <w:sz w:val="15"/>
              </w:rPr>
              <w:t>LOS record created</w:t>
            </w:r>
          </w:p>
        </w:tc>
        <w:tc>
          <w:tcPr>
            <w:tcW w:type="dxa" w:w="2016"/>
            <w:vAlign w:val="top"/>
          </w:tcPr>
          <w:p>
            <w:r/>
            <w:r>
              <w:rPr>
                <w:b w:val="0"/>
                <w:sz w:val="15"/>
              </w:rPr>
              <w:t>Checklist completed</w:t>
            </w:r>
          </w:p>
        </w:tc>
        <w:tc>
          <w:tcPr>
            <w:tcW w:type="dxa" w:w="2448"/>
            <w:vAlign w:val="top"/>
          </w:tcPr>
          <w:p>
            <w:r/>
            <w:r>
              <w:rPr>
                <w:b w:val="0"/>
                <w:sz w:val="15"/>
              </w:rPr>
              <w:t>Missing documents not requested by next business day</w:t>
            </w:r>
          </w:p>
        </w:tc>
      </w:tr>
      <w:tr>
        <w:tc>
          <w:tcPr>
            <w:tcW w:type="dxa" w:w="2304"/>
            <w:vAlign w:val="top"/>
          </w:tcPr>
          <w:p>
            <w:r/>
            <w:r>
              <w:rPr>
                <w:b w:val="0"/>
                <w:sz w:val="15"/>
              </w:rPr>
              <w:t>Document follow-up</w:t>
            </w:r>
          </w:p>
        </w:tc>
        <w:tc>
          <w:tcPr>
            <w:tcW w:type="dxa" w:w="1656"/>
            <w:vAlign w:val="top"/>
          </w:tcPr>
          <w:p>
            <w:r/>
            <w:r>
              <w:rPr>
                <w:b w:val="0"/>
                <w:sz w:val="15"/>
              </w:rPr>
              <w:t>Every 2-3 business days</w:t>
            </w:r>
          </w:p>
        </w:tc>
        <w:tc>
          <w:tcPr>
            <w:tcW w:type="dxa" w:w="1944"/>
            <w:vAlign w:val="top"/>
          </w:tcPr>
          <w:p>
            <w:r/>
            <w:r>
              <w:rPr>
                <w:b w:val="0"/>
                <w:sz w:val="15"/>
              </w:rPr>
              <w:t>Missing request sent</w:t>
            </w:r>
          </w:p>
        </w:tc>
        <w:tc>
          <w:tcPr>
            <w:tcW w:type="dxa" w:w="2016"/>
            <w:vAlign w:val="top"/>
          </w:tcPr>
          <w:p>
            <w:r/>
            <w:r>
              <w:rPr>
                <w:b w:val="0"/>
                <w:sz w:val="15"/>
              </w:rPr>
              <w:t>Items received or file closed</w:t>
            </w:r>
          </w:p>
        </w:tc>
        <w:tc>
          <w:tcPr>
            <w:tcW w:type="dxa" w:w="2448"/>
            <w:vAlign w:val="top"/>
          </w:tcPr>
          <w:p>
            <w:r/>
            <w:r>
              <w:rPr>
                <w:b w:val="0"/>
                <w:sz w:val="15"/>
              </w:rPr>
              <w:t>No response after defined chase cycle</w:t>
            </w:r>
          </w:p>
        </w:tc>
      </w:tr>
      <w:tr>
        <w:tc>
          <w:tcPr>
            <w:tcW w:type="dxa" w:w="2304"/>
            <w:vAlign w:val="top"/>
          </w:tcPr>
          <w:p>
            <w:r/>
            <w:r>
              <w:rPr>
                <w:b w:val="0"/>
                <w:sz w:val="15"/>
              </w:rPr>
              <w:t>Verification</w:t>
            </w:r>
          </w:p>
        </w:tc>
        <w:tc>
          <w:tcPr>
            <w:tcW w:type="dxa" w:w="1656"/>
            <w:vAlign w:val="top"/>
          </w:tcPr>
          <w:p>
            <w:r/>
            <w:r>
              <w:rPr>
                <w:b w:val="0"/>
                <w:sz w:val="15"/>
              </w:rPr>
              <w:t>2-5 business days</w:t>
            </w:r>
          </w:p>
        </w:tc>
        <w:tc>
          <w:tcPr>
            <w:tcW w:type="dxa" w:w="1944"/>
            <w:vAlign w:val="top"/>
          </w:tcPr>
          <w:p>
            <w:r/>
            <w:r>
              <w:rPr>
                <w:b w:val="0"/>
                <w:sz w:val="15"/>
              </w:rPr>
              <w:t>Complete documents received</w:t>
            </w:r>
          </w:p>
        </w:tc>
        <w:tc>
          <w:tcPr>
            <w:tcW w:type="dxa" w:w="2016"/>
            <w:vAlign w:val="top"/>
          </w:tcPr>
          <w:p>
            <w:r/>
            <w:r>
              <w:rPr>
                <w:b w:val="0"/>
                <w:sz w:val="15"/>
              </w:rPr>
              <w:t>Verification complete</w:t>
            </w:r>
          </w:p>
        </w:tc>
        <w:tc>
          <w:tcPr>
            <w:tcW w:type="dxa" w:w="2448"/>
            <w:vAlign w:val="top"/>
          </w:tcPr>
          <w:p>
            <w:r/>
            <w:r>
              <w:rPr>
                <w:b w:val="0"/>
                <w:sz w:val="15"/>
              </w:rPr>
              <w:t>Employer, bank, or third-party delay beyond SLA</w:t>
            </w:r>
          </w:p>
        </w:tc>
      </w:tr>
      <w:tr>
        <w:tc>
          <w:tcPr>
            <w:tcW w:type="dxa" w:w="2304"/>
            <w:vAlign w:val="top"/>
          </w:tcPr>
          <w:p>
            <w:r/>
            <w:r>
              <w:rPr>
                <w:b w:val="0"/>
                <w:sz w:val="15"/>
              </w:rPr>
              <w:t>Valuation order</w:t>
            </w:r>
          </w:p>
        </w:tc>
        <w:tc>
          <w:tcPr>
            <w:tcW w:type="dxa" w:w="1656"/>
            <w:vAlign w:val="top"/>
          </w:tcPr>
          <w:p>
            <w:r/>
            <w:r>
              <w:rPr>
                <w:b w:val="0"/>
                <w:sz w:val="15"/>
              </w:rPr>
              <w:t>Same/next business day</w:t>
            </w:r>
          </w:p>
        </w:tc>
        <w:tc>
          <w:tcPr>
            <w:tcW w:type="dxa" w:w="1944"/>
            <w:vAlign w:val="top"/>
          </w:tcPr>
          <w:p>
            <w:r/>
            <w:r>
              <w:rPr>
                <w:b w:val="0"/>
                <w:sz w:val="15"/>
              </w:rPr>
              <w:t>Property info complete</w:t>
            </w:r>
          </w:p>
        </w:tc>
        <w:tc>
          <w:tcPr>
            <w:tcW w:type="dxa" w:w="2016"/>
            <w:vAlign w:val="top"/>
          </w:tcPr>
          <w:p>
            <w:r/>
            <w:r>
              <w:rPr>
                <w:b w:val="0"/>
                <w:sz w:val="15"/>
              </w:rPr>
              <w:t>Order submitted</w:t>
            </w:r>
          </w:p>
        </w:tc>
        <w:tc>
          <w:tcPr>
            <w:tcW w:type="dxa" w:w="2448"/>
            <w:vAlign w:val="top"/>
          </w:tcPr>
          <w:p>
            <w:r/>
            <w:r>
              <w:rPr>
                <w:b w:val="0"/>
                <w:sz w:val="15"/>
              </w:rPr>
              <w:t>Urgent settlement or delayed vendor</w:t>
            </w:r>
          </w:p>
        </w:tc>
      </w:tr>
      <w:tr>
        <w:tc>
          <w:tcPr>
            <w:tcW w:type="dxa" w:w="2304"/>
            <w:vAlign w:val="top"/>
          </w:tcPr>
          <w:p>
            <w:r/>
            <w:r>
              <w:rPr>
                <w:b w:val="0"/>
                <w:sz w:val="15"/>
              </w:rPr>
              <w:t>Underwriting package</w:t>
            </w:r>
          </w:p>
        </w:tc>
        <w:tc>
          <w:tcPr>
            <w:tcW w:type="dxa" w:w="1656"/>
            <w:vAlign w:val="top"/>
          </w:tcPr>
          <w:p>
            <w:r/>
            <w:r>
              <w:rPr>
                <w:b w:val="0"/>
                <w:sz w:val="15"/>
              </w:rPr>
              <w:t>Same day after verification complete</w:t>
            </w:r>
          </w:p>
        </w:tc>
        <w:tc>
          <w:tcPr>
            <w:tcW w:type="dxa" w:w="1944"/>
            <w:vAlign w:val="top"/>
          </w:tcPr>
          <w:p>
            <w:r/>
            <w:r>
              <w:rPr>
                <w:b w:val="0"/>
                <w:sz w:val="15"/>
              </w:rPr>
              <w:t>File ready</w:t>
            </w:r>
          </w:p>
        </w:tc>
        <w:tc>
          <w:tcPr>
            <w:tcW w:type="dxa" w:w="2016"/>
            <w:vAlign w:val="top"/>
          </w:tcPr>
          <w:p>
            <w:r/>
            <w:r>
              <w:rPr>
                <w:b w:val="0"/>
                <w:sz w:val="15"/>
              </w:rPr>
              <w:t>Submitted to underwriting</w:t>
            </w:r>
          </w:p>
        </w:tc>
        <w:tc>
          <w:tcPr>
            <w:tcW w:type="dxa" w:w="2448"/>
            <w:vAlign w:val="top"/>
          </w:tcPr>
          <w:p>
            <w:r/>
            <w:r>
              <w:rPr>
                <w:b w:val="0"/>
                <w:sz w:val="15"/>
              </w:rPr>
              <w:t>Incomplete or unclear summary</w:t>
            </w:r>
          </w:p>
        </w:tc>
      </w:tr>
      <w:tr>
        <w:tc>
          <w:tcPr>
            <w:tcW w:type="dxa" w:w="2304"/>
            <w:vAlign w:val="top"/>
          </w:tcPr>
          <w:p>
            <w:r/>
            <w:r>
              <w:rPr>
                <w:b w:val="0"/>
                <w:sz w:val="15"/>
              </w:rPr>
              <w:t>Decision communication</w:t>
            </w:r>
          </w:p>
        </w:tc>
        <w:tc>
          <w:tcPr>
            <w:tcW w:type="dxa" w:w="1656"/>
            <w:vAlign w:val="top"/>
          </w:tcPr>
          <w:p>
            <w:r/>
            <w:r>
              <w:rPr>
                <w:b w:val="0"/>
                <w:sz w:val="15"/>
              </w:rPr>
              <w:t>Same/next business day</w:t>
            </w:r>
          </w:p>
        </w:tc>
        <w:tc>
          <w:tcPr>
            <w:tcW w:type="dxa" w:w="1944"/>
            <w:vAlign w:val="top"/>
          </w:tcPr>
          <w:p>
            <w:r/>
            <w:r>
              <w:rPr>
                <w:b w:val="0"/>
                <w:sz w:val="15"/>
              </w:rPr>
              <w:t>Decision recorded</w:t>
            </w:r>
          </w:p>
        </w:tc>
        <w:tc>
          <w:tcPr>
            <w:tcW w:type="dxa" w:w="2016"/>
            <w:vAlign w:val="top"/>
          </w:tcPr>
          <w:p>
            <w:r/>
            <w:r>
              <w:rPr>
                <w:b w:val="0"/>
                <w:sz w:val="15"/>
              </w:rPr>
              <w:t>Notice sent</w:t>
            </w:r>
          </w:p>
        </w:tc>
        <w:tc>
          <w:tcPr>
            <w:tcW w:type="dxa" w:w="2448"/>
            <w:vAlign w:val="top"/>
          </w:tcPr>
          <w:p>
            <w:r/>
            <w:r>
              <w:rPr>
                <w:b w:val="0"/>
                <w:sz w:val="15"/>
              </w:rPr>
              <w:t>Decline reason, condition, or template unclear</w:t>
            </w:r>
          </w:p>
        </w:tc>
      </w:tr>
    </w:tbl>
    <w:p>
      <w:pPr>
        <w:spacing w:after="40"/>
      </w:pPr>
    </w:p>
    <w:p>
      <w:r>
        <w:br w:type="page"/>
      </w:r>
    </w:p>
    <w:p>
      <w:pPr>
        <w:pStyle w:val="Heading1"/>
        <w:spacing w:before="80" w:after="160"/>
      </w:pPr>
      <w:r>
        <w:t>5. Application Receipt and Logging</w:t>
      </w:r>
    </w:p>
    <w:p>
      <w:pPr>
        <w:pStyle w:val="Heading2"/>
      </w:pPr>
      <w:r>
        <w:t>5.1 Accepted Intake Channels</w:t>
      </w:r>
    </w:p>
    <w:p>
      <w:pPr>
        <w:pStyle w:val="ListBullet"/>
      </w:pPr>
      <w:r>
        <w:rPr>
          <w:sz w:val="19"/>
        </w:rPr>
        <w:t>Online application portal, branch, broker/intermediary portal, call center-assisted application, relationship manager submission, refinance campaign workflow, and approved bulk-upload or API channels.</w:t>
      </w:r>
    </w:p>
    <w:p>
      <w:pPr>
        <w:pStyle w:val="ListBullet"/>
      </w:pPr>
      <w:r>
        <w:rPr>
          <w:sz w:val="19"/>
        </w:rPr>
        <w:t>Applications received outside approved channels must be redirected or captured through an approved method before processing begins.</w:t>
      </w:r>
    </w:p>
    <w:p>
      <w:pPr>
        <w:pStyle w:val="ListBullet"/>
      </w:pPr>
      <w:r>
        <w:rPr>
          <w:sz w:val="19"/>
        </w:rPr>
        <w:t>Email submissions containing personal information must be handled under secure-mail rules and moved into the DMS promptly.</w:t>
      </w:r>
    </w:p>
    <w:p>
      <w:pPr>
        <w:pStyle w:val="Heading2"/>
      </w:pPr>
      <w:r>
        <w:t>5.2 Receipt Controls</w:t>
      </w:r>
    </w:p>
    <w:p>
      <w:pPr>
        <w:pStyle w:val="ListBullet"/>
      </w:pPr>
      <w:r>
        <w:rPr>
          <w:sz w:val="19"/>
        </w:rPr>
        <w:t>Assign a unique application number and link all applicants, properties, products, and source references.</w:t>
      </w:r>
    </w:p>
    <w:p>
      <w:pPr>
        <w:pStyle w:val="ListBullet"/>
      </w:pPr>
      <w:r>
        <w:rPr>
          <w:sz w:val="19"/>
        </w:rPr>
        <w:t>Stamp the receipt date/time and identify whether the application is new, duplicate, resubmission, top-up, refinance, or variation.</w:t>
      </w:r>
    </w:p>
    <w:p>
      <w:pPr>
        <w:pStyle w:val="ListBullet"/>
      </w:pPr>
      <w:r>
        <w:rPr>
          <w:sz w:val="19"/>
        </w:rPr>
        <w:t>Validate the application source, broker/loan officer identifier, campaign code, and referral permissions.</w:t>
      </w:r>
    </w:p>
    <w:p>
      <w:pPr>
        <w:pStyle w:val="ListBullet"/>
      </w:pPr>
      <w:r>
        <w:rPr>
          <w:sz w:val="19"/>
        </w:rPr>
        <w:t>Check for duplicate active applications using applicant identifiers, property address, and contact details.</w:t>
      </w:r>
    </w:p>
    <w:p>
      <w:pPr>
        <w:pStyle w:val="ListBullet"/>
      </w:pPr>
      <w:r>
        <w:rPr>
          <w:sz w:val="19"/>
        </w:rPr>
        <w:t>Record any urgent settlement deadline, rate-lock deadline, construction milestone, or customer vulnerability indicator.</w:t>
      </w:r>
    </w:p>
    <w:p>
      <w:pPr>
        <w:pStyle w:val="Heading2"/>
      </w:pPr>
      <w:r>
        <w:t>5.3 Minimum Logging Data</w:t>
      </w:r>
    </w:p>
    <w:p>
      <w:pPr>
        <w:pStyle w:val="ListBullet"/>
      </w:pPr>
      <w:r>
        <w:rPr>
          <w:sz w:val="19"/>
        </w:rPr>
        <w:t>Applicant legal name, date of birth, contact details, tax residency status if applicable, preferred communication channel, and consent status.</w:t>
      </w:r>
    </w:p>
    <w:p>
      <w:pPr>
        <w:pStyle w:val="ListBullet"/>
      </w:pPr>
      <w:r>
        <w:rPr>
          <w:sz w:val="19"/>
        </w:rPr>
        <w:t>Loan purpose, requested amount, product type, term, repayment type, interest type, and requested features.</w:t>
      </w:r>
    </w:p>
    <w:p>
      <w:pPr>
        <w:pStyle w:val="ListBullet"/>
      </w:pPr>
      <w:r>
        <w:rPr>
          <w:sz w:val="19"/>
        </w:rPr>
        <w:t>Property address, security type, occupancy, estimated value, purchase price where applicable, and ownership structure.</w:t>
      </w:r>
    </w:p>
    <w:p>
      <w:pPr>
        <w:pStyle w:val="ListBullet"/>
      </w:pPr>
      <w:r>
        <w:rPr>
          <w:sz w:val="19"/>
        </w:rPr>
        <w:t>Introducer, branch, loan officer, broker, campaign, or partner reference.</w:t>
      </w:r>
    </w:p>
    <w:p>
      <w:pPr>
        <w:pStyle w:val="ListBullet"/>
      </w:pPr>
      <w:r>
        <w:rPr>
          <w:sz w:val="19"/>
        </w:rPr>
        <w:t>Current status, assigned processor, SLA start date, and initial risk notes.</w:t>
      </w:r>
    </w:p>
    <w:p>
      <w:pPr>
        <w:pStyle w:val="Heading2"/>
      </w:pPr>
      <w:r>
        <w:t>5.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6. Initial Triage and Eligibility Screening</w:t>
      </w:r>
    </w:p>
    <w:p>
      <w:pPr>
        <w:pStyle w:val="Heading2"/>
      </w:pPr>
      <w:r>
        <w:t>6.1 Triage Objective</w:t>
      </w:r>
    </w:p>
    <w:p>
      <w:pPr>
        <w:pStyle w:val="ListBullet"/>
      </w:pPr>
      <w:r>
        <w:rPr>
          <w:sz w:val="19"/>
        </w:rPr>
        <w:t>The triage stage identifies applications that can proceed, require urgent information, need specialist review, or must be rejected as out-of-scope before full processing effort is spent.</w:t>
      </w:r>
    </w:p>
    <w:p>
      <w:pPr>
        <w:pStyle w:val="ListBullet"/>
      </w:pPr>
      <w:r>
        <w:rPr>
          <w:sz w:val="19"/>
        </w:rPr>
        <w:t>Triage is not a final credit decision unless a clear, policy-defined knockout rule applies and the staff member has authority to apply it.</w:t>
      </w:r>
    </w:p>
    <w:p>
      <w:pPr>
        <w:pStyle w:val="Heading2"/>
      </w:pPr>
      <w:r>
        <w:t>6.2 Basic Eligibility Checks</w:t>
      </w:r>
    </w:p>
    <w:p>
      <w:pPr>
        <w:pStyle w:val="ListBullet"/>
      </w:pPr>
      <w:r>
        <w:rPr>
          <w:sz w:val="19"/>
        </w:rPr>
        <w:t>Product and loan purpose are supported by current product rules.</w:t>
      </w:r>
    </w:p>
    <w:p>
      <w:pPr>
        <w:pStyle w:val="ListBullet"/>
      </w:pPr>
      <w:r>
        <w:rPr>
          <w:sz w:val="19"/>
        </w:rPr>
        <w:t>Applicant type is permitted: individual, joint applicants, company, trust, partnership, or other entity as policy allows.</w:t>
      </w:r>
    </w:p>
    <w:p>
      <w:pPr>
        <w:pStyle w:val="ListBullet"/>
      </w:pPr>
      <w:r>
        <w:rPr>
          <w:sz w:val="19"/>
        </w:rPr>
        <w:t>Property location, security type, title type, construction status, and zoning are acceptable or referred to specialists.</w:t>
      </w:r>
    </w:p>
    <w:p>
      <w:pPr>
        <w:pStyle w:val="ListBullet"/>
      </w:pPr>
      <w:r>
        <w:rPr>
          <w:sz w:val="19"/>
        </w:rPr>
        <w:t>Requested loan amount, term, repayment type, and LTV appear within maximum product boundaries.</w:t>
      </w:r>
    </w:p>
    <w:p>
      <w:pPr>
        <w:pStyle w:val="ListBullet"/>
      </w:pPr>
      <w:r>
        <w:rPr>
          <w:sz w:val="19"/>
        </w:rPr>
        <w:t>Applicant age, residency, employment type, income type, and credit profile do not present an obvious policy prohibition.</w:t>
      </w:r>
    </w:p>
    <w:p>
      <w:pPr>
        <w:pStyle w:val="Heading2"/>
      </w:pPr>
      <w:r>
        <w:t>6.3 Triage Outcomes</w:t>
      </w:r>
    </w:p>
    <w:p>
      <w:pPr>
        <w:pStyle w:val="ListBullet"/>
      </w:pPr>
      <w:r>
        <w:rPr>
          <w:sz w:val="19"/>
        </w:rPr>
        <w:t>Proceed to completeness review if the application passes basic screening.</w:t>
      </w:r>
    </w:p>
    <w:p>
      <w:pPr>
        <w:pStyle w:val="ListBullet"/>
      </w:pPr>
      <w:r>
        <w:rPr>
          <w:sz w:val="19"/>
        </w:rPr>
        <w:t>Move to specialist queue if the file involves self-employed income, complex structures, foreign income, construction, non-standard property, bridging finance, guarantors, or high exposure.</w:t>
      </w:r>
    </w:p>
    <w:p>
      <w:pPr>
        <w:pStyle w:val="ListBullet"/>
      </w:pPr>
      <w:r>
        <w:rPr>
          <w:sz w:val="19"/>
        </w:rPr>
        <w:t>Request immediate correction where mandatory consents, signatures, or material fields are missing.</w:t>
      </w:r>
    </w:p>
    <w:p>
      <w:pPr>
        <w:pStyle w:val="ListBullet"/>
      </w:pPr>
      <w:r>
        <w:rPr>
          <w:sz w:val="19"/>
        </w:rPr>
        <w:t>Refer suspected fraud, identity mismatch, sanctions/watchlist hit, or privacy breach to the designated team before continuing.</w:t>
      </w:r>
    </w:p>
    <w:p>
      <w:pPr>
        <w:pStyle w:val="Heading2"/>
      </w:pPr>
      <w:r>
        <w:t>6.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7. Application Completeness Review</w:t>
      </w:r>
    </w:p>
    <w:p>
      <w:pPr>
        <w:pStyle w:val="Heading2"/>
      </w:pPr>
      <w:r>
        <w:t>7.1 Completeness Standard</w:t>
      </w:r>
    </w:p>
    <w:p>
      <w:pPr>
        <w:pStyle w:val="ListBullet"/>
      </w:pPr>
      <w:r>
        <w:rPr>
          <w:sz w:val="19"/>
        </w:rPr>
        <w:t>A file is complete for processing when all mandatory application fields, consents, and minimum supporting documents are present, legible, current, and attributable to the correct applicant or property.</w:t>
      </w:r>
    </w:p>
    <w:p>
      <w:pPr>
        <w:pStyle w:val="ListBullet"/>
      </w:pPr>
      <w:r>
        <w:rPr>
          <w:sz w:val="19"/>
        </w:rPr>
        <w:t>Documents should be checked for full pages, visible dates, matching names, non-expired IDs, readable account numbers where needed, and absence of obvious alteration.</w:t>
      </w:r>
    </w:p>
    <w:p>
      <w:pPr>
        <w:pStyle w:val="Heading2"/>
      </w:pPr>
      <w:r>
        <w:t>7.2 Core Documents</w:t>
      </w:r>
    </w:p>
    <w:p>
      <w:pPr>
        <w:pStyle w:val="ListBullet"/>
      </w:pPr>
      <w:r>
        <w:rPr>
          <w:sz w:val="19"/>
        </w:rPr>
        <w:t>Signed application form and declarations.</w:t>
      </w:r>
    </w:p>
    <w:p>
      <w:pPr>
        <w:pStyle w:val="ListBullet"/>
      </w:pPr>
      <w:r>
        <w:rPr>
          <w:sz w:val="19"/>
        </w:rPr>
        <w:t>Identity documents for each applicant and relevant beneficial owner where applicable.</w:t>
      </w:r>
    </w:p>
    <w:p>
      <w:pPr>
        <w:pStyle w:val="ListBullet"/>
      </w:pPr>
      <w:r>
        <w:rPr>
          <w:sz w:val="19"/>
        </w:rPr>
        <w:t>Income evidence appropriate to employment type.</w:t>
      </w:r>
    </w:p>
    <w:p>
      <w:pPr>
        <w:pStyle w:val="ListBullet"/>
      </w:pPr>
      <w:r>
        <w:rPr>
          <w:sz w:val="19"/>
        </w:rPr>
        <w:t>Asset evidence, deposit proof, and source-of-funds evidence.</w:t>
      </w:r>
    </w:p>
    <w:p>
      <w:pPr>
        <w:pStyle w:val="ListBullet"/>
      </w:pPr>
      <w:r>
        <w:rPr>
          <w:sz w:val="19"/>
        </w:rPr>
        <w:t>Liability statements and existing mortgage statements where applicable.</w:t>
      </w:r>
    </w:p>
    <w:p>
      <w:pPr>
        <w:pStyle w:val="ListBullet"/>
      </w:pPr>
      <w:r>
        <w:rPr>
          <w:sz w:val="19"/>
        </w:rPr>
        <w:t>Purchase contract, refinance statement, or loan purpose evidence.</w:t>
      </w:r>
    </w:p>
    <w:p>
      <w:pPr>
        <w:pStyle w:val="ListBullet"/>
      </w:pPr>
      <w:r>
        <w:rPr>
          <w:sz w:val="19"/>
        </w:rPr>
        <w:t>Property details sufficient to order valuation.</w:t>
      </w:r>
    </w:p>
    <w:p>
      <w:pPr>
        <w:pStyle w:val="ListBullet"/>
      </w:pPr>
      <w:r>
        <w:rPr>
          <w:sz w:val="19"/>
        </w:rPr>
        <w:t>Privacy, credit bureau, electronic verification, and third-party contact consents.</w:t>
      </w:r>
    </w:p>
    <w:p>
      <w:pPr>
        <w:pStyle w:val="Heading2"/>
      </w:pPr>
      <w:r>
        <w:t>7.3 Incomplete File Handling</w:t>
      </w:r>
    </w:p>
    <w:p>
      <w:pPr>
        <w:pStyle w:val="ListBullet"/>
      </w:pPr>
      <w:r>
        <w:rPr>
          <w:sz w:val="19"/>
        </w:rPr>
        <w:t>Create one consolidated missing-information request whenever possible.</w:t>
      </w:r>
    </w:p>
    <w:p>
      <w:pPr>
        <w:pStyle w:val="ListBullet"/>
      </w:pPr>
      <w:r>
        <w:rPr>
          <w:sz w:val="19"/>
        </w:rPr>
        <w:t>State precisely what is missing, acceptable alternatives, due date, secure upload method, and contact details for questions.</w:t>
      </w:r>
    </w:p>
    <w:p>
      <w:pPr>
        <w:pStyle w:val="ListBullet"/>
      </w:pPr>
      <w:r>
        <w:rPr>
          <w:sz w:val="19"/>
        </w:rPr>
        <w:t>Record the request in the LOS, attach a copy to the DMS, and create a follow-up task.</w:t>
      </w:r>
    </w:p>
    <w:p>
      <w:pPr>
        <w:pStyle w:val="ListBullet"/>
      </w:pPr>
      <w:r>
        <w:rPr>
          <w:sz w:val="19"/>
        </w:rPr>
        <w:t>Do not submit to underwriting until minimum packaging requirements are met unless policy permits early review.</w:t>
      </w:r>
    </w:p>
    <w:p>
      <w:pPr>
        <w:pStyle w:val="Heading2"/>
      </w:pPr>
      <w:r>
        <w:t>7.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8. Borrower Identity, KYC, and Consent Verification</w:t>
      </w:r>
    </w:p>
    <w:p>
      <w:pPr>
        <w:pStyle w:val="Heading2"/>
      </w:pPr>
      <w:r>
        <w:t>8.1 Identity Verification</w:t>
      </w:r>
    </w:p>
    <w:p>
      <w:pPr>
        <w:pStyle w:val="ListBullet"/>
      </w:pPr>
      <w:r>
        <w:rPr>
          <w:sz w:val="19"/>
        </w:rPr>
        <w:t>Verify each applicant against approved identity documentation or electronic verification sources.</w:t>
      </w:r>
    </w:p>
    <w:p>
      <w:pPr>
        <w:pStyle w:val="ListBullet"/>
      </w:pPr>
      <w:r>
        <w:rPr>
          <w:sz w:val="19"/>
        </w:rPr>
        <w:t>Check name, date of birth, address, photograph, expiry date, document number, and issuing authority where applicable.</w:t>
      </w:r>
    </w:p>
    <w:p>
      <w:pPr>
        <w:pStyle w:val="ListBullet"/>
      </w:pPr>
      <w:r>
        <w:rPr>
          <w:sz w:val="19"/>
        </w:rPr>
        <w:t>Resolve discrepancies such as married names, spelling variations, multiple addresses, expired IDs, or mismatched dates before decisioning.</w:t>
      </w:r>
    </w:p>
    <w:p>
      <w:pPr>
        <w:pStyle w:val="ListBullet"/>
      </w:pPr>
      <w:r>
        <w:rPr>
          <w:sz w:val="19"/>
        </w:rPr>
        <w:t>Record verification method, source, result, date, and staff member.</w:t>
      </w:r>
    </w:p>
    <w:p>
      <w:pPr>
        <w:pStyle w:val="Heading2"/>
      </w:pPr>
      <w:r>
        <w:t>8.2 Entity and Beneficial Ownership Checks</w:t>
      </w:r>
    </w:p>
    <w:p>
      <w:pPr>
        <w:pStyle w:val="ListBullet"/>
      </w:pPr>
      <w:r>
        <w:rPr>
          <w:sz w:val="19"/>
        </w:rPr>
        <w:t>For companies, trusts, partnerships, or other entities, obtain formation documents, authority to borrow, signatory authority, beneficial owner details, trustee details, and guarantees where required.</w:t>
      </w:r>
    </w:p>
    <w:p>
      <w:pPr>
        <w:pStyle w:val="ListBullet"/>
      </w:pPr>
      <w:r>
        <w:rPr>
          <w:sz w:val="19"/>
        </w:rPr>
        <w:t>Confirm that the entity can legally own property and enter the mortgage obligation.</w:t>
      </w:r>
    </w:p>
    <w:p>
      <w:pPr>
        <w:pStyle w:val="ListBullet"/>
      </w:pPr>
      <w:r>
        <w:rPr>
          <w:sz w:val="19"/>
        </w:rPr>
        <w:t>Escalate complex beneficial ownership, nominee arrangements, offshore entities, or unclear control structures.</w:t>
      </w:r>
    </w:p>
    <w:p>
      <w:pPr>
        <w:pStyle w:val="Heading2"/>
      </w:pPr>
      <w:r>
        <w:t>8.3 Consent Controls</w:t>
      </w:r>
    </w:p>
    <w:p>
      <w:pPr>
        <w:pStyle w:val="ListBullet"/>
      </w:pPr>
      <w:r>
        <w:rPr>
          <w:sz w:val="19"/>
        </w:rPr>
        <w:t>Confirm permission to obtain credit reports, verify income/employment, contact third parties, order valuations, use electronic signatures, and store personal information.</w:t>
      </w:r>
    </w:p>
    <w:p>
      <w:pPr>
        <w:pStyle w:val="ListBullet"/>
      </w:pPr>
      <w:r>
        <w:rPr>
          <w:sz w:val="19"/>
        </w:rPr>
        <w:t>If consent is missing or withdrawn, stop the affected activity immediately and seek guidance on whether processing can continue.</w:t>
      </w:r>
    </w:p>
    <w:p>
      <w:pPr>
        <w:pStyle w:val="ListBullet"/>
      </w:pPr>
      <w:r>
        <w:rPr>
          <w:sz w:val="19"/>
        </w:rPr>
        <w:t>Use only approved communication channels for sensitive requests.</w:t>
      </w:r>
    </w:p>
    <w:p>
      <w:pPr>
        <w:pStyle w:val="Heading2"/>
      </w:pPr>
      <w:r>
        <w:t>8.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9. Data Entry and LOS File Build</w:t>
      </w:r>
    </w:p>
    <w:p>
      <w:pPr>
        <w:pStyle w:val="Heading2"/>
      </w:pPr>
      <w:r>
        <w:t>9.1 Data Quality Standard</w:t>
      </w:r>
    </w:p>
    <w:p>
      <w:pPr>
        <w:pStyle w:val="ListBullet"/>
      </w:pPr>
      <w:r>
        <w:rPr>
          <w:sz w:val="19"/>
        </w:rPr>
        <w:t>The LOS must accurately reflect the application and source documents. Where documents conflict, the processor must resolve the conflict or clearly annotate the discrepancy.</w:t>
      </w:r>
    </w:p>
    <w:p>
      <w:pPr>
        <w:pStyle w:val="ListBullet"/>
      </w:pPr>
      <w:r>
        <w:rPr>
          <w:sz w:val="19"/>
        </w:rPr>
        <w:t>Critical fields include applicant identity, income, employment, liabilities, assets, property value, purchase price, loan amount, repayment type, interest rate assumptions, loan purpose, and occupancy.</w:t>
      </w:r>
    </w:p>
    <w:p>
      <w:pPr>
        <w:pStyle w:val="Heading2"/>
      </w:pPr>
      <w:r>
        <w:t>9.2 Data Entry Rules</w:t>
      </w:r>
    </w:p>
    <w:p>
      <w:pPr>
        <w:pStyle w:val="ListBullet"/>
      </w:pPr>
      <w:r>
        <w:rPr>
          <w:sz w:val="19"/>
        </w:rPr>
        <w:t>Enter names exactly as verified, with known aliases or previous names captured in designated fields.</w:t>
      </w:r>
    </w:p>
    <w:p>
      <w:pPr>
        <w:pStyle w:val="ListBullet"/>
      </w:pPr>
      <w:r>
        <w:rPr>
          <w:sz w:val="19"/>
        </w:rPr>
        <w:t>Use standardized address formats and validate property addresses against approved address sources where available.</w:t>
      </w:r>
    </w:p>
    <w:p>
      <w:pPr>
        <w:pStyle w:val="ListBullet"/>
      </w:pPr>
      <w:r>
        <w:rPr>
          <w:sz w:val="19"/>
        </w:rPr>
        <w:t>Separate gross income, net income, overtime, bonuses, commissions, rental income, government benefits, pensions, and other income according to policy.</w:t>
      </w:r>
    </w:p>
    <w:p>
      <w:pPr>
        <w:pStyle w:val="ListBullet"/>
      </w:pPr>
      <w:r>
        <w:rPr>
          <w:sz w:val="19"/>
        </w:rPr>
        <w:t>Record liabilities using current balance, limit, repayment, interest rate, maturity, and ownership responsibility where known.</w:t>
      </w:r>
    </w:p>
    <w:p>
      <w:pPr>
        <w:pStyle w:val="ListBullet"/>
      </w:pPr>
      <w:r>
        <w:rPr>
          <w:sz w:val="19"/>
        </w:rPr>
        <w:t>Document assumptions used when translating periodic income or payments into monthly figures.</w:t>
      </w:r>
    </w:p>
    <w:p>
      <w:pPr>
        <w:pStyle w:val="Heading2"/>
      </w:pPr>
      <w:r>
        <w:t>9.3 Quality Checks</w:t>
      </w:r>
    </w:p>
    <w:p>
      <w:pPr>
        <w:pStyle w:val="ListBullet"/>
      </w:pPr>
      <w:r>
        <w:rPr>
          <w:sz w:val="19"/>
        </w:rPr>
        <w:t>Run the LOS validation report before moving the file to verification.</w:t>
      </w:r>
    </w:p>
    <w:p>
      <w:pPr>
        <w:pStyle w:val="ListBullet"/>
      </w:pPr>
      <w:r>
        <w:rPr>
          <w:sz w:val="19"/>
        </w:rPr>
        <w:t>Resolve hard stops and document acceptable overrides for warning messages.</w:t>
      </w:r>
    </w:p>
    <w:p>
      <w:pPr>
        <w:pStyle w:val="ListBullet"/>
      </w:pPr>
      <w:r>
        <w:rPr>
          <w:sz w:val="19"/>
        </w:rPr>
        <w:t>Compare system-calculated ratios against manual worksheets where required.</w:t>
      </w:r>
    </w:p>
    <w:p>
      <w:pPr>
        <w:pStyle w:val="ListBullet"/>
      </w:pPr>
      <w:r>
        <w:rPr>
          <w:sz w:val="19"/>
        </w:rPr>
        <w:t>Attach the completed intake checklist to the DMS.</w:t>
      </w:r>
    </w:p>
    <w:p>
      <w:pPr>
        <w:pStyle w:val="Heading2"/>
      </w:pPr>
      <w:r>
        <w:t>9.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10. Credit Bureau and Liability Review</w:t>
      </w:r>
    </w:p>
    <w:p>
      <w:pPr>
        <w:pStyle w:val="Heading2"/>
      </w:pPr>
      <w:r>
        <w:t>10.1 Credit Report Ordering</w:t>
      </w:r>
    </w:p>
    <w:p>
      <w:pPr>
        <w:pStyle w:val="ListBullet"/>
      </w:pPr>
      <w:r>
        <w:rPr>
          <w:sz w:val="19"/>
        </w:rPr>
        <w:t>Order credit reports only after proper consent is confirmed.</w:t>
      </w:r>
    </w:p>
    <w:p>
      <w:pPr>
        <w:pStyle w:val="ListBullet"/>
      </w:pPr>
      <w:r>
        <w:rPr>
          <w:sz w:val="19"/>
        </w:rPr>
        <w:t>Pull reports for all applicants, guarantors, and relevant parties required by policy.</w:t>
      </w:r>
    </w:p>
    <w:p>
      <w:pPr>
        <w:pStyle w:val="ListBullet"/>
      </w:pPr>
      <w:r>
        <w:rPr>
          <w:sz w:val="19"/>
        </w:rPr>
        <w:t>Record report date, bureau/source, reference number, score/risk grade if used, and any alerts.</w:t>
      </w:r>
    </w:p>
    <w:p>
      <w:pPr>
        <w:pStyle w:val="Heading2"/>
      </w:pPr>
      <w:r>
        <w:t>10.2 Review Items</w:t>
      </w:r>
    </w:p>
    <w:p>
      <w:pPr>
        <w:pStyle w:val="ListBullet"/>
      </w:pPr>
      <w:r>
        <w:rPr>
          <w:sz w:val="19"/>
        </w:rPr>
        <w:t>Existing mortgage accounts, personal loans, credit cards, buy-now-pay-later facilities, overdrafts, leases, guarantees, collection accounts, judgments, defaults, insolvency events, and recent enquiries.</w:t>
      </w:r>
    </w:p>
    <w:p>
      <w:pPr>
        <w:pStyle w:val="ListBullet"/>
      </w:pPr>
      <w:r>
        <w:rPr>
          <w:sz w:val="19"/>
        </w:rPr>
        <w:t>Compare declared liabilities against bureau results and bank statement evidence.</w:t>
      </w:r>
    </w:p>
    <w:p>
      <w:pPr>
        <w:pStyle w:val="ListBullet"/>
      </w:pPr>
      <w:r>
        <w:rPr>
          <w:sz w:val="19"/>
        </w:rPr>
        <w:t>Investigate undisclosed debts, high utilization, recent arrears, multiple enquiries, or debt-consolidation inconsistency.</w:t>
      </w:r>
    </w:p>
    <w:p>
      <w:pPr>
        <w:pStyle w:val="Heading2"/>
      </w:pPr>
      <w:r>
        <w:t>10.3 Discrepancy Handling</w:t>
      </w:r>
    </w:p>
    <w:p>
      <w:pPr>
        <w:pStyle w:val="ListBullet"/>
      </w:pPr>
      <w:r>
        <w:rPr>
          <w:sz w:val="19"/>
        </w:rPr>
        <w:t>Ask the applicant for explanation and evidence when liabilities differ materially.</w:t>
      </w:r>
    </w:p>
    <w:p>
      <w:pPr>
        <w:pStyle w:val="ListBullet"/>
      </w:pPr>
      <w:r>
        <w:rPr>
          <w:sz w:val="19"/>
        </w:rPr>
        <w:t>Update serviceability calculations using the higher or policy-required repayment amount.</w:t>
      </w:r>
    </w:p>
    <w:p>
      <w:pPr>
        <w:pStyle w:val="ListBullet"/>
      </w:pPr>
      <w:r>
        <w:rPr>
          <w:sz w:val="19"/>
        </w:rPr>
        <w:t>Escalate suspected misrepresentation or identity misuse to fraud/risk teams.</w:t>
      </w:r>
    </w:p>
    <w:p>
      <w:pPr>
        <w:pStyle w:val="Heading2"/>
      </w:pPr>
      <w:r>
        <w:t>10.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11. Income and Employment Verification</w:t>
      </w:r>
    </w:p>
    <w:p>
      <w:pPr>
        <w:pStyle w:val="Heading2"/>
      </w:pPr>
      <w:r>
        <w:t>11.1 Employed Borrowers</w:t>
      </w:r>
    </w:p>
    <w:p>
      <w:pPr>
        <w:pStyle w:val="ListBullet"/>
      </w:pPr>
      <w:r>
        <w:rPr>
          <w:sz w:val="19"/>
        </w:rPr>
        <w:t>Obtain acceptable payslips, employment letters, tax documents, bank credits, payroll records, or approved digital income feeds according to policy.</w:t>
      </w:r>
    </w:p>
    <w:p>
      <w:pPr>
        <w:pStyle w:val="ListBullet"/>
      </w:pPr>
      <w:r>
        <w:rPr>
          <w:sz w:val="19"/>
        </w:rPr>
        <w:t>Confirm employer name, start date, employment type, base pay, variable pay, frequency, deductions, probation status, and continuity.</w:t>
      </w:r>
    </w:p>
    <w:p>
      <w:pPr>
        <w:pStyle w:val="ListBullet"/>
      </w:pPr>
      <w:r>
        <w:rPr>
          <w:sz w:val="19"/>
        </w:rPr>
        <w:t>Annualize income only using approved methods and exclude non-acceptable income components.</w:t>
      </w:r>
    </w:p>
    <w:p>
      <w:pPr>
        <w:pStyle w:val="Heading2"/>
      </w:pPr>
      <w:r>
        <w:t>11.2 Self-Employed Borrowers</w:t>
      </w:r>
    </w:p>
    <w:p>
      <w:pPr>
        <w:pStyle w:val="ListBullet"/>
      </w:pPr>
      <w:r>
        <w:rPr>
          <w:sz w:val="19"/>
        </w:rPr>
        <w:t>Collect business financial statements, tax returns, notices of assessment, business bank statements, accountant letters where allowed, and ownership evidence.</w:t>
      </w:r>
    </w:p>
    <w:p>
      <w:pPr>
        <w:pStyle w:val="ListBullet"/>
      </w:pPr>
      <w:r>
        <w:rPr>
          <w:sz w:val="19"/>
        </w:rPr>
        <w:t>Assess business trading history, profitability, add-backs, one-off items, debt obligations, tax arrears, and sustainability.</w:t>
      </w:r>
    </w:p>
    <w:p>
      <w:pPr>
        <w:pStyle w:val="ListBullet"/>
      </w:pPr>
      <w:r>
        <w:rPr>
          <w:sz w:val="19"/>
        </w:rPr>
        <w:t>Escalate complex structures, recent business formation, declining income, cash-intensive businesses, and related-party transactions.</w:t>
      </w:r>
    </w:p>
    <w:p>
      <w:pPr>
        <w:pStyle w:val="Heading2"/>
      </w:pPr>
      <w:r>
        <w:t>11.3 Variable and Other Income</w:t>
      </w:r>
    </w:p>
    <w:p>
      <w:pPr>
        <w:pStyle w:val="ListBullet"/>
      </w:pPr>
      <w:r>
        <w:rPr>
          <w:sz w:val="19"/>
        </w:rPr>
        <w:t>Treat overtime, commission, bonus, allowance, rental income, government payments, pension, maintenance, foreign income, and investment income according to approved haircuts and continuity rules.</w:t>
      </w:r>
    </w:p>
    <w:p>
      <w:pPr>
        <w:pStyle w:val="ListBullet"/>
      </w:pPr>
      <w:r>
        <w:rPr>
          <w:sz w:val="19"/>
        </w:rPr>
        <w:t>Document calculation method, evidence period, exclusions, and underwriter judgment points.</w:t>
      </w:r>
    </w:p>
    <w:p>
      <w:pPr>
        <w:pStyle w:val="ListBullet"/>
      </w:pPr>
      <w:r>
        <w:rPr>
          <w:sz w:val="19"/>
        </w:rPr>
        <w:t>Do not use income that cannot be verified or is not acceptable under policy.</w:t>
      </w:r>
    </w:p>
    <w:p>
      <w:pPr>
        <w:pStyle w:val="Heading2"/>
      </w:pPr>
      <w:r>
        <w:t>11.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12. Asset, Deposit, and Source-of-Funds Verification</w:t>
      </w:r>
    </w:p>
    <w:p>
      <w:pPr>
        <w:pStyle w:val="Heading2"/>
      </w:pPr>
      <w:r>
        <w:t>12.1 Asset Verification</w:t>
      </w:r>
    </w:p>
    <w:p>
      <w:pPr>
        <w:pStyle w:val="ListBullet"/>
      </w:pPr>
      <w:r>
        <w:rPr>
          <w:sz w:val="19"/>
        </w:rPr>
        <w:t>Verify savings, investment accounts, retirement funds if allowed, sale proceeds, gifts, grants, existing property equity, and other assets used for deposit or reserves.</w:t>
      </w:r>
    </w:p>
    <w:p>
      <w:pPr>
        <w:pStyle w:val="ListBullet"/>
      </w:pPr>
      <w:r>
        <w:rPr>
          <w:sz w:val="19"/>
        </w:rPr>
        <w:t>Confirm account ownership, current balance, transaction history, restrictions, encumbrances, and availability before settlement.</w:t>
      </w:r>
    </w:p>
    <w:p>
      <w:pPr>
        <w:pStyle w:val="ListBullet"/>
      </w:pPr>
      <w:r>
        <w:rPr>
          <w:sz w:val="19"/>
        </w:rPr>
        <w:t>Ensure documents are complete, current, and not obviously altered.</w:t>
      </w:r>
    </w:p>
    <w:p>
      <w:pPr>
        <w:pStyle w:val="Heading2"/>
      </w:pPr>
      <w:r>
        <w:t>12.2 Deposit and Genuine Savings</w:t>
      </w:r>
    </w:p>
    <w:p>
      <w:pPr>
        <w:pStyle w:val="ListBullet"/>
      </w:pPr>
      <w:r>
        <w:rPr>
          <w:sz w:val="19"/>
        </w:rPr>
        <w:t>Determine required contribution, minimum deposit, genuine savings period, and acceptable sources under product policy.</w:t>
      </w:r>
    </w:p>
    <w:p>
      <w:pPr>
        <w:pStyle w:val="ListBullet"/>
      </w:pPr>
      <w:r>
        <w:rPr>
          <w:sz w:val="19"/>
        </w:rPr>
        <w:t>Review transaction history for unexplained credits, large cash deposits, borrowed deposits, returned payments, or circular transfers.</w:t>
      </w:r>
    </w:p>
    <w:p>
      <w:pPr>
        <w:pStyle w:val="ListBullet"/>
      </w:pPr>
      <w:r>
        <w:rPr>
          <w:sz w:val="19"/>
        </w:rPr>
        <w:t>Obtain gift letters, statutory declarations, sale contracts, grant evidence, or debt terms where relevant.</w:t>
      </w:r>
    </w:p>
    <w:p>
      <w:pPr>
        <w:pStyle w:val="Heading2"/>
      </w:pPr>
      <w:r>
        <w:t>12.3 AML and Funds Risk Indicators</w:t>
      </w:r>
    </w:p>
    <w:p>
      <w:pPr>
        <w:pStyle w:val="ListBullet"/>
      </w:pPr>
      <w:r>
        <w:rPr>
          <w:sz w:val="19"/>
        </w:rPr>
        <w:t>Escalate unexplained funds, third-party deposits, offshore transfers, high-risk jurisdictions, inconsistent occupation/income, or unusual transaction patterns.</w:t>
      </w:r>
    </w:p>
    <w:p>
      <w:pPr>
        <w:pStyle w:val="ListBullet"/>
      </w:pPr>
      <w:r>
        <w:rPr>
          <w:sz w:val="19"/>
        </w:rPr>
        <w:t>Do not provide tipping-off style communications. Follow escalation scripts and internal reporting protocols.</w:t>
      </w:r>
    </w:p>
    <w:p>
      <w:pPr>
        <w:pStyle w:val="Heading2"/>
      </w:pPr>
      <w:r>
        <w:t>12.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13. Property, Collateral, and Valuation Management</w:t>
      </w:r>
    </w:p>
    <w:p>
      <w:pPr>
        <w:pStyle w:val="Heading2"/>
      </w:pPr>
      <w:r>
        <w:t>13.1 Property Information Collection</w:t>
      </w:r>
    </w:p>
    <w:p>
      <w:pPr>
        <w:pStyle w:val="ListBullet"/>
      </w:pPr>
      <w:r>
        <w:rPr>
          <w:sz w:val="19"/>
        </w:rPr>
        <w:t>Capture the full property address, title details, property type, occupancy, purchase price, estimated value, contract date, settlement date, construction status, zoning, tenancy, and insurance requirements.</w:t>
      </w:r>
    </w:p>
    <w:p>
      <w:pPr>
        <w:pStyle w:val="ListBullet"/>
      </w:pPr>
      <w:r>
        <w:rPr>
          <w:sz w:val="19"/>
        </w:rPr>
        <w:t>For refinances, obtain current mortgage statements and payout information where needed.</w:t>
      </w:r>
    </w:p>
    <w:p>
      <w:pPr>
        <w:pStyle w:val="ListBullet"/>
      </w:pPr>
      <w:r>
        <w:rPr>
          <w:sz w:val="19"/>
        </w:rPr>
        <w:t>For investment properties, collect lease details, rental appraisals, tenancy agreements, and vacancy assumptions as required.</w:t>
      </w:r>
    </w:p>
    <w:p>
      <w:pPr>
        <w:pStyle w:val="Heading2"/>
      </w:pPr>
      <w:r>
        <w:t>13.2 Valuation Ordering</w:t>
      </w:r>
    </w:p>
    <w:p>
      <w:pPr>
        <w:pStyle w:val="ListBullet"/>
      </w:pPr>
      <w:r>
        <w:rPr>
          <w:sz w:val="19"/>
        </w:rPr>
        <w:t>Order valuations through approved channels only; do not permit applicants or sales staff to influence valuer selection.</w:t>
      </w:r>
    </w:p>
    <w:p>
      <w:pPr>
        <w:pStyle w:val="ListBullet"/>
      </w:pPr>
      <w:r>
        <w:rPr>
          <w:sz w:val="19"/>
        </w:rPr>
        <w:t>Select the valuation type required by policy based on LTV, property type, location, loan purpose, and risk grade.</w:t>
      </w:r>
    </w:p>
    <w:p>
      <w:pPr>
        <w:pStyle w:val="ListBullet"/>
      </w:pPr>
      <w:r>
        <w:rPr>
          <w:sz w:val="19"/>
        </w:rPr>
        <w:t>Record vendor, order number, date ordered, expected completion date, access contact, and special instructions.</w:t>
      </w:r>
    </w:p>
    <w:p>
      <w:pPr>
        <w:pStyle w:val="Heading2"/>
      </w:pPr>
      <w:r>
        <w:t>13.3 Valuation Review</w:t>
      </w:r>
    </w:p>
    <w:p>
      <w:pPr>
        <w:pStyle w:val="ListBullet"/>
      </w:pPr>
      <w:r>
        <w:rPr>
          <w:sz w:val="19"/>
        </w:rPr>
        <w:t>Compare valuation amount to purchase price, estimate, and requested loan amount.</w:t>
      </w:r>
    </w:p>
    <w:p>
      <w:pPr>
        <w:pStyle w:val="ListBullet"/>
      </w:pPr>
      <w:r>
        <w:rPr>
          <w:sz w:val="19"/>
        </w:rPr>
        <w:t>Check property condition, marketability, title concerns, restrictions, environmental issues, lease terms, zoning, construction status, and special assumptions.</w:t>
      </w:r>
    </w:p>
    <w:p>
      <w:pPr>
        <w:pStyle w:val="ListBullet"/>
      </w:pPr>
      <w:r>
        <w:rPr>
          <w:sz w:val="19"/>
        </w:rPr>
        <w:t>If valuation is lower than expected, recalculate LTV and serviceability where needed and refer to underwriting.</w:t>
      </w:r>
    </w:p>
    <w:p>
      <w:pPr>
        <w:pStyle w:val="Heading2"/>
      </w:pPr>
      <w:r>
        <w:t>13.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14. Serviceability, Affordability, and Product Eligibility</w:t>
      </w:r>
    </w:p>
    <w:p>
      <w:pPr>
        <w:pStyle w:val="Heading2"/>
      </w:pPr>
      <w:r>
        <w:t>14.1 Calculation Inputs</w:t>
      </w:r>
    </w:p>
    <w:p>
      <w:pPr>
        <w:pStyle w:val="ListBullet"/>
      </w:pPr>
      <w:r>
        <w:rPr>
          <w:sz w:val="19"/>
        </w:rPr>
        <w:t>Use verified income, policy-accepted income adjustments, existing debt commitments, proposed mortgage repayments, living expense benchmarks or verified expenses, dependants, tax assumptions, interest-rate buffers, loan term, and repayment type.</w:t>
      </w:r>
    </w:p>
    <w:p>
      <w:pPr>
        <w:pStyle w:val="ListBullet"/>
      </w:pPr>
      <w:r>
        <w:rPr>
          <w:sz w:val="19"/>
        </w:rPr>
        <w:t>Refresh calculations after any material change to income, liabilities, loan amount, product, valuation, rate, term, or borrower structure.</w:t>
      </w:r>
    </w:p>
    <w:p>
      <w:pPr>
        <w:pStyle w:val="Heading2"/>
      </w:pPr>
      <w:r>
        <w:t>14.2 Product Eligibility</w:t>
      </w:r>
    </w:p>
    <w:p>
      <w:pPr>
        <w:pStyle w:val="ListBullet"/>
      </w:pPr>
      <w:r>
        <w:rPr>
          <w:sz w:val="19"/>
        </w:rPr>
        <w:t>Confirm product availability, loan purpose, LTV maximum, minimum loan amount, maximum loan amount, property eligibility, borrower eligibility, repayment type, rate-lock rules, offset or redraw rules, and special campaign requirements.</w:t>
      </w:r>
    </w:p>
    <w:p>
      <w:pPr>
        <w:pStyle w:val="ListBullet"/>
      </w:pPr>
      <w:r>
        <w:rPr>
          <w:sz w:val="19"/>
        </w:rPr>
        <w:t>Check that discounts, fees, waivers, and pricing exceptions are approved and captured.</w:t>
      </w:r>
    </w:p>
    <w:p>
      <w:pPr>
        <w:pStyle w:val="Heading2"/>
      </w:pPr>
      <w:r>
        <w:t>14.3 Assessment Result</w:t>
      </w:r>
    </w:p>
    <w:p>
      <w:pPr>
        <w:pStyle w:val="ListBullet"/>
      </w:pPr>
      <w:r>
        <w:rPr>
          <w:sz w:val="19"/>
        </w:rPr>
        <w:t>If serviceability passes and all product rules are met, continue packaging.</w:t>
      </w:r>
    </w:p>
    <w:p>
      <w:pPr>
        <w:pStyle w:val="ListBullet"/>
      </w:pPr>
      <w:r>
        <w:rPr>
          <w:sz w:val="19"/>
        </w:rPr>
        <w:t>If serviceability fails, identify whether allowable mitigants, reduced loan amount, debt repayment, additional borrower, longer term, or different product could resolve the issue without breaching policy.</w:t>
      </w:r>
    </w:p>
    <w:p>
      <w:pPr>
        <w:pStyle w:val="ListBullet"/>
      </w:pPr>
      <w:r>
        <w:rPr>
          <w:sz w:val="19"/>
        </w:rPr>
        <w:t>If the application cannot meet affordability requirements, refer for decline decision.</w:t>
      </w:r>
    </w:p>
    <w:p>
      <w:pPr>
        <w:pStyle w:val="Heading2"/>
      </w:pPr>
      <w:r>
        <w:t>14.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15. Fraud, Misrepresentation, and Risk Screening</w:t>
      </w:r>
    </w:p>
    <w:p>
      <w:pPr>
        <w:pStyle w:val="Heading2"/>
      </w:pPr>
      <w:r>
        <w:t>15.1 Red Flags</w:t>
      </w:r>
    </w:p>
    <w:p>
      <w:pPr>
        <w:pStyle w:val="ListBullet"/>
      </w:pPr>
      <w:r>
        <w:rPr>
          <w:sz w:val="19"/>
        </w:rPr>
        <w:t>Altered or inconsistent documents, mismatched fonts, suspicious metadata, repeated formatting anomalies, unverifiable employer details, undisclosed debts, inconsistent addresses, unusual deposits, identity mismatch, pressure for rapid approval, reluctance to provide evidence, or third-party control of communications.</w:t>
      </w:r>
    </w:p>
    <w:p>
      <w:pPr>
        <w:pStyle w:val="ListBullet"/>
      </w:pPr>
      <w:r>
        <w:rPr>
          <w:sz w:val="19"/>
        </w:rPr>
        <w:t>Multiple applications with similar contact details, bank accounts, employers, IP addresses, introducers, or property transactions may indicate organized activity.</w:t>
      </w:r>
    </w:p>
    <w:p>
      <w:pPr>
        <w:pStyle w:val="Heading2"/>
      </w:pPr>
      <w:r>
        <w:t>15.2 Screening Controls</w:t>
      </w:r>
    </w:p>
    <w:p>
      <w:pPr>
        <w:pStyle w:val="ListBullet"/>
      </w:pPr>
      <w:r>
        <w:rPr>
          <w:sz w:val="19"/>
        </w:rPr>
        <w:t>Use document authentication tools, employer verification, bank statement analysis, identity verification, sanctions/watchlist checks, broker monitoring, internal blacklists where lawful, and manual review.</w:t>
      </w:r>
    </w:p>
    <w:p>
      <w:pPr>
        <w:pStyle w:val="ListBullet"/>
      </w:pPr>
      <w:r>
        <w:rPr>
          <w:sz w:val="19"/>
        </w:rPr>
        <w:t>Record red flags even when resolved, including evidence and rationale.</w:t>
      </w:r>
    </w:p>
    <w:p>
      <w:pPr>
        <w:pStyle w:val="ListBullet"/>
      </w:pPr>
      <w:r>
        <w:rPr>
          <w:sz w:val="19"/>
        </w:rPr>
        <w:t>Do not continue normal processing where fraud escalation rules require a hold.</w:t>
      </w:r>
    </w:p>
    <w:p>
      <w:pPr>
        <w:pStyle w:val="Heading2"/>
      </w:pPr>
      <w:r>
        <w:t>15.3 Escalation</w:t>
      </w:r>
    </w:p>
    <w:p>
      <w:pPr>
        <w:pStyle w:val="ListBullet"/>
      </w:pPr>
      <w:r>
        <w:rPr>
          <w:sz w:val="19"/>
        </w:rPr>
        <w:t>Escalate to Fraud/Risk with a summary of concern, affected documents, involved parties, requested action, and processing deadline.</w:t>
      </w:r>
    </w:p>
    <w:p>
      <w:pPr>
        <w:pStyle w:val="ListBullet"/>
      </w:pPr>
      <w:r>
        <w:rPr>
          <w:sz w:val="19"/>
        </w:rPr>
        <w:t>Restrict file access if required.</w:t>
      </w:r>
    </w:p>
    <w:p>
      <w:pPr>
        <w:pStyle w:val="ListBullet"/>
      </w:pPr>
      <w:r>
        <w:rPr>
          <w:sz w:val="19"/>
        </w:rPr>
        <w:t>Do not communicate internal fraud concerns to the applicant or introducer except through approved wording.</w:t>
      </w:r>
    </w:p>
    <w:p>
      <w:pPr>
        <w:pStyle w:val="Heading2"/>
      </w:pPr>
      <w:r>
        <w:t>15.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16. File Packaging for Underwriting</w:t>
      </w:r>
    </w:p>
    <w:p>
      <w:pPr>
        <w:pStyle w:val="Heading2"/>
      </w:pPr>
      <w:r>
        <w:t>16.1 Packaging Standard</w:t>
      </w:r>
    </w:p>
    <w:p>
      <w:pPr>
        <w:pStyle w:val="ListBullet"/>
      </w:pPr>
      <w:r>
        <w:rPr>
          <w:sz w:val="19"/>
        </w:rPr>
        <w:t>The underwriting package must allow a delegated underwriter to understand the request, borrower profile, collateral, verified income, verified debts, affordability result, policy exceptions, and recommended conditions without searching through unindexed documents.</w:t>
      </w:r>
    </w:p>
    <w:p>
      <w:pPr>
        <w:pStyle w:val="ListBullet"/>
      </w:pPr>
      <w:r>
        <w:rPr>
          <w:sz w:val="19"/>
        </w:rPr>
        <w:t>A poorly packaged file may be returned to processing, reset SLA treatment, or trigger coaching.</w:t>
      </w:r>
    </w:p>
    <w:p>
      <w:pPr>
        <w:pStyle w:val="Heading2"/>
      </w:pPr>
      <w:r>
        <w:t>16.2 Required Package Components</w:t>
      </w:r>
    </w:p>
    <w:p>
      <w:pPr>
        <w:pStyle w:val="ListBullet"/>
      </w:pPr>
      <w:r>
        <w:rPr>
          <w:sz w:val="19"/>
        </w:rPr>
        <w:t>Application summary memo.</w:t>
      </w:r>
    </w:p>
    <w:p>
      <w:pPr>
        <w:pStyle w:val="ListBullet"/>
      </w:pPr>
      <w:r>
        <w:rPr>
          <w:sz w:val="19"/>
        </w:rPr>
        <w:t>Completed intake and verification checklists.</w:t>
      </w:r>
    </w:p>
    <w:p>
      <w:pPr>
        <w:pStyle w:val="ListBullet"/>
      </w:pPr>
      <w:r>
        <w:rPr>
          <w:sz w:val="19"/>
        </w:rPr>
        <w:t>Borrower identity and consent evidence.</w:t>
      </w:r>
    </w:p>
    <w:p>
      <w:pPr>
        <w:pStyle w:val="ListBullet"/>
      </w:pPr>
      <w:r>
        <w:rPr>
          <w:sz w:val="19"/>
        </w:rPr>
        <w:t>Income calculation worksheet and source documents.</w:t>
      </w:r>
    </w:p>
    <w:p>
      <w:pPr>
        <w:pStyle w:val="ListBullet"/>
      </w:pPr>
      <w:r>
        <w:rPr>
          <w:sz w:val="19"/>
        </w:rPr>
        <w:t>Asset and deposit verification.</w:t>
      </w:r>
    </w:p>
    <w:p>
      <w:pPr>
        <w:pStyle w:val="ListBullet"/>
      </w:pPr>
      <w:r>
        <w:rPr>
          <w:sz w:val="19"/>
        </w:rPr>
        <w:t>Liability reconciliation and credit bureau summary.</w:t>
      </w:r>
    </w:p>
    <w:p>
      <w:pPr>
        <w:pStyle w:val="ListBullet"/>
      </w:pPr>
      <w:r>
        <w:rPr>
          <w:sz w:val="19"/>
        </w:rPr>
        <w:t>Valuation report and collateral notes.</w:t>
      </w:r>
    </w:p>
    <w:p>
      <w:pPr>
        <w:pStyle w:val="ListBullet"/>
      </w:pPr>
      <w:r>
        <w:rPr>
          <w:sz w:val="19"/>
        </w:rPr>
        <w:t>Serviceability and product eligibility output.</w:t>
      </w:r>
    </w:p>
    <w:p>
      <w:pPr>
        <w:pStyle w:val="ListBullet"/>
      </w:pPr>
      <w:r>
        <w:rPr>
          <w:sz w:val="19"/>
        </w:rPr>
        <w:t>Policy exception summary and recommended mitigants.</w:t>
      </w:r>
    </w:p>
    <w:p>
      <w:pPr>
        <w:pStyle w:val="ListBullet"/>
      </w:pPr>
      <w:r>
        <w:rPr>
          <w:sz w:val="19"/>
        </w:rPr>
        <w:t>Draft approval conditions or decline rationale where applicable.</w:t>
      </w:r>
    </w:p>
    <w:p>
      <w:pPr>
        <w:pStyle w:val="Heading2"/>
      </w:pPr>
      <w:r>
        <w:t>16.3 Processor Certification</w:t>
      </w:r>
    </w:p>
    <w:p>
      <w:pPr>
        <w:pStyle w:val="ListBullet"/>
      </w:pPr>
      <w:r>
        <w:rPr>
          <w:sz w:val="19"/>
        </w:rPr>
        <w:t>Before submission, the processor certifies that required documents are attached, data matches source documents, material discrepancies are disclosed, all known risks are noted, and no unsupported assumptions are hidden.</w:t>
      </w:r>
    </w:p>
    <w:p>
      <w:pPr>
        <w:pStyle w:val="ListBullet"/>
      </w:pPr>
      <w:r>
        <w:rPr>
          <w:sz w:val="19"/>
        </w:rPr>
        <w:t>Certification is recorded through the LOS checklist or signed processing summary.</w:t>
      </w:r>
    </w:p>
    <w:p>
      <w:pPr>
        <w:pStyle w:val="Heading2"/>
      </w:pPr>
      <w:r>
        <w:t>16.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17. Underwriting Review and Decisioning</w:t>
      </w:r>
    </w:p>
    <w:p>
      <w:pPr>
        <w:pStyle w:val="Heading2"/>
      </w:pPr>
      <w:r>
        <w:t>17.1 Underwriter Review Scope</w:t>
      </w:r>
    </w:p>
    <w:p>
      <w:pPr>
        <w:pStyle w:val="ListBullet"/>
      </w:pPr>
      <w:r>
        <w:rPr>
          <w:sz w:val="19"/>
        </w:rPr>
        <w:t>Assess repayment capacity, credit history, borrower character, collateral adequacy, product fit, policy compliance, exceptions, fraud indicators, responsible lending/conduct obligations, and overall risk acceptability.</w:t>
      </w:r>
    </w:p>
    <w:p>
      <w:pPr>
        <w:pStyle w:val="ListBullet"/>
      </w:pPr>
      <w:r>
        <w:rPr>
          <w:sz w:val="19"/>
        </w:rPr>
        <w:t>Review the application holistically rather than relying only on automated outputs.</w:t>
      </w:r>
    </w:p>
    <w:p>
      <w:pPr>
        <w:pStyle w:val="Heading2"/>
      </w:pPr>
      <w:r>
        <w:t>17.2 Decision Options</w:t>
      </w:r>
    </w:p>
    <w:p>
      <w:pPr>
        <w:pStyle w:val="ListBullet"/>
      </w:pPr>
      <w:r>
        <w:rPr>
          <w:sz w:val="19"/>
        </w:rPr>
        <w:t>Approve when all final approval criteria are met and the approver has delegated authority.</w:t>
      </w:r>
    </w:p>
    <w:p>
      <w:pPr>
        <w:pStyle w:val="ListBullet"/>
      </w:pPr>
      <w:r>
        <w:rPr>
          <w:sz w:val="19"/>
        </w:rPr>
        <w:t>Conditionally approve when the credit decision is acceptable subject to clearly defined, achievable, and measurable conditions.</w:t>
      </w:r>
    </w:p>
    <w:p>
      <w:pPr>
        <w:pStyle w:val="ListBullet"/>
      </w:pPr>
      <w:r>
        <w:rPr>
          <w:sz w:val="19"/>
        </w:rPr>
        <w:t>Request more information when material information is missing or inconsistent.</w:t>
      </w:r>
    </w:p>
    <w:p>
      <w:pPr>
        <w:pStyle w:val="ListBullet"/>
      </w:pPr>
      <w:r>
        <w:rPr>
          <w:sz w:val="19"/>
        </w:rPr>
        <w:t>Decline when policy, affordability, collateral, fraud, eligibility, or risk criteria cannot be met.</w:t>
      </w:r>
    </w:p>
    <w:p>
      <w:pPr>
        <w:pStyle w:val="Heading2"/>
      </w:pPr>
      <w:r>
        <w:t>17.3 Decision Documentation</w:t>
      </w:r>
    </w:p>
    <w:p>
      <w:pPr>
        <w:pStyle w:val="ListBullet"/>
      </w:pPr>
      <w:r>
        <w:rPr>
          <w:sz w:val="19"/>
        </w:rPr>
        <w:t>Record the decision date, approver, authority level, key rationale, conditions, exceptions, mitigants, expiry date, and required communication type.</w:t>
      </w:r>
    </w:p>
    <w:p>
      <w:pPr>
        <w:pStyle w:val="ListBullet"/>
      </w:pPr>
      <w:r>
        <w:rPr>
          <w:sz w:val="19"/>
        </w:rPr>
        <w:t>For declines, select accurate primary and secondary decline reasons and include narrative notes that support the decision without inappropriate language.</w:t>
      </w:r>
    </w:p>
    <w:p>
      <w:pPr>
        <w:pStyle w:val="Heading2"/>
      </w:pPr>
      <w:r>
        <w:t>17.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18. Conditions Management</w:t>
      </w:r>
    </w:p>
    <w:p>
      <w:pPr>
        <w:pStyle w:val="Heading2"/>
      </w:pPr>
      <w:r>
        <w:t>18.1 Condition Quality</w:t>
      </w:r>
    </w:p>
    <w:p>
      <w:pPr>
        <w:pStyle w:val="ListBullet"/>
      </w:pPr>
      <w:r>
        <w:rPr>
          <w:sz w:val="19"/>
        </w:rPr>
        <w:t>Each condition must be specific, measurable, assigned to an owner, due dated, and linked to a policy, risk, operational, or legal requirement.</w:t>
      </w:r>
    </w:p>
    <w:p>
      <w:pPr>
        <w:pStyle w:val="ListBullet"/>
      </w:pPr>
      <w:r>
        <w:rPr>
          <w:sz w:val="19"/>
        </w:rPr>
        <w:t>Avoid vague conditions such as “satisfactory documents” without listing the exact document and acceptance criteria.</w:t>
      </w:r>
    </w:p>
    <w:p>
      <w:pPr>
        <w:pStyle w:val="Heading2"/>
      </w:pPr>
      <w:r>
        <w:t>18.2 Common Conditions</w:t>
      </w:r>
    </w:p>
    <w:p>
      <w:pPr>
        <w:pStyle w:val="ListBullet"/>
      </w:pPr>
      <w:r>
        <w:rPr>
          <w:sz w:val="19"/>
        </w:rPr>
        <w:t>Updated payslip or bank statement.</w:t>
      </w:r>
    </w:p>
    <w:p>
      <w:pPr>
        <w:pStyle w:val="ListBullet"/>
      </w:pPr>
      <w:r>
        <w:rPr>
          <w:sz w:val="19"/>
        </w:rPr>
        <w:t>Evidence of debt closure or repayment.</w:t>
      </w:r>
    </w:p>
    <w:p>
      <w:pPr>
        <w:pStyle w:val="ListBullet"/>
      </w:pPr>
      <w:r>
        <w:rPr>
          <w:sz w:val="19"/>
        </w:rPr>
        <w:t>Clear valuation condition or property repair evidence.</w:t>
      </w:r>
    </w:p>
    <w:p>
      <w:pPr>
        <w:pStyle w:val="ListBullet"/>
      </w:pPr>
      <w:r>
        <w:rPr>
          <w:sz w:val="19"/>
        </w:rPr>
        <w:t>Proof of deposit funds.</w:t>
      </w:r>
    </w:p>
    <w:p>
      <w:pPr>
        <w:pStyle w:val="ListBullet"/>
      </w:pPr>
      <w:r>
        <w:rPr>
          <w:sz w:val="19"/>
        </w:rPr>
        <w:t>Insurance certificate.</w:t>
      </w:r>
    </w:p>
    <w:p>
      <w:pPr>
        <w:pStyle w:val="ListBullet"/>
      </w:pPr>
      <w:r>
        <w:rPr>
          <w:sz w:val="19"/>
        </w:rPr>
        <w:t>Executed purchase contract or title document.</w:t>
      </w:r>
    </w:p>
    <w:p>
      <w:pPr>
        <w:pStyle w:val="ListBullet"/>
      </w:pPr>
      <w:r>
        <w:rPr>
          <w:sz w:val="19"/>
        </w:rPr>
        <w:t>Guarantor advice or entity resolution.</w:t>
      </w:r>
    </w:p>
    <w:p>
      <w:pPr>
        <w:pStyle w:val="ListBullet"/>
      </w:pPr>
      <w:r>
        <w:rPr>
          <w:sz w:val="19"/>
        </w:rPr>
        <w:t>Clarification of credit enquiry or arrears.</w:t>
      </w:r>
    </w:p>
    <w:p>
      <w:pPr>
        <w:pStyle w:val="ListBullet"/>
      </w:pPr>
      <w:r>
        <w:rPr>
          <w:sz w:val="19"/>
        </w:rPr>
        <w:t>Updated serviceability after loan amount change.</w:t>
      </w:r>
    </w:p>
    <w:p>
      <w:pPr>
        <w:pStyle w:val="Heading2"/>
      </w:pPr>
      <w:r>
        <w:t>18.3 Clearing Conditions</w:t>
      </w:r>
    </w:p>
    <w:p>
      <w:pPr>
        <w:pStyle w:val="ListBullet"/>
      </w:pPr>
      <w:r>
        <w:rPr>
          <w:sz w:val="19"/>
        </w:rPr>
        <w:t>Processor collects evidence and uploads it to the DMS.</w:t>
      </w:r>
    </w:p>
    <w:p>
      <w:pPr>
        <w:pStyle w:val="ListBullet"/>
      </w:pPr>
      <w:r>
        <w:rPr>
          <w:sz w:val="19"/>
        </w:rPr>
        <w:t>Underwriter or authorized role reviews evidence against condition wording.</w:t>
      </w:r>
    </w:p>
    <w:p>
      <w:pPr>
        <w:pStyle w:val="ListBullet"/>
      </w:pPr>
      <w:r>
        <w:rPr>
          <w:sz w:val="19"/>
        </w:rPr>
        <w:t>Condition is marked satisfied, waived, amended, or failed with rationale.</w:t>
      </w:r>
    </w:p>
    <w:p>
      <w:pPr>
        <w:pStyle w:val="ListBullet"/>
      </w:pPr>
      <w:r>
        <w:rPr>
          <w:sz w:val="19"/>
        </w:rPr>
        <w:t>Material changes trigger recalculation and possible re-underwriting.</w:t>
      </w:r>
    </w:p>
    <w:p>
      <w:pPr>
        <w:pStyle w:val="Heading2"/>
      </w:pPr>
      <w:r>
        <w:t>18.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19. Approval Communication and Handoff</w:t>
      </w:r>
    </w:p>
    <w:p>
      <w:pPr>
        <w:pStyle w:val="Heading2"/>
      </w:pPr>
      <w:r>
        <w:t>19.1 Approval Notice</w:t>
      </w:r>
    </w:p>
    <w:p>
      <w:pPr>
        <w:pStyle w:val="ListBullet"/>
      </w:pPr>
      <w:r>
        <w:rPr>
          <w:sz w:val="19"/>
        </w:rPr>
        <w:t>Use approved templates and include applicant name, loan amount, product, security property, conditions, expiry date, next steps, required fees, contact details, and any required disclosures.</w:t>
      </w:r>
    </w:p>
    <w:p>
      <w:pPr>
        <w:pStyle w:val="ListBullet"/>
      </w:pPr>
      <w:r>
        <w:rPr>
          <w:sz w:val="19"/>
        </w:rPr>
        <w:t>Do not communicate approval before the decision is recorded in the LOS and authority is confirmed.</w:t>
      </w:r>
    </w:p>
    <w:p>
      <w:pPr>
        <w:pStyle w:val="ListBullet"/>
      </w:pPr>
      <w:r>
        <w:rPr>
          <w:sz w:val="19"/>
        </w:rPr>
        <w:t>For broker/intermediary applications, communicate through approved channel and maintain borrower privacy rules.</w:t>
      </w:r>
    </w:p>
    <w:p>
      <w:pPr>
        <w:pStyle w:val="Heading2"/>
      </w:pPr>
      <w:r>
        <w:t>19.2 Handoff to Offer / Closing</w:t>
      </w:r>
    </w:p>
    <w:p>
      <w:pPr>
        <w:pStyle w:val="ListBullet"/>
      </w:pPr>
      <w:r>
        <w:rPr>
          <w:sz w:val="19"/>
        </w:rPr>
        <w:t>Transfer the application to the offer, documentation, closing, or settlement team with a complete condition list, approval terms, valuation details, borrower contact preferences, and outstanding operational tasks.</w:t>
      </w:r>
    </w:p>
    <w:p>
      <w:pPr>
        <w:pStyle w:val="ListBullet"/>
      </w:pPr>
      <w:r>
        <w:rPr>
          <w:sz w:val="19"/>
        </w:rPr>
        <w:t>Ensure any conditions precedent to offer, settlement, or funding are clearly classified.</w:t>
      </w:r>
    </w:p>
    <w:p>
      <w:pPr>
        <w:pStyle w:val="ListBullet"/>
      </w:pPr>
      <w:r>
        <w:rPr>
          <w:sz w:val="19"/>
        </w:rPr>
        <w:t>Maintain ownership of processing conditions until formally accepted by the receiving team.</w:t>
      </w:r>
    </w:p>
    <w:p>
      <w:pPr>
        <w:pStyle w:val="Heading2"/>
      </w:pPr>
      <w:r>
        <w:t>19.3 Approval Expiry and Changes</w:t>
      </w:r>
    </w:p>
    <w:p>
      <w:pPr>
        <w:pStyle w:val="ListBullet"/>
      </w:pPr>
      <w:r>
        <w:rPr>
          <w:sz w:val="19"/>
        </w:rPr>
        <w:t>Track approval expiry, rate-lock expiry, valuation expiry, document staleness, and settlement deadlines.</w:t>
      </w:r>
    </w:p>
    <w:p>
      <w:pPr>
        <w:pStyle w:val="ListBullet"/>
      </w:pPr>
      <w:r>
        <w:rPr>
          <w:sz w:val="19"/>
        </w:rPr>
        <w:t>If loan amount, property, borrower, income, liabilities, product, term, or credit profile changes materially, return file for reassessment.</w:t>
      </w:r>
    </w:p>
    <w:p>
      <w:pPr>
        <w:pStyle w:val="Heading2"/>
      </w:pPr>
      <w:r>
        <w:t>19.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20. Decline, Withdrawal, and Incomplete Closure</w:t>
      </w:r>
    </w:p>
    <w:p>
      <w:pPr>
        <w:pStyle w:val="Heading2"/>
      </w:pPr>
      <w:r>
        <w:t>20.1 Decline Requirements</w:t>
      </w:r>
    </w:p>
    <w:p>
      <w:pPr>
        <w:pStyle w:val="ListBullet"/>
      </w:pPr>
      <w:r>
        <w:rPr>
          <w:sz w:val="19"/>
        </w:rPr>
        <w:t>A decline must be based on documented facts, policy criteria, risk assessment, or failure to satisfy required conditions.</w:t>
      </w:r>
    </w:p>
    <w:p>
      <w:pPr>
        <w:pStyle w:val="ListBullet"/>
      </w:pPr>
      <w:r>
        <w:rPr>
          <w:sz w:val="19"/>
        </w:rPr>
        <w:t>The decline reason must be accurate, supportable, and aligned to approved reason codes and communication requirements.</w:t>
      </w:r>
    </w:p>
    <w:p>
      <w:pPr>
        <w:pStyle w:val="ListBullet"/>
      </w:pPr>
      <w:r>
        <w:rPr>
          <w:sz w:val="19"/>
        </w:rPr>
        <w:t>Only authorized staff may communicate decline decisions.</w:t>
      </w:r>
    </w:p>
    <w:p>
      <w:pPr>
        <w:pStyle w:val="Heading2"/>
      </w:pPr>
      <w:r>
        <w:t>20.2 Decline Communication</w:t>
      </w:r>
    </w:p>
    <w:p>
      <w:pPr>
        <w:pStyle w:val="ListBullet"/>
      </w:pPr>
      <w:r>
        <w:rPr>
          <w:sz w:val="19"/>
        </w:rPr>
        <w:t>Use approved adverse-action or decline templates where required.</w:t>
      </w:r>
    </w:p>
    <w:p>
      <w:pPr>
        <w:pStyle w:val="ListBullet"/>
      </w:pPr>
      <w:r>
        <w:rPr>
          <w:sz w:val="19"/>
        </w:rPr>
        <w:t>Include required information about the decision, contact channels, reconsideration or complaint process where applicable, and credit bureau information where required by local rules.</w:t>
      </w:r>
    </w:p>
    <w:p>
      <w:pPr>
        <w:pStyle w:val="ListBullet"/>
      </w:pPr>
      <w:r>
        <w:rPr>
          <w:sz w:val="19"/>
        </w:rPr>
        <w:t>Avoid judgmental wording, unsupported allegations, or disclosure of confidential fraud indicators.</w:t>
      </w:r>
    </w:p>
    <w:p>
      <w:pPr>
        <w:pStyle w:val="Heading2"/>
      </w:pPr>
      <w:r>
        <w:t>20.3 Withdrawal / Incomplete Closure</w:t>
      </w:r>
    </w:p>
    <w:p>
      <w:pPr>
        <w:pStyle w:val="ListBullet"/>
      </w:pPr>
      <w:r>
        <w:rPr>
          <w:sz w:val="19"/>
        </w:rPr>
        <w:t>If the applicant withdraws, obtain written or recorded confirmation where feasible and close the application as withdrawn.</w:t>
      </w:r>
    </w:p>
    <w:p>
      <w:pPr>
        <w:pStyle w:val="ListBullet"/>
      </w:pPr>
      <w:r>
        <w:rPr>
          <w:sz w:val="19"/>
        </w:rPr>
        <w:t>If information is not supplied, send required reminders and final notice before closing as incomplete or expired.</w:t>
      </w:r>
    </w:p>
    <w:p>
      <w:pPr>
        <w:pStyle w:val="ListBullet"/>
      </w:pPr>
      <w:r>
        <w:rPr>
          <w:sz w:val="19"/>
        </w:rPr>
        <w:t>Retain all records according to retention policy even if no credit decision was made.</w:t>
      </w:r>
    </w:p>
    <w:p>
      <w:pPr>
        <w:pStyle w:val="Heading2"/>
      </w:pPr>
      <w:r>
        <w:t>20.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21. Customer, Broker, and Internal Communications</w:t>
      </w:r>
    </w:p>
    <w:p>
      <w:pPr>
        <w:pStyle w:val="Heading2"/>
      </w:pPr>
      <w:r>
        <w:t>21.1 Communication Standards</w:t>
      </w:r>
    </w:p>
    <w:p>
      <w:pPr>
        <w:pStyle w:val="ListBullet"/>
      </w:pPr>
      <w:r>
        <w:rPr>
          <w:sz w:val="19"/>
        </w:rPr>
        <w:t>Use clear, professional, and consistent language.</w:t>
      </w:r>
    </w:p>
    <w:p>
      <w:pPr>
        <w:pStyle w:val="ListBullet"/>
      </w:pPr>
      <w:r>
        <w:rPr>
          <w:sz w:val="19"/>
        </w:rPr>
        <w:t>Send requests in consolidated batches where possible to reduce customer friction.</w:t>
      </w:r>
    </w:p>
    <w:p>
      <w:pPr>
        <w:pStyle w:val="ListBullet"/>
      </w:pPr>
      <w:r>
        <w:rPr>
          <w:sz w:val="19"/>
        </w:rPr>
        <w:t>Record every material communication in the LOS with date, channel, participants, summary, and next action.</w:t>
      </w:r>
    </w:p>
    <w:p>
      <w:pPr>
        <w:pStyle w:val="ListBullet"/>
      </w:pPr>
      <w:r>
        <w:rPr>
          <w:sz w:val="19"/>
        </w:rPr>
        <w:t>Do not use personal email, messaging apps, or unapproved storage for customer documents.</w:t>
      </w:r>
    </w:p>
    <w:p>
      <w:pPr>
        <w:pStyle w:val="Heading2"/>
      </w:pPr>
      <w:r>
        <w:t>21.2 Status Updates</w:t>
      </w:r>
    </w:p>
    <w:p>
      <w:pPr>
        <w:pStyle w:val="ListBullet"/>
      </w:pPr>
      <w:r>
        <w:rPr>
          <w:sz w:val="19"/>
        </w:rPr>
        <w:t>Provide status updates at agreed milestones: receipt, missing information, valuation ordered, underwriting submission, conditional approval, final approval, decline, withdrawal, or closure.</w:t>
      </w:r>
    </w:p>
    <w:p>
      <w:pPr>
        <w:pStyle w:val="ListBullet"/>
      </w:pPr>
      <w:r>
        <w:rPr>
          <w:sz w:val="19"/>
        </w:rPr>
        <w:t>For urgent settlement files, increase update frequency and escalate delays early.</w:t>
      </w:r>
    </w:p>
    <w:p>
      <w:pPr>
        <w:pStyle w:val="ListBullet"/>
      </w:pPr>
      <w:r>
        <w:rPr>
          <w:sz w:val="19"/>
        </w:rPr>
        <w:t>Do not guarantee approval, valuation amounts, interest rates, or settlement dates unless formally confirmed.</w:t>
      </w:r>
    </w:p>
    <w:p>
      <w:pPr>
        <w:pStyle w:val="Heading2"/>
      </w:pPr>
      <w:r>
        <w:t>21.3 Vulnerable Customers and Hardship Signals</w:t>
      </w:r>
    </w:p>
    <w:p>
      <w:pPr>
        <w:pStyle w:val="ListBullet"/>
      </w:pPr>
      <w:r>
        <w:rPr>
          <w:sz w:val="19"/>
        </w:rPr>
        <w:t>If a customer indicates vulnerability, financial distress, literacy barriers, disability, domestic abuse, illness, or coercion, follow the organization’s vulnerable-customer procedure.</w:t>
      </w:r>
    </w:p>
    <w:p>
      <w:pPr>
        <w:pStyle w:val="ListBullet"/>
      </w:pPr>
      <w:r>
        <w:rPr>
          <w:sz w:val="19"/>
        </w:rPr>
        <w:t>Offer reasonable communication accommodations and escalate where specialist handling is needed.</w:t>
      </w:r>
    </w:p>
    <w:p>
      <w:pPr>
        <w:pStyle w:val="Heading2"/>
      </w:pPr>
      <w:r>
        <w:t>21.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22. Quality Assurance and File Audit</w:t>
      </w:r>
    </w:p>
    <w:p>
      <w:pPr>
        <w:pStyle w:val="Heading2"/>
      </w:pPr>
      <w:r>
        <w:t>22.1 QA Objectives</w:t>
      </w:r>
    </w:p>
    <w:p>
      <w:pPr>
        <w:pStyle w:val="ListBullet"/>
      </w:pPr>
      <w:r>
        <w:rPr>
          <w:sz w:val="19"/>
        </w:rPr>
        <w:t>Confirm that applications are processed consistently, accurately, fairly, and in accordance with policy and regulatory obligations.</w:t>
      </w:r>
    </w:p>
    <w:p>
      <w:pPr>
        <w:pStyle w:val="ListBullet"/>
      </w:pPr>
      <w:r>
        <w:rPr>
          <w:sz w:val="19"/>
        </w:rPr>
        <w:t>Identify control failures, training gaps, system issues, document defects, and recurring sources of rework.</w:t>
      </w:r>
    </w:p>
    <w:p>
      <w:pPr>
        <w:pStyle w:val="Heading2"/>
      </w:pPr>
      <w:r>
        <w:t>22.2 File Review Checks</w:t>
      </w:r>
    </w:p>
    <w:p>
      <w:pPr>
        <w:pStyle w:val="ListBullet"/>
      </w:pPr>
      <w:r>
        <w:rPr>
          <w:sz w:val="19"/>
        </w:rPr>
        <w:t>Application data matches source documents.</w:t>
      </w:r>
    </w:p>
    <w:p>
      <w:pPr>
        <w:pStyle w:val="ListBullet"/>
      </w:pPr>
      <w:r>
        <w:rPr>
          <w:sz w:val="19"/>
        </w:rPr>
        <w:t>Required consents are present before third-party checks.</w:t>
      </w:r>
    </w:p>
    <w:p>
      <w:pPr>
        <w:pStyle w:val="ListBullet"/>
      </w:pPr>
      <w:r>
        <w:rPr>
          <w:sz w:val="19"/>
        </w:rPr>
        <w:t>Income, liabilities, assets, and collateral are verified using acceptable evidence.</w:t>
      </w:r>
    </w:p>
    <w:p>
      <w:pPr>
        <w:pStyle w:val="ListBullet"/>
      </w:pPr>
      <w:r>
        <w:rPr>
          <w:sz w:val="19"/>
        </w:rPr>
        <w:t>Serviceability and LTV are calculated correctly.</w:t>
      </w:r>
    </w:p>
    <w:p>
      <w:pPr>
        <w:pStyle w:val="ListBullet"/>
      </w:pPr>
      <w:r>
        <w:rPr>
          <w:sz w:val="19"/>
        </w:rPr>
        <w:t>Conditions are clear and properly cleared.</w:t>
      </w:r>
    </w:p>
    <w:p>
      <w:pPr>
        <w:pStyle w:val="ListBullet"/>
      </w:pPr>
      <w:r>
        <w:rPr>
          <w:sz w:val="19"/>
        </w:rPr>
        <w:t>Decline reasons are supported.</w:t>
      </w:r>
    </w:p>
    <w:p>
      <w:pPr>
        <w:pStyle w:val="ListBullet"/>
      </w:pPr>
      <w:r>
        <w:rPr>
          <w:sz w:val="19"/>
        </w:rPr>
        <w:t>Communications are timely and stored.</w:t>
      </w:r>
    </w:p>
    <w:p>
      <w:pPr>
        <w:pStyle w:val="ListBullet"/>
      </w:pPr>
      <w:r>
        <w:rPr>
          <w:sz w:val="19"/>
        </w:rPr>
        <w:t>Exceptions are approved at the correct authority level.</w:t>
      </w:r>
    </w:p>
    <w:p>
      <w:pPr>
        <w:pStyle w:val="Heading2"/>
      </w:pPr>
      <w:r>
        <w:t>22.3 Defect Severity</w:t>
      </w:r>
    </w:p>
    <w:p>
      <w:pPr>
        <w:pStyle w:val="ListBullet"/>
      </w:pPr>
      <w:r>
        <w:rPr>
          <w:sz w:val="19"/>
        </w:rPr>
        <w:t>Critical: likely regulatory breach, incorrect approval/decline, fraud miss, privacy breach, or material customer harm.</w:t>
      </w:r>
    </w:p>
    <w:p>
      <w:pPr>
        <w:pStyle w:val="ListBullet"/>
      </w:pPr>
      <w:r>
        <w:rPr>
          <w:sz w:val="19"/>
        </w:rPr>
        <w:t>Major: policy breach, missing key evidence, incorrect calculation, or condition improperly cleared.</w:t>
      </w:r>
    </w:p>
    <w:p>
      <w:pPr>
        <w:pStyle w:val="ListBullet"/>
      </w:pPr>
      <w:r>
        <w:rPr>
          <w:sz w:val="19"/>
        </w:rPr>
        <w:t>Minor: formatting issue, non-material note omission, late upload, or low-risk checklist miss.</w:t>
      </w:r>
    </w:p>
    <w:p>
      <w:pPr>
        <w:pStyle w:val="ListBullet"/>
      </w:pPr>
      <w:r>
        <w:rPr>
          <w:sz w:val="19"/>
        </w:rPr>
        <w:t>Observation: improvement opportunity without confirmed defect.</w:t>
      </w:r>
    </w:p>
    <w:p>
      <w:pPr>
        <w:pStyle w:val="Heading2"/>
      </w:pPr>
      <w:r>
        <w:t>22.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23. Exceptions, Escalations, and Rework</w:t>
      </w:r>
    </w:p>
    <w:p>
      <w:pPr>
        <w:pStyle w:val="Heading2"/>
      </w:pPr>
      <w:r>
        <w:t>23.1 Exceptions</w:t>
      </w:r>
    </w:p>
    <w:p>
      <w:pPr>
        <w:pStyle w:val="ListBullet"/>
      </w:pPr>
      <w:r>
        <w:rPr>
          <w:sz w:val="19"/>
        </w:rPr>
        <w:t>An exception is any departure from credit policy, product rules, documentation standards, SLA, workflow, or delegated authority requirements.</w:t>
      </w:r>
    </w:p>
    <w:p>
      <w:pPr>
        <w:pStyle w:val="ListBullet"/>
      </w:pPr>
      <w:r>
        <w:rPr>
          <w:sz w:val="19"/>
        </w:rPr>
        <w:t>Exceptions must be documented, risk-assessed, approved by the correct authority, and monitored.</w:t>
      </w:r>
    </w:p>
    <w:p>
      <w:pPr>
        <w:pStyle w:val="ListBullet"/>
      </w:pPr>
      <w:r>
        <w:rPr>
          <w:sz w:val="19"/>
        </w:rPr>
        <w:t>Repeat exceptions may indicate policy ambiguity or training issues.</w:t>
      </w:r>
    </w:p>
    <w:p>
      <w:pPr>
        <w:pStyle w:val="Heading2"/>
      </w:pPr>
      <w:r>
        <w:t>23.2 Escalation Triggers</w:t>
      </w:r>
    </w:p>
    <w:p>
      <w:pPr>
        <w:pStyle w:val="ListBullet"/>
      </w:pPr>
      <w:r>
        <w:rPr>
          <w:sz w:val="19"/>
        </w:rPr>
        <w:t>Potential fraud or misrepresentation.</w:t>
      </w:r>
    </w:p>
    <w:p>
      <w:pPr>
        <w:pStyle w:val="ListBullet"/>
      </w:pPr>
      <w:r>
        <w:rPr>
          <w:sz w:val="19"/>
        </w:rPr>
        <w:t>Regulatory, privacy, complaint, or conduct concern.</w:t>
      </w:r>
    </w:p>
    <w:p>
      <w:pPr>
        <w:pStyle w:val="ListBullet"/>
      </w:pPr>
      <w:r>
        <w:rPr>
          <w:sz w:val="19"/>
        </w:rPr>
        <w:t>Settlement at risk within defined urgent timeframe.</w:t>
      </w:r>
    </w:p>
    <w:p>
      <w:pPr>
        <w:pStyle w:val="ListBullet"/>
      </w:pPr>
      <w:r>
        <w:rPr>
          <w:sz w:val="19"/>
        </w:rPr>
        <w:t>High-value exposure or authority limit concern.</w:t>
      </w:r>
    </w:p>
    <w:p>
      <w:pPr>
        <w:pStyle w:val="ListBullet"/>
      </w:pPr>
      <w:r>
        <w:rPr>
          <w:sz w:val="19"/>
        </w:rPr>
        <w:t>Disagreement between processor, sales, and underwriter.</w:t>
      </w:r>
    </w:p>
    <w:p>
      <w:pPr>
        <w:pStyle w:val="ListBullet"/>
      </w:pPr>
      <w:r>
        <w:rPr>
          <w:sz w:val="19"/>
        </w:rPr>
        <w:t>Valuation dispute or unacceptable property risk.</w:t>
      </w:r>
    </w:p>
    <w:p>
      <w:pPr>
        <w:pStyle w:val="ListBullet"/>
      </w:pPr>
      <w:r>
        <w:rPr>
          <w:sz w:val="19"/>
        </w:rPr>
        <w:t>System outage affecting customer commitments.</w:t>
      </w:r>
    </w:p>
    <w:p>
      <w:pPr>
        <w:pStyle w:val="Heading2"/>
      </w:pPr>
      <w:r>
        <w:t>23.3 Rework Control</w:t>
      </w:r>
    </w:p>
    <w:p>
      <w:pPr>
        <w:pStyle w:val="ListBullet"/>
      </w:pPr>
      <w:r>
        <w:rPr>
          <w:sz w:val="19"/>
        </w:rPr>
        <w:t>Returned files must include clear rework reasons and due dates.</w:t>
      </w:r>
    </w:p>
    <w:p>
      <w:pPr>
        <w:pStyle w:val="ListBullet"/>
      </w:pPr>
      <w:r>
        <w:rPr>
          <w:sz w:val="19"/>
        </w:rPr>
        <w:t>Processors must correct root causes, not only symptoms.</w:t>
      </w:r>
    </w:p>
    <w:p>
      <w:pPr>
        <w:pStyle w:val="ListBullet"/>
      </w:pPr>
      <w:r>
        <w:rPr>
          <w:sz w:val="19"/>
        </w:rPr>
        <w:t>Team leaders review high rework rates and coach staff on recurring issues.</w:t>
      </w:r>
    </w:p>
    <w:p>
      <w:pPr>
        <w:pStyle w:val="Heading2"/>
      </w:pPr>
      <w:r>
        <w:t>23.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24. Recordkeeping, Privacy, and Information Security</w:t>
      </w:r>
    </w:p>
    <w:p>
      <w:pPr>
        <w:pStyle w:val="Heading2"/>
      </w:pPr>
      <w:r>
        <w:t>24.1 Recordkeeping Standard</w:t>
      </w:r>
    </w:p>
    <w:p>
      <w:pPr>
        <w:pStyle w:val="ListBullet"/>
      </w:pPr>
      <w:r>
        <w:rPr>
          <w:sz w:val="19"/>
        </w:rPr>
        <w:t>All source documents, communication records, decision notes, checklists, calculations, reports, approvals, exceptions, and notices must be stored in the DMS or approved system of record.</w:t>
      </w:r>
    </w:p>
    <w:p>
      <w:pPr>
        <w:pStyle w:val="ListBullet"/>
      </w:pPr>
      <w:r>
        <w:rPr>
          <w:sz w:val="19"/>
        </w:rPr>
        <w:t>Records must be indexed so that audit, complaint handling, servicing, and regulatory review can reconstruct the decision.</w:t>
      </w:r>
    </w:p>
    <w:p>
      <w:pPr>
        <w:pStyle w:val="Heading2"/>
      </w:pPr>
      <w:r>
        <w:t>24.2 Privacy and Data Security</w:t>
      </w:r>
    </w:p>
    <w:p>
      <w:pPr>
        <w:pStyle w:val="ListBullet"/>
      </w:pPr>
      <w:r>
        <w:rPr>
          <w:sz w:val="19"/>
        </w:rPr>
        <w:t>Collect only information required for processing, decisioning, regulatory compliance, or legitimate business purposes.</w:t>
      </w:r>
    </w:p>
    <w:p>
      <w:pPr>
        <w:pStyle w:val="ListBullet"/>
      </w:pPr>
      <w:r>
        <w:rPr>
          <w:sz w:val="19"/>
        </w:rPr>
        <w:t>Use secure upload links and approved channels for sensitive information.</w:t>
      </w:r>
    </w:p>
    <w:p>
      <w:pPr>
        <w:pStyle w:val="ListBullet"/>
      </w:pPr>
      <w:r>
        <w:rPr>
          <w:sz w:val="19"/>
        </w:rPr>
        <w:t>Restrict access to staff with a legitimate business need.</w:t>
      </w:r>
    </w:p>
    <w:p>
      <w:pPr>
        <w:pStyle w:val="ListBullet"/>
      </w:pPr>
      <w:r>
        <w:rPr>
          <w:sz w:val="19"/>
        </w:rPr>
        <w:t>Report misdirected emails, lost documents, unauthorized access, or suspected data compromise immediately.</w:t>
      </w:r>
    </w:p>
    <w:p>
      <w:pPr>
        <w:pStyle w:val="Heading2"/>
      </w:pPr>
      <w:r>
        <w:t>24.3 Retention and Disposal</w:t>
      </w:r>
    </w:p>
    <w:p>
      <w:pPr>
        <w:pStyle w:val="ListBullet"/>
      </w:pPr>
      <w:r>
        <w:rPr>
          <w:sz w:val="19"/>
        </w:rPr>
        <w:t>Retain application records for the period required by law and policy.</w:t>
      </w:r>
    </w:p>
    <w:p>
      <w:pPr>
        <w:pStyle w:val="ListBullet"/>
      </w:pPr>
      <w:r>
        <w:rPr>
          <w:sz w:val="19"/>
        </w:rPr>
        <w:t>Do not delete or alter records because an application was declined, withdrawn, or complained about.</w:t>
      </w:r>
    </w:p>
    <w:p>
      <w:pPr>
        <w:pStyle w:val="ListBullet"/>
      </w:pPr>
      <w:r>
        <w:rPr>
          <w:sz w:val="19"/>
        </w:rPr>
        <w:t>Dispose of physical and digital copies using approved secure disposal methods.</w:t>
      </w:r>
    </w:p>
    <w:p>
      <w:pPr>
        <w:pStyle w:val="Heading2"/>
      </w:pPr>
      <w:r>
        <w:t>24.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25. Reporting, KPIs, and Continuous Improvement</w:t>
      </w:r>
    </w:p>
    <w:p>
      <w:pPr>
        <w:pStyle w:val="Heading2"/>
      </w:pPr>
      <w:r>
        <w:t>25.1 Operational Metrics</w:t>
      </w:r>
    </w:p>
    <w:p>
      <w:pPr>
        <w:pStyle w:val="ListBullet"/>
      </w:pPr>
      <w:r>
        <w:rPr>
          <w:sz w:val="19"/>
        </w:rPr>
        <w:t>Application volume by channel, product, source, status, and team.</w:t>
      </w:r>
    </w:p>
    <w:p>
      <w:pPr>
        <w:pStyle w:val="ListBullet"/>
      </w:pPr>
      <w:r>
        <w:rPr>
          <w:sz w:val="19"/>
        </w:rPr>
        <w:t>Average time in each stage and end-to-end cycle time.</w:t>
      </w:r>
    </w:p>
    <w:p>
      <w:pPr>
        <w:pStyle w:val="ListBullet"/>
      </w:pPr>
      <w:r>
        <w:rPr>
          <w:sz w:val="19"/>
        </w:rPr>
        <w:t>SLA adherence, aged pipeline, missing-information ageing, underwriting return rate, approval rate, conditional approval rate, decline rate, withdrawal rate, and incomplete closure rate.</w:t>
      </w:r>
    </w:p>
    <w:p>
      <w:pPr>
        <w:pStyle w:val="ListBullet"/>
      </w:pPr>
      <w:r>
        <w:rPr>
          <w:sz w:val="19"/>
        </w:rPr>
        <w:t>Valuation turnaround, verification turnaround, rework causes, QA defect rates, complaints, and exception volumes.</w:t>
      </w:r>
    </w:p>
    <w:p>
      <w:pPr>
        <w:pStyle w:val="Heading2"/>
      </w:pPr>
      <w:r>
        <w:t>25.2 Management Review</w:t>
      </w:r>
    </w:p>
    <w:p>
      <w:pPr>
        <w:pStyle w:val="ListBullet"/>
      </w:pPr>
      <w:r>
        <w:rPr>
          <w:sz w:val="19"/>
        </w:rPr>
        <w:t>Daily pipeline huddles should focus on aged items, urgent settlements, blockers, and staff capacity.</w:t>
      </w:r>
    </w:p>
    <w:p>
      <w:pPr>
        <w:pStyle w:val="ListBullet"/>
      </w:pPr>
      <w:r>
        <w:rPr>
          <w:sz w:val="19"/>
        </w:rPr>
        <w:t>Weekly management reports should identify bottlenecks, quality trends, broker/source performance, and escalation themes.</w:t>
      </w:r>
    </w:p>
    <w:p>
      <w:pPr>
        <w:pStyle w:val="ListBullet"/>
      </w:pPr>
      <w:r>
        <w:rPr>
          <w:sz w:val="19"/>
        </w:rPr>
        <w:t>Monthly governance packs should summarize risk issues, defects, exceptions, customer impacts, and remediation actions.</w:t>
      </w:r>
    </w:p>
    <w:p>
      <w:pPr>
        <w:pStyle w:val="Heading2"/>
      </w:pPr>
      <w:r>
        <w:t>25.3 Continuous Improvement</w:t>
      </w:r>
    </w:p>
    <w:p>
      <w:pPr>
        <w:pStyle w:val="ListBullet"/>
      </w:pPr>
      <w:r>
        <w:rPr>
          <w:sz w:val="19"/>
        </w:rPr>
        <w:t>Prioritize fixes that reduce customer friction, manual rework, policy ambiguity, system duplication, and quality defects.</w:t>
      </w:r>
    </w:p>
    <w:p>
      <w:pPr>
        <w:pStyle w:val="ListBullet"/>
      </w:pPr>
      <w:r>
        <w:rPr>
          <w:sz w:val="19"/>
        </w:rPr>
        <w:t>Use root-cause analysis for recurring problems and validate that corrective actions improve outcomes.</w:t>
      </w:r>
    </w:p>
    <w:p>
      <w:pPr>
        <w:pStyle w:val="ListBullet"/>
      </w:pPr>
      <w:r>
        <w:rPr>
          <w:sz w:val="19"/>
        </w:rPr>
        <w:t>Update SOPs, checklists, scripts, templates, and training materials together so staff receive one consistent operating model.</w:t>
      </w:r>
    </w:p>
    <w:p>
      <w:pPr>
        <w:pStyle w:val="Heading2"/>
      </w:pPr>
      <w:r>
        <w:t>25. Key Controls and Evidence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shd w:fill="1F4E79"/>
            <w:vAlign w:val="center"/>
          </w:tcPr>
          <w:p>
            <w:r/>
            <w:r>
              <w:rPr>
                <w:b/>
                <w:color w:val="FFFFFF"/>
                <w:sz w:val="15"/>
              </w:rPr>
              <w:t>Control Point</w:t>
            </w:r>
          </w:p>
        </w:tc>
        <w:tc>
          <w:tcPr>
            <w:tcW w:type="dxa" w:w="3384"/>
            <w:shd w:fill="1F4E79"/>
            <w:vAlign w:val="center"/>
          </w:tcPr>
          <w:p>
            <w:r/>
            <w:r>
              <w:rPr>
                <w:b/>
                <w:color w:val="FFFFFF"/>
                <w:sz w:val="15"/>
              </w:rPr>
              <w:t>Required Evidence</w:t>
            </w:r>
          </w:p>
        </w:tc>
        <w:tc>
          <w:tcPr>
            <w:tcW w:type="dxa" w:w="1800"/>
            <w:shd w:fill="1F4E79"/>
            <w:vAlign w:val="center"/>
          </w:tcPr>
          <w:p>
            <w:r/>
            <w:r>
              <w:rPr>
                <w:b/>
                <w:color w:val="FFFFFF"/>
                <w:sz w:val="15"/>
              </w:rPr>
              <w:t>Owner</w:t>
            </w:r>
          </w:p>
        </w:tc>
        <w:tc>
          <w:tcPr>
            <w:tcW w:type="dxa" w:w="2304"/>
            <w:shd w:fill="1F4E79"/>
            <w:vAlign w:val="center"/>
          </w:tcPr>
          <w:p>
            <w:r/>
            <w:r>
              <w:rPr>
                <w:b/>
                <w:color w:val="FFFFFF"/>
                <w:sz w:val="15"/>
              </w:rPr>
              <w:t>System Record</w:t>
            </w:r>
          </w:p>
        </w:tc>
      </w:tr>
      <w:tr>
        <w:tc>
          <w:tcPr>
            <w:tcW w:type="dxa" w:w="2088"/>
            <w:vAlign w:val="top"/>
          </w:tcPr>
          <w:p>
            <w:r/>
            <w:r>
              <w:rPr>
                <w:b w:val="0"/>
                <w:sz w:val="15"/>
              </w:rPr>
              <w:t>Task completion</w:t>
            </w:r>
          </w:p>
        </w:tc>
        <w:tc>
          <w:tcPr>
            <w:tcW w:type="dxa" w:w="3384"/>
            <w:vAlign w:val="top"/>
          </w:tcPr>
          <w:p>
            <w:r/>
            <w:r>
              <w:rPr>
                <w:b w:val="0"/>
                <w:sz w:val="15"/>
              </w:rPr>
              <w:t>Completed checklist, timestamp, and staff initials or system user ID.</w:t>
            </w:r>
          </w:p>
        </w:tc>
        <w:tc>
          <w:tcPr>
            <w:tcW w:type="dxa" w:w="1800"/>
            <w:vAlign w:val="top"/>
          </w:tcPr>
          <w:p>
            <w:r/>
            <w:r>
              <w:rPr>
                <w:b w:val="0"/>
                <w:sz w:val="15"/>
              </w:rPr>
              <w:t>Processor / Assigned Role</w:t>
            </w:r>
          </w:p>
        </w:tc>
        <w:tc>
          <w:tcPr>
            <w:tcW w:type="dxa" w:w="2304"/>
            <w:vAlign w:val="top"/>
          </w:tcPr>
          <w:p>
            <w:r/>
            <w:r>
              <w:rPr>
                <w:b w:val="0"/>
                <w:sz w:val="15"/>
              </w:rPr>
              <w:t>LOS workflow task</w:t>
            </w:r>
          </w:p>
        </w:tc>
      </w:tr>
      <w:tr>
        <w:tc>
          <w:tcPr>
            <w:tcW w:type="dxa" w:w="2088"/>
            <w:vAlign w:val="top"/>
          </w:tcPr>
          <w:p>
            <w:r/>
            <w:r>
              <w:rPr>
                <w:b w:val="0"/>
                <w:sz w:val="15"/>
              </w:rPr>
              <w:t>Data support</w:t>
            </w:r>
          </w:p>
        </w:tc>
        <w:tc>
          <w:tcPr>
            <w:tcW w:type="dxa" w:w="3384"/>
            <w:vAlign w:val="top"/>
          </w:tcPr>
          <w:p>
            <w:r/>
            <w:r>
              <w:rPr>
                <w:b w:val="0"/>
                <w:sz w:val="15"/>
              </w:rPr>
              <w:t>Source document, digital verification result, or approved calculation worksheet.</w:t>
            </w:r>
          </w:p>
        </w:tc>
        <w:tc>
          <w:tcPr>
            <w:tcW w:type="dxa" w:w="1800"/>
            <w:vAlign w:val="top"/>
          </w:tcPr>
          <w:p>
            <w:r/>
            <w:r>
              <w:rPr>
                <w:b w:val="0"/>
                <w:sz w:val="15"/>
              </w:rPr>
              <w:t>Processor / Verifier</w:t>
            </w:r>
          </w:p>
        </w:tc>
        <w:tc>
          <w:tcPr>
            <w:tcW w:type="dxa" w:w="2304"/>
            <w:vAlign w:val="top"/>
          </w:tcPr>
          <w:p>
            <w:r/>
            <w:r>
              <w:rPr>
                <w:b w:val="0"/>
                <w:sz w:val="15"/>
              </w:rPr>
              <w:t>DMS and LOS fields</w:t>
            </w:r>
          </w:p>
        </w:tc>
      </w:tr>
      <w:tr>
        <w:tc>
          <w:tcPr>
            <w:tcW w:type="dxa" w:w="2088"/>
            <w:vAlign w:val="top"/>
          </w:tcPr>
          <w:p>
            <w:r/>
            <w:r>
              <w:rPr>
                <w:b w:val="0"/>
                <w:sz w:val="15"/>
              </w:rPr>
              <w:t>Exception handling</w:t>
            </w:r>
          </w:p>
        </w:tc>
        <w:tc>
          <w:tcPr>
            <w:tcW w:type="dxa" w:w="3384"/>
            <w:vAlign w:val="top"/>
          </w:tcPr>
          <w:p>
            <w:r/>
            <w:r>
              <w:rPr>
                <w:b w:val="0"/>
                <w:sz w:val="15"/>
              </w:rPr>
              <w:t>Documented exception reason, risk impact, approver, date, and conditions.</w:t>
            </w:r>
          </w:p>
        </w:tc>
        <w:tc>
          <w:tcPr>
            <w:tcW w:type="dxa" w:w="1800"/>
            <w:vAlign w:val="top"/>
          </w:tcPr>
          <w:p>
            <w:r/>
            <w:r>
              <w:rPr>
                <w:b w:val="0"/>
                <w:sz w:val="15"/>
              </w:rPr>
              <w:t>Team Leader / Underwriter</w:t>
            </w:r>
          </w:p>
        </w:tc>
        <w:tc>
          <w:tcPr>
            <w:tcW w:type="dxa" w:w="2304"/>
            <w:vAlign w:val="top"/>
          </w:tcPr>
          <w:p>
            <w:r/>
            <w:r>
              <w:rPr>
                <w:b w:val="0"/>
                <w:sz w:val="15"/>
              </w:rPr>
              <w:t>Exception log</w:t>
            </w:r>
          </w:p>
        </w:tc>
      </w:tr>
      <w:tr>
        <w:tc>
          <w:tcPr>
            <w:tcW w:type="dxa" w:w="2088"/>
            <w:vAlign w:val="top"/>
          </w:tcPr>
          <w:p>
            <w:r/>
            <w:r>
              <w:rPr>
                <w:b w:val="0"/>
                <w:sz w:val="15"/>
              </w:rPr>
              <w:t>Communication</w:t>
            </w:r>
          </w:p>
        </w:tc>
        <w:tc>
          <w:tcPr>
            <w:tcW w:type="dxa" w:w="3384"/>
            <w:vAlign w:val="top"/>
          </w:tcPr>
          <w:p>
            <w:r/>
            <w:r>
              <w:rPr>
                <w:b w:val="0"/>
                <w:sz w:val="15"/>
              </w:rPr>
              <w:t>Copy of request, notice, call note, or secure-message record.</w:t>
            </w:r>
          </w:p>
        </w:tc>
        <w:tc>
          <w:tcPr>
            <w:tcW w:type="dxa" w:w="1800"/>
            <w:vAlign w:val="top"/>
          </w:tcPr>
          <w:p>
            <w:r/>
            <w:r>
              <w:rPr>
                <w:b w:val="0"/>
                <w:sz w:val="15"/>
              </w:rPr>
              <w:t>Processor / Loan Officer</w:t>
            </w:r>
          </w:p>
        </w:tc>
        <w:tc>
          <w:tcPr>
            <w:tcW w:type="dxa" w:w="2304"/>
            <w:vAlign w:val="top"/>
          </w:tcPr>
          <w:p>
            <w:r/>
            <w:r>
              <w:rPr>
                <w:b w:val="0"/>
                <w:sz w:val="15"/>
              </w:rPr>
              <w:t>LOS communication tab</w:t>
            </w:r>
          </w:p>
        </w:tc>
      </w:tr>
      <w:tr>
        <w:tc>
          <w:tcPr>
            <w:tcW w:type="dxa" w:w="2088"/>
            <w:vAlign w:val="top"/>
          </w:tcPr>
          <w:p>
            <w:r/>
            <w:r>
              <w:rPr>
                <w:b w:val="0"/>
                <w:sz w:val="15"/>
              </w:rPr>
              <w:t>Quality review</w:t>
            </w:r>
          </w:p>
        </w:tc>
        <w:tc>
          <w:tcPr>
            <w:tcW w:type="dxa" w:w="3384"/>
            <w:vAlign w:val="top"/>
          </w:tcPr>
          <w:p>
            <w:r/>
            <w:r>
              <w:rPr>
                <w:b w:val="0"/>
                <w:sz w:val="15"/>
              </w:rPr>
              <w:t>QA result, defect code if applicable, correction evidence, and coaching note.</w:t>
            </w:r>
          </w:p>
        </w:tc>
        <w:tc>
          <w:tcPr>
            <w:tcW w:type="dxa" w:w="1800"/>
            <w:vAlign w:val="top"/>
          </w:tcPr>
          <w:p>
            <w:r/>
            <w:r>
              <w:rPr>
                <w:b w:val="0"/>
                <w:sz w:val="15"/>
              </w:rPr>
              <w:t>QA / Team Leader</w:t>
            </w:r>
          </w:p>
        </w:tc>
        <w:tc>
          <w:tcPr>
            <w:tcW w:type="dxa" w:w="2304"/>
            <w:vAlign w:val="top"/>
          </w:tcPr>
          <w:p>
            <w:r/>
            <w:r>
              <w:rPr>
                <w:b w:val="0"/>
                <w:sz w:val="15"/>
              </w:rPr>
              <w:t>QA register</w:t>
            </w:r>
          </w:p>
        </w:tc>
      </w:tr>
    </w:tbl>
    <w:p>
      <w:pPr>
        <w:spacing w:after="40"/>
      </w:pPr>
    </w:p>
    <w:p>
      <w:r>
        <w:br w:type="page"/>
      </w:r>
    </w:p>
    <w:p>
      <w:pPr>
        <w:pStyle w:val="Heading1"/>
        <w:spacing w:before="80" w:after="160"/>
      </w:pPr>
      <w:r>
        <w:t>26. Detailed Intake Checklist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504"/>
            <w:shd w:fill="1F4E79"/>
            <w:vAlign w:val="center"/>
          </w:tcPr>
          <w:p>
            <w:r/>
            <w:r>
              <w:rPr>
                <w:b/>
                <w:color w:val="FFFFFF"/>
                <w:sz w:val="15"/>
              </w:rPr>
              <w:t>#</w:t>
            </w:r>
          </w:p>
        </w:tc>
        <w:tc>
          <w:tcPr>
            <w:tcW w:type="dxa" w:w="5040"/>
            <w:shd w:fill="1F4E79"/>
            <w:vAlign w:val="center"/>
          </w:tcPr>
          <w:p>
            <w:r/>
            <w:r>
              <w:rPr>
                <w:b/>
                <w:color w:val="FFFFFF"/>
                <w:sz w:val="15"/>
              </w:rPr>
              <w:t>Checklist Item</w:t>
            </w:r>
          </w:p>
        </w:tc>
        <w:tc>
          <w:tcPr>
            <w:tcW w:type="dxa" w:w="1728"/>
            <w:shd w:fill="1F4E79"/>
            <w:vAlign w:val="center"/>
          </w:tcPr>
          <w:p>
            <w:r/>
            <w:r>
              <w:rPr>
                <w:b/>
                <w:color w:val="FFFFFF"/>
                <w:sz w:val="15"/>
              </w:rPr>
              <w:t>Pass / Fail / N/A</w:t>
            </w:r>
          </w:p>
        </w:tc>
        <w:tc>
          <w:tcPr>
            <w:tcW w:type="dxa" w:w="2448"/>
            <w:shd w:fill="1F4E79"/>
            <w:vAlign w:val="center"/>
          </w:tcPr>
          <w:p>
            <w:r/>
            <w:r>
              <w:rPr>
                <w:b/>
                <w:color w:val="FFFFFF"/>
                <w:sz w:val="15"/>
              </w:rPr>
              <w:t>Notes / Evidence</w:t>
            </w:r>
          </w:p>
        </w:tc>
      </w:tr>
      <w:tr>
        <w:tc>
          <w:tcPr>
            <w:tcW w:type="dxa" w:w="504"/>
            <w:vAlign w:val="top"/>
          </w:tcPr>
          <w:p>
            <w:r/>
            <w:r>
              <w:rPr>
                <w:b w:val="0"/>
                <w:sz w:val="15"/>
              </w:rPr>
              <w:t>1</w:t>
            </w:r>
          </w:p>
        </w:tc>
        <w:tc>
          <w:tcPr>
            <w:tcW w:type="dxa" w:w="5040"/>
            <w:vAlign w:val="top"/>
          </w:tcPr>
          <w:p>
            <w:r/>
            <w:r>
              <w:rPr>
                <w:b w:val="0"/>
                <w:sz w:val="15"/>
              </w:rPr>
              <w:t>Application received through approved channel and logged same business day.</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2</w:t>
            </w:r>
          </w:p>
        </w:tc>
        <w:tc>
          <w:tcPr>
            <w:tcW w:type="dxa" w:w="5040"/>
            <w:vAlign w:val="top"/>
          </w:tcPr>
          <w:p>
            <w:r/>
            <w:r>
              <w:rPr>
                <w:b w:val="0"/>
                <w:sz w:val="15"/>
              </w:rPr>
              <w:t>Duplicate search completed using applicant and property details.</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3</w:t>
            </w:r>
          </w:p>
        </w:tc>
        <w:tc>
          <w:tcPr>
            <w:tcW w:type="dxa" w:w="5040"/>
            <w:vAlign w:val="top"/>
          </w:tcPr>
          <w:p>
            <w:r/>
            <w:r>
              <w:rPr>
                <w:b w:val="0"/>
                <w:sz w:val="15"/>
              </w:rPr>
              <w:t>All applicants, co-borrowers, guarantors, and entity parties identified.</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4</w:t>
            </w:r>
          </w:p>
        </w:tc>
        <w:tc>
          <w:tcPr>
            <w:tcW w:type="dxa" w:w="5040"/>
            <w:vAlign w:val="top"/>
          </w:tcPr>
          <w:p>
            <w:r/>
            <w:r>
              <w:rPr>
                <w:b w:val="0"/>
                <w:sz w:val="15"/>
              </w:rPr>
              <w:t>Mandatory application fields completed.</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5</w:t>
            </w:r>
          </w:p>
        </w:tc>
        <w:tc>
          <w:tcPr>
            <w:tcW w:type="dxa" w:w="5040"/>
            <w:vAlign w:val="top"/>
          </w:tcPr>
          <w:p>
            <w:r/>
            <w:r>
              <w:rPr>
                <w:b w:val="0"/>
                <w:sz w:val="15"/>
              </w:rPr>
              <w:t>Required consents present before credit bureau or third-party checks.</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6</w:t>
            </w:r>
          </w:p>
        </w:tc>
        <w:tc>
          <w:tcPr>
            <w:tcW w:type="dxa" w:w="5040"/>
            <w:vAlign w:val="top"/>
          </w:tcPr>
          <w:p>
            <w:r/>
            <w:r>
              <w:rPr>
                <w:b w:val="0"/>
                <w:sz w:val="15"/>
              </w:rPr>
              <w:t>Product, loan purpose, and borrower type appear eligible.</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7</w:t>
            </w:r>
          </w:p>
        </w:tc>
        <w:tc>
          <w:tcPr>
            <w:tcW w:type="dxa" w:w="5040"/>
            <w:vAlign w:val="top"/>
          </w:tcPr>
          <w:p>
            <w:r/>
            <w:r>
              <w:rPr>
                <w:b w:val="0"/>
                <w:sz w:val="15"/>
              </w:rPr>
              <w:t>Property address and security type captured.</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8</w:t>
            </w:r>
          </w:p>
        </w:tc>
        <w:tc>
          <w:tcPr>
            <w:tcW w:type="dxa" w:w="5040"/>
            <w:vAlign w:val="top"/>
          </w:tcPr>
          <w:p>
            <w:r/>
            <w:r>
              <w:rPr>
                <w:b w:val="0"/>
                <w:sz w:val="15"/>
              </w:rPr>
              <w:t>Initial LTV estimate within product range or referred.</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9</w:t>
            </w:r>
          </w:p>
        </w:tc>
        <w:tc>
          <w:tcPr>
            <w:tcW w:type="dxa" w:w="5040"/>
            <w:vAlign w:val="top"/>
          </w:tcPr>
          <w:p>
            <w:r/>
            <w:r>
              <w:rPr>
                <w:b w:val="0"/>
                <w:sz w:val="15"/>
              </w:rPr>
              <w:t>Urgent settlement, rate-lock, vulnerability, or escalation indicators recorded.</w:t>
            </w:r>
          </w:p>
        </w:tc>
        <w:tc>
          <w:tcPr>
            <w:tcW w:type="dxa" w:w="1728"/>
            <w:vAlign w:val="top"/>
          </w:tcPr>
          <w:p>
            <w:r/>
            <w:r>
              <w:rPr>
                <w:b w:val="0"/>
                <w:sz w:val="15"/>
              </w:rPr>
            </w:r>
          </w:p>
        </w:tc>
        <w:tc>
          <w:tcPr>
            <w:tcW w:type="dxa" w:w="2448"/>
            <w:vAlign w:val="top"/>
          </w:tcPr>
          <w:p>
            <w:r/>
            <w:r>
              <w:rPr>
                <w:b w:val="0"/>
                <w:sz w:val="15"/>
              </w:rPr>
            </w:r>
          </w:p>
        </w:tc>
      </w:tr>
      <w:tr>
        <w:tc>
          <w:tcPr>
            <w:tcW w:type="dxa" w:w="504"/>
            <w:vAlign w:val="top"/>
          </w:tcPr>
          <w:p>
            <w:r/>
            <w:r>
              <w:rPr>
                <w:b w:val="0"/>
                <w:sz w:val="15"/>
              </w:rPr>
              <w:t>10</w:t>
            </w:r>
          </w:p>
        </w:tc>
        <w:tc>
          <w:tcPr>
            <w:tcW w:type="dxa" w:w="5040"/>
            <w:vAlign w:val="top"/>
          </w:tcPr>
          <w:p>
            <w:r/>
            <w:r>
              <w:rPr>
                <w:b w:val="0"/>
                <w:sz w:val="15"/>
              </w:rPr>
              <w:t>Missing-information request sent if required.</w:t>
            </w:r>
          </w:p>
        </w:tc>
        <w:tc>
          <w:tcPr>
            <w:tcW w:type="dxa" w:w="1728"/>
            <w:vAlign w:val="top"/>
          </w:tcPr>
          <w:p>
            <w:r/>
            <w:r>
              <w:rPr>
                <w:b w:val="0"/>
                <w:sz w:val="15"/>
              </w:rPr>
            </w:r>
          </w:p>
        </w:tc>
        <w:tc>
          <w:tcPr>
            <w:tcW w:type="dxa" w:w="2448"/>
            <w:vAlign w:val="top"/>
          </w:tcPr>
          <w:p>
            <w:r/>
            <w:r>
              <w:rPr>
                <w:b w:val="0"/>
                <w:sz w:val="15"/>
              </w:rPr>
            </w:r>
          </w:p>
        </w:tc>
      </w:tr>
    </w:tbl>
    <w:p>
      <w:pPr>
        <w:spacing w:after="40"/>
      </w:pPr>
    </w:p>
    <w:p>
      <w:pPr>
        <w:pStyle w:val="Heading2"/>
      </w:pPr>
      <w:r>
        <w:t>26.1 Missing Information Request Template</w:t>
      </w:r>
    </w:p>
    <w:p>
      <w:pPr>
        <w:spacing w:after="80"/>
      </w:pPr>
      <w:r>
        <w:rPr>
          <w:sz w:val="18"/>
        </w:rPr>
        <w:t>Subject: Information needed to continue your mortgage application</w:t>
      </w:r>
    </w:p>
    <w:p>
      <w:pPr>
        <w:spacing w:after="80"/>
      </w:pPr>
      <w:r>
        <w:rPr>
          <w:sz w:val="18"/>
        </w:rPr>
        <w:t>Thank you for your application. To continue our assessment, please provide the items listed below by [date] using the secure upload link. We may be unable to progress or may close the application if we do not receive the required information within the requested timeframe.</w:t>
      </w:r>
    </w:p>
    <w:p>
      <w:pPr>
        <w:pStyle w:val="ListBullet"/>
      </w:pPr>
      <w:r>
        <w:rPr>
          <w:sz w:val="19"/>
        </w:rPr>
        <w:t>[Document or clarification item 1, including acceptable alternatives.]</w:t>
      </w:r>
    </w:p>
    <w:p>
      <w:pPr>
        <w:pStyle w:val="ListBullet"/>
      </w:pPr>
      <w:r>
        <w:rPr>
          <w:sz w:val="19"/>
        </w:rPr>
        <w:t>[Document or clarification item 2.]</w:t>
      </w:r>
    </w:p>
    <w:p>
      <w:pPr>
        <w:pStyle w:val="ListBullet"/>
      </w:pPr>
      <w:r>
        <w:rPr>
          <w:sz w:val="19"/>
        </w:rPr>
        <w:t>[Document or clarification item 3.]</w:t>
      </w:r>
    </w:p>
    <w:p>
      <w:pPr>
        <w:pStyle w:val="ListBullet"/>
      </w:pPr>
      <w:r>
        <w:rPr>
          <w:sz w:val="19"/>
        </w:rPr>
        <w:t>Please contact [name/team] on [contact details] if you have questions or need support.</w:t>
      </w:r>
    </w:p>
    <w:p>
      <w:r>
        <w:br w:type="page"/>
      </w:r>
    </w:p>
    <w:p>
      <w:pPr>
        <w:pStyle w:val="Heading1"/>
        <w:spacing w:before="80" w:after="160"/>
      </w:pPr>
      <w:r>
        <w:t>27. Verification Checklist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fill="1F4E79"/>
            <w:vAlign w:val="center"/>
          </w:tcPr>
          <w:p>
            <w:r/>
            <w:r>
              <w:rPr>
                <w:b/>
                <w:color w:val="FFFFFF"/>
                <w:sz w:val="15"/>
              </w:rPr>
              <w:t>Verification Area</w:t>
            </w:r>
          </w:p>
        </w:tc>
        <w:tc>
          <w:tcPr>
            <w:tcW w:type="dxa" w:w="3312"/>
            <w:shd w:fill="1F4E79"/>
            <w:vAlign w:val="center"/>
          </w:tcPr>
          <w:p>
            <w:r/>
            <w:r>
              <w:rPr>
                <w:b/>
                <w:color w:val="FFFFFF"/>
                <w:sz w:val="15"/>
              </w:rPr>
              <w:t>Minimum Checks</w:t>
            </w:r>
          </w:p>
        </w:tc>
        <w:tc>
          <w:tcPr>
            <w:tcW w:type="dxa" w:w="2880"/>
            <w:shd w:fill="1F4E79"/>
            <w:vAlign w:val="center"/>
          </w:tcPr>
          <w:p>
            <w:r/>
            <w:r>
              <w:rPr>
                <w:b/>
                <w:color w:val="FFFFFF"/>
                <w:sz w:val="15"/>
              </w:rPr>
              <w:t>Common Exceptions</w:t>
            </w:r>
          </w:p>
        </w:tc>
        <w:tc>
          <w:tcPr>
            <w:tcW w:type="dxa" w:w="1800"/>
            <w:shd w:fill="1F4E79"/>
            <w:vAlign w:val="center"/>
          </w:tcPr>
          <w:p>
            <w:r/>
            <w:r>
              <w:rPr>
                <w:b/>
                <w:color w:val="FFFFFF"/>
                <w:sz w:val="15"/>
              </w:rPr>
              <w:t>Escalation Owner</w:t>
            </w:r>
          </w:p>
        </w:tc>
      </w:tr>
      <w:tr>
        <w:tc>
          <w:tcPr>
            <w:tcW w:type="dxa" w:w="1584"/>
            <w:vAlign w:val="top"/>
          </w:tcPr>
          <w:p>
            <w:r/>
            <w:r>
              <w:rPr>
                <w:b w:val="0"/>
                <w:sz w:val="15"/>
              </w:rPr>
              <w:t>Identity</w:t>
            </w:r>
          </w:p>
        </w:tc>
        <w:tc>
          <w:tcPr>
            <w:tcW w:type="dxa" w:w="3312"/>
            <w:vAlign w:val="top"/>
          </w:tcPr>
          <w:p>
            <w:r/>
            <w:r>
              <w:rPr>
                <w:b w:val="0"/>
                <w:sz w:val="15"/>
              </w:rPr>
              <w:t>Name, date of birth, address, document validity, consent, customer profile match.</w:t>
            </w:r>
          </w:p>
        </w:tc>
        <w:tc>
          <w:tcPr>
            <w:tcW w:type="dxa" w:w="2880"/>
            <w:vAlign w:val="top"/>
          </w:tcPr>
          <w:p>
            <w:r/>
            <w:r>
              <w:rPr>
                <w:b w:val="0"/>
                <w:sz w:val="15"/>
              </w:rPr>
              <w:t>Expired ID, name mismatch, unverifiable party, third-party control.</w:t>
            </w:r>
          </w:p>
        </w:tc>
        <w:tc>
          <w:tcPr>
            <w:tcW w:type="dxa" w:w="1800"/>
            <w:vAlign w:val="top"/>
          </w:tcPr>
          <w:p>
            <w:r/>
            <w:r>
              <w:rPr>
                <w:b w:val="0"/>
                <w:sz w:val="15"/>
              </w:rPr>
              <w:t>KYC / Compliance</w:t>
            </w:r>
          </w:p>
        </w:tc>
      </w:tr>
      <w:tr>
        <w:tc>
          <w:tcPr>
            <w:tcW w:type="dxa" w:w="1584"/>
            <w:vAlign w:val="top"/>
          </w:tcPr>
          <w:p>
            <w:r/>
            <w:r>
              <w:rPr>
                <w:b w:val="0"/>
                <w:sz w:val="15"/>
              </w:rPr>
              <w:t>Income</w:t>
            </w:r>
          </w:p>
        </w:tc>
        <w:tc>
          <w:tcPr>
            <w:tcW w:type="dxa" w:w="3312"/>
            <w:vAlign w:val="top"/>
          </w:tcPr>
          <w:p>
            <w:r/>
            <w:r>
              <w:rPr>
                <w:b w:val="0"/>
                <w:sz w:val="15"/>
              </w:rPr>
              <w:t>Evidence type, period, frequency, continuity, calculations, acceptable income categories.</w:t>
            </w:r>
          </w:p>
        </w:tc>
        <w:tc>
          <w:tcPr>
            <w:tcW w:type="dxa" w:w="2880"/>
            <w:vAlign w:val="top"/>
          </w:tcPr>
          <w:p>
            <w:r/>
            <w:r>
              <w:rPr>
                <w:b w:val="0"/>
                <w:sz w:val="15"/>
              </w:rPr>
              <w:t>Variable income volatility, self-employed decline, cash income, foreign income.</w:t>
            </w:r>
          </w:p>
        </w:tc>
        <w:tc>
          <w:tcPr>
            <w:tcW w:type="dxa" w:w="1800"/>
            <w:vAlign w:val="top"/>
          </w:tcPr>
          <w:p>
            <w:r/>
            <w:r>
              <w:rPr>
                <w:b w:val="0"/>
                <w:sz w:val="15"/>
              </w:rPr>
              <w:t>Underwriter</w:t>
            </w:r>
          </w:p>
        </w:tc>
      </w:tr>
      <w:tr>
        <w:tc>
          <w:tcPr>
            <w:tcW w:type="dxa" w:w="1584"/>
            <w:vAlign w:val="top"/>
          </w:tcPr>
          <w:p>
            <w:r/>
            <w:r>
              <w:rPr>
                <w:b w:val="0"/>
                <w:sz w:val="15"/>
              </w:rPr>
              <w:t>Employment</w:t>
            </w:r>
          </w:p>
        </w:tc>
        <w:tc>
          <w:tcPr>
            <w:tcW w:type="dxa" w:w="3312"/>
            <w:vAlign w:val="top"/>
          </w:tcPr>
          <w:p>
            <w:r/>
            <w:r>
              <w:rPr>
                <w:b w:val="0"/>
                <w:sz w:val="15"/>
              </w:rPr>
              <w:t>Employer legitimacy, role, tenure, probation, continuity, employer contact method.</w:t>
            </w:r>
          </w:p>
        </w:tc>
        <w:tc>
          <w:tcPr>
            <w:tcW w:type="dxa" w:w="2880"/>
            <w:vAlign w:val="top"/>
          </w:tcPr>
          <w:p>
            <w:r/>
            <w:r>
              <w:rPr>
                <w:b w:val="0"/>
                <w:sz w:val="15"/>
              </w:rPr>
              <w:t>Unverified employer, related-party employment, recent start.</w:t>
            </w:r>
          </w:p>
        </w:tc>
        <w:tc>
          <w:tcPr>
            <w:tcW w:type="dxa" w:w="1800"/>
            <w:vAlign w:val="top"/>
          </w:tcPr>
          <w:p>
            <w:r/>
            <w:r>
              <w:rPr>
                <w:b w:val="0"/>
                <w:sz w:val="15"/>
              </w:rPr>
              <w:t>Verification Lead</w:t>
            </w:r>
          </w:p>
        </w:tc>
      </w:tr>
      <w:tr>
        <w:tc>
          <w:tcPr>
            <w:tcW w:type="dxa" w:w="1584"/>
            <w:vAlign w:val="top"/>
          </w:tcPr>
          <w:p>
            <w:r/>
            <w:r>
              <w:rPr>
                <w:b w:val="0"/>
                <w:sz w:val="15"/>
              </w:rPr>
              <w:t>Assets</w:t>
            </w:r>
          </w:p>
        </w:tc>
        <w:tc>
          <w:tcPr>
            <w:tcW w:type="dxa" w:w="3312"/>
            <w:vAlign w:val="top"/>
          </w:tcPr>
          <w:p>
            <w:r/>
            <w:r>
              <w:rPr>
                <w:b w:val="0"/>
                <w:sz w:val="15"/>
              </w:rPr>
              <w:t>Ownership, current balance, availability, transaction history, deposit source.</w:t>
            </w:r>
          </w:p>
        </w:tc>
        <w:tc>
          <w:tcPr>
            <w:tcW w:type="dxa" w:w="2880"/>
            <w:vAlign w:val="top"/>
          </w:tcPr>
          <w:p>
            <w:r/>
            <w:r>
              <w:rPr>
                <w:b w:val="0"/>
                <w:sz w:val="15"/>
              </w:rPr>
              <w:t>Large unexplained credits, borrowed funds, cash deposits.</w:t>
            </w:r>
          </w:p>
        </w:tc>
        <w:tc>
          <w:tcPr>
            <w:tcW w:type="dxa" w:w="1800"/>
            <w:vAlign w:val="top"/>
          </w:tcPr>
          <w:p>
            <w:r/>
            <w:r>
              <w:rPr>
                <w:b w:val="0"/>
                <w:sz w:val="15"/>
              </w:rPr>
              <w:t>AML / Risk</w:t>
            </w:r>
          </w:p>
        </w:tc>
      </w:tr>
      <w:tr>
        <w:tc>
          <w:tcPr>
            <w:tcW w:type="dxa" w:w="1584"/>
            <w:vAlign w:val="top"/>
          </w:tcPr>
          <w:p>
            <w:r/>
            <w:r>
              <w:rPr>
                <w:b w:val="0"/>
                <w:sz w:val="15"/>
              </w:rPr>
              <w:t>Liabilities</w:t>
            </w:r>
          </w:p>
        </w:tc>
        <w:tc>
          <w:tcPr>
            <w:tcW w:type="dxa" w:w="3312"/>
            <w:vAlign w:val="top"/>
          </w:tcPr>
          <w:p>
            <w:r/>
            <w:r>
              <w:rPr>
                <w:b w:val="0"/>
                <w:sz w:val="15"/>
              </w:rPr>
              <w:t>Declared versus bureau, repayment amounts, ownership, closure evidence.</w:t>
            </w:r>
          </w:p>
        </w:tc>
        <w:tc>
          <w:tcPr>
            <w:tcW w:type="dxa" w:w="2880"/>
            <w:vAlign w:val="top"/>
          </w:tcPr>
          <w:p>
            <w:r/>
            <w:r>
              <w:rPr>
                <w:b w:val="0"/>
                <w:sz w:val="15"/>
              </w:rPr>
              <w:t>Undisclosed debt, arrears, high utilization, new enquiries.</w:t>
            </w:r>
          </w:p>
        </w:tc>
        <w:tc>
          <w:tcPr>
            <w:tcW w:type="dxa" w:w="1800"/>
            <w:vAlign w:val="top"/>
          </w:tcPr>
          <w:p>
            <w:r/>
            <w:r>
              <w:rPr>
                <w:b w:val="0"/>
                <w:sz w:val="15"/>
              </w:rPr>
              <w:t>Underwriter</w:t>
            </w:r>
          </w:p>
        </w:tc>
      </w:tr>
      <w:tr>
        <w:tc>
          <w:tcPr>
            <w:tcW w:type="dxa" w:w="1584"/>
            <w:vAlign w:val="top"/>
          </w:tcPr>
          <w:p>
            <w:r/>
            <w:r>
              <w:rPr>
                <w:b w:val="0"/>
                <w:sz w:val="15"/>
              </w:rPr>
              <w:t>Property</w:t>
            </w:r>
          </w:p>
        </w:tc>
        <w:tc>
          <w:tcPr>
            <w:tcW w:type="dxa" w:w="3312"/>
            <w:vAlign w:val="top"/>
          </w:tcPr>
          <w:p>
            <w:r/>
            <w:r>
              <w:rPr>
                <w:b w:val="0"/>
                <w:sz w:val="15"/>
              </w:rPr>
              <w:t>Address, security type, title, valuation, insurance, occupancy, marketability.</w:t>
            </w:r>
          </w:p>
        </w:tc>
        <w:tc>
          <w:tcPr>
            <w:tcW w:type="dxa" w:w="2880"/>
            <w:vAlign w:val="top"/>
          </w:tcPr>
          <w:p>
            <w:r/>
            <w:r>
              <w:rPr>
                <w:b w:val="0"/>
                <w:sz w:val="15"/>
              </w:rPr>
              <w:t>Low valuation, construction, unusual title, environmental issue.</w:t>
            </w:r>
          </w:p>
        </w:tc>
        <w:tc>
          <w:tcPr>
            <w:tcW w:type="dxa" w:w="1800"/>
            <w:vAlign w:val="top"/>
          </w:tcPr>
          <w:p>
            <w:r/>
            <w:r>
              <w:rPr>
                <w:b w:val="0"/>
                <w:sz w:val="15"/>
              </w:rPr>
              <w:t>Collateral Team</w:t>
            </w:r>
          </w:p>
        </w:tc>
      </w:tr>
    </w:tbl>
    <w:p>
      <w:pPr>
        <w:spacing w:after="40"/>
      </w:pPr>
    </w:p>
    <w:p>
      <w:pPr>
        <w:pStyle w:val="Heading2"/>
      </w:pPr>
      <w:r>
        <w:t>27.1 Verification Notes Standard</w:t>
      </w:r>
    </w:p>
    <w:p>
      <w:pPr>
        <w:spacing w:after="80"/>
      </w:pPr>
      <w:r>
        <w:rPr>
          <w:sz w:val="18"/>
        </w:rPr>
        <w:t>Each verification note must answer: what was verified, source used, date reviewed, result, discrepancy if any, resolution, and whether further action is required. Avoid vague notes such as “looks ok” or “verified” without the supporting source and conclusion.</w:t>
      </w:r>
    </w:p>
    <w:p>
      <w:pPr>
        <w:pStyle w:val="Heading2"/>
      </w:pPr>
      <w:r>
        <w:t>27.2 Document Authenticity Review</w:t>
      </w:r>
    </w:p>
    <w:p>
      <w:pPr>
        <w:pStyle w:val="ListBullet"/>
      </w:pPr>
      <w:r>
        <w:rPr>
          <w:sz w:val="19"/>
        </w:rPr>
        <w:t>Confirm the document is complete, legible, current, and attributable to the applicant.</w:t>
      </w:r>
    </w:p>
    <w:p>
      <w:pPr>
        <w:pStyle w:val="ListBullet"/>
      </w:pPr>
      <w:r>
        <w:rPr>
          <w:sz w:val="19"/>
        </w:rPr>
        <w:t>Look for mismatched fonts, altered totals, inconsistent dates, cropped pages, missing page numbers, and unusual metadata.</w:t>
      </w:r>
    </w:p>
    <w:p>
      <w:pPr>
        <w:pStyle w:val="ListBullet"/>
      </w:pPr>
      <w:r>
        <w:rPr>
          <w:sz w:val="19"/>
        </w:rPr>
        <w:t>Compare bank credits, payslips, tax documents, and employer details for consistency.</w:t>
      </w:r>
    </w:p>
    <w:p>
      <w:pPr>
        <w:pStyle w:val="ListBullet"/>
      </w:pPr>
      <w:r>
        <w:rPr>
          <w:sz w:val="19"/>
        </w:rPr>
        <w:t>Escalate concerns instead of attempting to validate suspicious documents informally.</w:t>
      </w:r>
    </w:p>
    <w:p>
      <w:r>
        <w:br w:type="page"/>
      </w:r>
    </w:p>
    <w:p>
      <w:pPr>
        <w:pStyle w:val="Heading1"/>
        <w:spacing w:before="80" w:after="160"/>
      </w:pPr>
      <w:r>
        <w:t>28. Underwriting Submission Template</w:t>
      </w:r>
    </w:p>
    <w:tbl>
      <w:tblPr>
        <w:tblStyle w:val="TableGrid"/>
        <w:tblW w:type="auto" w:w="0"/>
        <w:jc w:val="center"/>
        <w:tblLook w:firstColumn="1" w:firstRow="1" w:lastColumn="0" w:lastRow="0" w:noHBand="0" w:noVBand="1" w:val="04A0"/>
      </w:tblPr>
      <w:tblGrid>
        <w:gridCol w:w="5184"/>
        <w:gridCol w:w="5184"/>
      </w:tblGrid>
      <w:tr>
        <w:tc>
          <w:tcPr>
            <w:tcW w:type="dxa" w:w="2160"/>
            <w:shd w:fill="1F4E79"/>
            <w:vAlign w:val="center"/>
          </w:tcPr>
          <w:p>
            <w:r/>
            <w:r>
              <w:rPr>
                <w:b/>
                <w:color w:val="FFFFFF"/>
                <w:sz w:val="16"/>
              </w:rPr>
              <w:t>Section</w:t>
            </w:r>
          </w:p>
        </w:tc>
        <w:tc>
          <w:tcPr>
            <w:tcW w:type="dxa" w:w="7560"/>
            <w:shd w:fill="1F4E79"/>
            <w:vAlign w:val="center"/>
          </w:tcPr>
          <w:p>
            <w:r/>
            <w:r>
              <w:rPr>
                <w:b/>
                <w:color w:val="FFFFFF"/>
                <w:sz w:val="16"/>
              </w:rPr>
              <w:t>Required Content</w:t>
            </w:r>
          </w:p>
        </w:tc>
      </w:tr>
      <w:tr>
        <w:tc>
          <w:tcPr>
            <w:tcW w:type="dxa" w:w="2160"/>
            <w:vAlign w:val="top"/>
          </w:tcPr>
          <w:p>
            <w:r/>
            <w:r>
              <w:rPr>
                <w:b w:val="0"/>
                <w:sz w:val="16"/>
              </w:rPr>
              <w:t>Application request</w:t>
            </w:r>
          </w:p>
        </w:tc>
        <w:tc>
          <w:tcPr>
            <w:tcW w:type="dxa" w:w="7560"/>
            <w:vAlign w:val="top"/>
          </w:tcPr>
          <w:p>
            <w:r/>
            <w:r>
              <w:rPr>
                <w:b w:val="0"/>
                <w:sz w:val="16"/>
              </w:rPr>
              <w:t>Loan purpose, product, amount, term, repayment type, rate type, occupancy, channel, and settlement deadline.</w:t>
            </w:r>
          </w:p>
        </w:tc>
      </w:tr>
      <w:tr>
        <w:tc>
          <w:tcPr>
            <w:tcW w:type="dxa" w:w="2160"/>
            <w:vAlign w:val="top"/>
          </w:tcPr>
          <w:p>
            <w:r/>
            <w:r>
              <w:rPr>
                <w:b w:val="0"/>
                <w:sz w:val="16"/>
              </w:rPr>
              <w:t>Borrower profile</w:t>
            </w:r>
          </w:p>
        </w:tc>
        <w:tc>
          <w:tcPr>
            <w:tcW w:type="dxa" w:w="7560"/>
            <w:vAlign w:val="top"/>
          </w:tcPr>
          <w:p>
            <w:r/>
            <w:r>
              <w:rPr>
                <w:b w:val="0"/>
                <w:sz w:val="16"/>
              </w:rPr>
              <w:t>Applicants, dependants, employment type, income summary, credit history, customer relationship, and vulnerabilities if relevant.</w:t>
            </w:r>
          </w:p>
        </w:tc>
      </w:tr>
      <w:tr>
        <w:tc>
          <w:tcPr>
            <w:tcW w:type="dxa" w:w="2160"/>
            <w:vAlign w:val="top"/>
          </w:tcPr>
          <w:p>
            <w:r/>
            <w:r>
              <w:rPr>
                <w:b w:val="0"/>
                <w:sz w:val="16"/>
              </w:rPr>
              <w:t>Funds position</w:t>
            </w:r>
          </w:p>
        </w:tc>
        <w:tc>
          <w:tcPr>
            <w:tcW w:type="dxa" w:w="7560"/>
            <w:vAlign w:val="top"/>
          </w:tcPr>
          <w:p>
            <w:r/>
            <w:r>
              <w:rPr>
                <w:b w:val="0"/>
                <w:sz w:val="16"/>
              </w:rPr>
              <w:t>Purchase price or refinance payout, deposit/equity, fees, grants, gifts, source of funds, and reserves.</w:t>
            </w:r>
          </w:p>
        </w:tc>
      </w:tr>
      <w:tr>
        <w:tc>
          <w:tcPr>
            <w:tcW w:type="dxa" w:w="2160"/>
            <w:vAlign w:val="top"/>
          </w:tcPr>
          <w:p>
            <w:r/>
            <w:r>
              <w:rPr>
                <w:b w:val="0"/>
                <w:sz w:val="16"/>
              </w:rPr>
              <w:t>Collateral</w:t>
            </w:r>
          </w:p>
        </w:tc>
        <w:tc>
          <w:tcPr>
            <w:tcW w:type="dxa" w:w="7560"/>
            <w:vAlign w:val="top"/>
          </w:tcPr>
          <w:p>
            <w:r/>
            <w:r>
              <w:rPr>
                <w:b w:val="0"/>
                <w:sz w:val="16"/>
              </w:rPr>
              <w:t>Property address, property type, valuation, LTV/CLTV, title concerns, tenancy, insurance, and valuation comments.</w:t>
            </w:r>
          </w:p>
        </w:tc>
      </w:tr>
      <w:tr>
        <w:tc>
          <w:tcPr>
            <w:tcW w:type="dxa" w:w="2160"/>
            <w:vAlign w:val="top"/>
          </w:tcPr>
          <w:p>
            <w:r/>
            <w:r>
              <w:rPr>
                <w:b w:val="0"/>
                <w:sz w:val="16"/>
              </w:rPr>
              <w:t>Serviceability</w:t>
            </w:r>
          </w:p>
        </w:tc>
        <w:tc>
          <w:tcPr>
            <w:tcW w:type="dxa" w:w="7560"/>
            <w:vAlign w:val="top"/>
          </w:tcPr>
          <w:p>
            <w:r/>
            <w:r>
              <w:rPr>
                <w:b w:val="0"/>
                <w:sz w:val="16"/>
              </w:rPr>
              <w:t>Verified income, liabilities, expenses, buffers, surplus/shortfall, and sensitivity notes.</w:t>
            </w:r>
          </w:p>
        </w:tc>
      </w:tr>
      <w:tr>
        <w:tc>
          <w:tcPr>
            <w:tcW w:type="dxa" w:w="2160"/>
            <w:vAlign w:val="top"/>
          </w:tcPr>
          <w:p>
            <w:r/>
            <w:r>
              <w:rPr>
                <w:b w:val="0"/>
                <w:sz w:val="16"/>
              </w:rPr>
              <w:t>Policy position</w:t>
            </w:r>
          </w:p>
        </w:tc>
        <w:tc>
          <w:tcPr>
            <w:tcW w:type="dxa" w:w="7560"/>
            <w:vAlign w:val="top"/>
          </w:tcPr>
          <w:p>
            <w:r/>
            <w:r>
              <w:rPr>
                <w:b w:val="0"/>
                <w:sz w:val="16"/>
              </w:rPr>
              <w:t>Compliant items, exceptions, mitigants, authority required, and recommended conditions.</w:t>
            </w:r>
          </w:p>
        </w:tc>
      </w:tr>
      <w:tr>
        <w:tc>
          <w:tcPr>
            <w:tcW w:type="dxa" w:w="2160"/>
            <w:vAlign w:val="top"/>
          </w:tcPr>
          <w:p>
            <w:r/>
            <w:r>
              <w:rPr>
                <w:b w:val="0"/>
                <w:sz w:val="16"/>
              </w:rPr>
              <w:t>Risks and mitigants</w:t>
            </w:r>
          </w:p>
        </w:tc>
        <w:tc>
          <w:tcPr>
            <w:tcW w:type="dxa" w:w="7560"/>
            <w:vAlign w:val="top"/>
          </w:tcPr>
          <w:p>
            <w:r/>
            <w:r>
              <w:rPr>
                <w:b w:val="0"/>
                <w:sz w:val="16"/>
              </w:rPr>
              <w:t>Credit, collateral, fraud, AML, operational, concentration, and conduct risks.</w:t>
            </w:r>
          </w:p>
        </w:tc>
      </w:tr>
      <w:tr>
        <w:tc>
          <w:tcPr>
            <w:tcW w:type="dxa" w:w="2160"/>
            <w:vAlign w:val="top"/>
          </w:tcPr>
          <w:p>
            <w:r/>
            <w:r>
              <w:rPr>
                <w:b w:val="0"/>
                <w:sz w:val="16"/>
              </w:rPr>
              <w:t>Recommendation</w:t>
            </w:r>
          </w:p>
        </w:tc>
        <w:tc>
          <w:tcPr>
            <w:tcW w:type="dxa" w:w="7560"/>
            <w:vAlign w:val="top"/>
          </w:tcPr>
          <w:p>
            <w:r/>
            <w:r>
              <w:rPr>
                <w:b w:val="0"/>
                <w:sz w:val="16"/>
              </w:rPr>
              <w:t>Approve, conditionally approve, request more information, or decline, with rationale.</w:t>
            </w:r>
          </w:p>
        </w:tc>
      </w:tr>
    </w:tbl>
    <w:p>
      <w:pPr>
        <w:spacing w:after="40"/>
      </w:pPr>
    </w:p>
    <w:p>
      <w:pPr>
        <w:pStyle w:val="Heading2"/>
      </w:pPr>
      <w:r>
        <w:t>28.1 Sample Underwriting Summary Language</w:t>
      </w:r>
    </w:p>
    <w:p>
      <w:pPr>
        <w:spacing w:after="80"/>
      </w:pPr>
      <w:r>
        <w:rPr>
          <w:sz w:val="18"/>
        </w:rPr>
        <w:t>The applicants request [amount] over [term] for [purpose] secured by [property]. Verified income consists of [income types] supported by [documents]. Declared and bureau liabilities have been reconciled, with [exceptions]. The valuation of [amount] supports an LTV of [x%]. Serviceability is [pass/fail] under the approved model with a surplus of [amount] after buffers. The file is recommended for [decision] subject to [conditions/exceptions], because [rationale].</w:t>
      </w:r>
    </w:p>
    <w:p>
      <w:r>
        <w:br w:type="page"/>
      </w:r>
    </w:p>
    <w:p>
      <w:pPr>
        <w:pStyle w:val="Heading1"/>
        <w:spacing w:before="80" w:after="160"/>
      </w:pPr>
      <w:r>
        <w:t>29. Approval, Conditional Approval, and Decline Templates</w:t>
      </w:r>
    </w:p>
    <w:p>
      <w:pPr>
        <w:pStyle w:val="Heading2"/>
      </w:pPr>
      <w:r>
        <w:t>29.1 Approval Checklist</w:t>
      </w:r>
    </w:p>
    <w:tbl>
      <w:tblPr>
        <w:tblStyle w:val="TableGrid"/>
        <w:tblW w:type="auto" w:w="0"/>
        <w:jc w:val="center"/>
        <w:tblLook w:firstColumn="1" w:firstRow="1" w:lastColumn="0" w:lastRow="0" w:noHBand="0" w:noVBand="1" w:val="04A0"/>
      </w:tblPr>
      <w:tblGrid>
        <w:gridCol w:w="5184"/>
        <w:gridCol w:w="5184"/>
      </w:tblGrid>
      <w:tr>
        <w:tc>
          <w:tcPr>
            <w:tcW w:type="dxa" w:w="7200"/>
            <w:shd w:fill="1F4E79"/>
            <w:vAlign w:val="center"/>
          </w:tcPr>
          <w:p>
            <w:r/>
            <w:r>
              <w:rPr>
                <w:b/>
                <w:color w:val="FFFFFF"/>
                <w:sz w:val="16"/>
              </w:rPr>
              <w:t>Approval Item</w:t>
            </w:r>
          </w:p>
        </w:tc>
        <w:tc>
          <w:tcPr>
            <w:tcW w:type="dxa" w:w="1440"/>
            <w:shd w:fill="1F4E79"/>
            <w:vAlign w:val="center"/>
          </w:tcPr>
          <w:p>
            <w:r/>
            <w:r>
              <w:rPr>
                <w:b/>
                <w:color w:val="FFFFFF"/>
                <w:sz w:val="16"/>
              </w:rPr>
              <w:t>Completed</w:t>
            </w:r>
          </w:p>
        </w:tc>
      </w:tr>
      <w:tr>
        <w:tc>
          <w:tcPr>
            <w:tcW w:type="dxa" w:w="7200"/>
            <w:vAlign w:val="top"/>
          </w:tcPr>
          <w:p>
            <w:r/>
            <w:r>
              <w:rPr>
                <w:b w:val="0"/>
                <w:sz w:val="16"/>
              </w:rPr>
              <w:t>Decision entered in LOS by delegated approver.</w:t>
            </w:r>
          </w:p>
        </w:tc>
        <w:tc>
          <w:tcPr>
            <w:tcW w:type="dxa" w:w="1440"/>
            <w:vAlign w:val="top"/>
          </w:tcPr>
          <w:p>
            <w:r/>
            <w:r>
              <w:rPr>
                <w:b w:val="0"/>
                <w:sz w:val="16"/>
              </w:rPr>
            </w:r>
          </w:p>
        </w:tc>
      </w:tr>
      <w:tr>
        <w:tc>
          <w:tcPr>
            <w:tcW w:type="dxa" w:w="7200"/>
            <w:vAlign w:val="top"/>
          </w:tcPr>
          <w:p>
            <w:r/>
            <w:r>
              <w:rPr>
                <w:b w:val="0"/>
                <w:sz w:val="16"/>
              </w:rPr>
              <w:t>Approval amount, product, rate assumptions, term, repayment type, and security verified.</w:t>
            </w:r>
          </w:p>
        </w:tc>
        <w:tc>
          <w:tcPr>
            <w:tcW w:type="dxa" w:w="1440"/>
            <w:vAlign w:val="top"/>
          </w:tcPr>
          <w:p>
            <w:r/>
            <w:r>
              <w:rPr>
                <w:b w:val="0"/>
                <w:sz w:val="16"/>
              </w:rPr>
            </w:r>
          </w:p>
        </w:tc>
      </w:tr>
      <w:tr>
        <w:tc>
          <w:tcPr>
            <w:tcW w:type="dxa" w:w="7200"/>
            <w:vAlign w:val="top"/>
          </w:tcPr>
          <w:p>
            <w:r/>
            <w:r>
              <w:rPr>
                <w:b w:val="0"/>
                <w:sz w:val="16"/>
              </w:rPr>
              <w:t>All conditions are clear and assigned.</w:t>
            </w:r>
          </w:p>
        </w:tc>
        <w:tc>
          <w:tcPr>
            <w:tcW w:type="dxa" w:w="1440"/>
            <w:vAlign w:val="top"/>
          </w:tcPr>
          <w:p>
            <w:r/>
            <w:r>
              <w:rPr>
                <w:b w:val="0"/>
                <w:sz w:val="16"/>
              </w:rPr>
            </w:r>
          </w:p>
        </w:tc>
      </w:tr>
      <w:tr>
        <w:tc>
          <w:tcPr>
            <w:tcW w:type="dxa" w:w="7200"/>
            <w:vAlign w:val="top"/>
          </w:tcPr>
          <w:p>
            <w:r/>
            <w:r>
              <w:rPr>
                <w:b w:val="0"/>
                <w:sz w:val="16"/>
              </w:rPr>
              <w:t>Approval expiry and valuation/document expiry dates recorded.</w:t>
            </w:r>
          </w:p>
        </w:tc>
        <w:tc>
          <w:tcPr>
            <w:tcW w:type="dxa" w:w="1440"/>
            <w:vAlign w:val="top"/>
          </w:tcPr>
          <w:p>
            <w:r/>
            <w:r>
              <w:rPr>
                <w:b w:val="0"/>
                <w:sz w:val="16"/>
              </w:rPr>
            </w:r>
          </w:p>
        </w:tc>
      </w:tr>
      <w:tr>
        <w:tc>
          <w:tcPr>
            <w:tcW w:type="dxa" w:w="7200"/>
            <w:vAlign w:val="top"/>
          </w:tcPr>
          <w:p>
            <w:r/>
            <w:r>
              <w:rPr>
                <w:b w:val="0"/>
                <w:sz w:val="16"/>
              </w:rPr>
              <w:t>Customer/broker communication generated using approved template.</w:t>
            </w:r>
          </w:p>
        </w:tc>
        <w:tc>
          <w:tcPr>
            <w:tcW w:type="dxa" w:w="1440"/>
            <w:vAlign w:val="top"/>
          </w:tcPr>
          <w:p>
            <w:r/>
            <w:r>
              <w:rPr>
                <w:b w:val="0"/>
                <w:sz w:val="16"/>
              </w:rPr>
            </w:r>
          </w:p>
        </w:tc>
      </w:tr>
      <w:tr>
        <w:tc>
          <w:tcPr>
            <w:tcW w:type="dxa" w:w="7200"/>
            <w:vAlign w:val="top"/>
          </w:tcPr>
          <w:p>
            <w:r/>
            <w:r>
              <w:rPr>
                <w:b w:val="0"/>
                <w:sz w:val="16"/>
              </w:rPr>
              <w:t>Offer/closing team handoff completed.</w:t>
            </w:r>
          </w:p>
        </w:tc>
        <w:tc>
          <w:tcPr>
            <w:tcW w:type="dxa" w:w="1440"/>
            <w:vAlign w:val="top"/>
          </w:tcPr>
          <w:p>
            <w:r/>
            <w:r>
              <w:rPr>
                <w:b w:val="0"/>
                <w:sz w:val="16"/>
              </w:rPr>
            </w:r>
          </w:p>
        </w:tc>
      </w:tr>
    </w:tbl>
    <w:p>
      <w:pPr>
        <w:spacing w:after="40"/>
      </w:pPr>
    </w:p>
    <w:p>
      <w:pPr>
        <w:pStyle w:val="Heading2"/>
      </w:pPr>
      <w:r>
        <w:t>29.2 Conditional Approval Wording Guide</w:t>
      </w:r>
    </w:p>
    <w:p>
      <w:pPr>
        <w:pStyle w:val="ListBullet"/>
      </w:pPr>
      <w:r>
        <w:rPr>
          <w:sz w:val="19"/>
        </w:rPr>
        <w:t>Use: “Your application has been conditionally approved subject to the conditions listed below.”</w:t>
      </w:r>
    </w:p>
    <w:p>
      <w:pPr>
        <w:pStyle w:val="ListBullet"/>
      </w:pPr>
      <w:r>
        <w:rPr>
          <w:sz w:val="19"/>
        </w:rPr>
        <w:t>Avoid: “Your loan is guaranteed” or “Settlement is confirmed” before final approval and closing requirements are complete.</w:t>
      </w:r>
    </w:p>
    <w:p>
      <w:pPr>
        <w:pStyle w:val="ListBullet"/>
      </w:pPr>
      <w:r>
        <w:rPr>
          <w:sz w:val="19"/>
        </w:rPr>
        <w:t>List each condition with required evidence, due date, and how to submit.</w:t>
      </w:r>
    </w:p>
    <w:p>
      <w:pPr>
        <w:pStyle w:val="ListBullet"/>
      </w:pPr>
      <w:r>
        <w:rPr>
          <w:sz w:val="19"/>
        </w:rPr>
        <w:t>State that material changes may require reassessment.</w:t>
      </w:r>
    </w:p>
    <w:p>
      <w:pPr>
        <w:pStyle w:val="Heading2"/>
      </w:pPr>
      <w:r>
        <w:t>29.3 Decline Decision Checklist</w:t>
      </w:r>
    </w:p>
    <w:tbl>
      <w:tblPr>
        <w:tblStyle w:val="TableGrid"/>
        <w:tblW w:type="auto" w:w="0"/>
        <w:jc w:val="center"/>
        <w:tblLook w:firstColumn="1" w:firstRow="1" w:lastColumn="0" w:lastRow="0" w:noHBand="0" w:noVBand="1" w:val="04A0"/>
      </w:tblPr>
      <w:tblGrid>
        <w:gridCol w:w="5184"/>
        <w:gridCol w:w="5184"/>
      </w:tblGrid>
      <w:tr>
        <w:tc>
          <w:tcPr>
            <w:tcW w:type="dxa" w:w="7200"/>
            <w:shd w:fill="1F4E79"/>
            <w:vAlign w:val="center"/>
          </w:tcPr>
          <w:p>
            <w:r/>
            <w:r>
              <w:rPr>
                <w:b/>
                <w:color w:val="FFFFFF"/>
                <w:sz w:val="16"/>
              </w:rPr>
              <w:t>Decline Control</w:t>
            </w:r>
          </w:p>
        </w:tc>
        <w:tc>
          <w:tcPr>
            <w:tcW w:type="dxa" w:w="1440"/>
            <w:shd w:fill="1F4E79"/>
            <w:vAlign w:val="center"/>
          </w:tcPr>
          <w:p>
            <w:r/>
            <w:r>
              <w:rPr>
                <w:b/>
                <w:color w:val="FFFFFF"/>
                <w:sz w:val="16"/>
              </w:rPr>
              <w:t>Completed</w:t>
            </w:r>
          </w:p>
        </w:tc>
      </w:tr>
      <w:tr>
        <w:tc>
          <w:tcPr>
            <w:tcW w:type="dxa" w:w="7200"/>
            <w:vAlign w:val="top"/>
          </w:tcPr>
          <w:p>
            <w:r/>
            <w:r>
              <w:rPr>
                <w:b w:val="0"/>
                <w:sz w:val="16"/>
              </w:rPr>
              <w:t>Decline reason supported by file evidence.</w:t>
            </w:r>
          </w:p>
        </w:tc>
        <w:tc>
          <w:tcPr>
            <w:tcW w:type="dxa" w:w="1440"/>
            <w:vAlign w:val="top"/>
          </w:tcPr>
          <w:p>
            <w:r/>
            <w:r>
              <w:rPr>
                <w:b w:val="0"/>
                <w:sz w:val="16"/>
              </w:rPr>
            </w:r>
          </w:p>
        </w:tc>
      </w:tr>
      <w:tr>
        <w:tc>
          <w:tcPr>
            <w:tcW w:type="dxa" w:w="7200"/>
            <w:vAlign w:val="top"/>
          </w:tcPr>
          <w:p>
            <w:r/>
            <w:r>
              <w:rPr>
                <w:b w:val="0"/>
                <w:sz w:val="16"/>
              </w:rPr>
              <w:t>Decision made by authorized role.</w:t>
            </w:r>
          </w:p>
        </w:tc>
        <w:tc>
          <w:tcPr>
            <w:tcW w:type="dxa" w:w="1440"/>
            <w:vAlign w:val="top"/>
          </w:tcPr>
          <w:p>
            <w:r/>
            <w:r>
              <w:rPr>
                <w:b w:val="0"/>
                <w:sz w:val="16"/>
              </w:rPr>
            </w:r>
          </w:p>
        </w:tc>
      </w:tr>
      <w:tr>
        <w:tc>
          <w:tcPr>
            <w:tcW w:type="dxa" w:w="7200"/>
            <w:vAlign w:val="top"/>
          </w:tcPr>
          <w:p>
            <w:r/>
            <w:r>
              <w:rPr>
                <w:b w:val="0"/>
                <w:sz w:val="16"/>
              </w:rPr>
              <w:t>Adverse-action or decline notice requirements checked for jurisdiction.</w:t>
            </w:r>
          </w:p>
        </w:tc>
        <w:tc>
          <w:tcPr>
            <w:tcW w:type="dxa" w:w="1440"/>
            <w:vAlign w:val="top"/>
          </w:tcPr>
          <w:p>
            <w:r/>
            <w:r>
              <w:rPr>
                <w:b w:val="0"/>
                <w:sz w:val="16"/>
              </w:rPr>
            </w:r>
          </w:p>
        </w:tc>
      </w:tr>
      <w:tr>
        <w:tc>
          <w:tcPr>
            <w:tcW w:type="dxa" w:w="7200"/>
            <w:vAlign w:val="top"/>
          </w:tcPr>
          <w:p>
            <w:r/>
            <w:r>
              <w:rPr>
                <w:b w:val="0"/>
                <w:sz w:val="16"/>
              </w:rPr>
              <w:t>Credit bureau disclosure included if required.</w:t>
            </w:r>
          </w:p>
        </w:tc>
        <w:tc>
          <w:tcPr>
            <w:tcW w:type="dxa" w:w="1440"/>
            <w:vAlign w:val="top"/>
          </w:tcPr>
          <w:p>
            <w:r/>
            <w:r>
              <w:rPr>
                <w:b w:val="0"/>
                <w:sz w:val="16"/>
              </w:rPr>
            </w:r>
          </w:p>
        </w:tc>
      </w:tr>
      <w:tr>
        <w:tc>
          <w:tcPr>
            <w:tcW w:type="dxa" w:w="7200"/>
            <w:vAlign w:val="top"/>
          </w:tcPr>
          <w:p>
            <w:r/>
            <w:r>
              <w:rPr>
                <w:b w:val="0"/>
                <w:sz w:val="16"/>
              </w:rPr>
              <w:t>Complaint/reconsideration pathway included where required.</w:t>
            </w:r>
          </w:p>
        </w:tc>
        <w:tc>
          <w:tcPr>
            <w:tcW w:type="dxa" w:w="1440"/>
            <w:vAlign w:val="top"/>
          </w:tcPr>
          <w:p>
            <w:r/>
            <w:r>
              <w:rPr>
                <w:b w:val="0"/>
                <w:sz w:val="16"/>
              </w:rPr>
            </w:r>
          </w:p>
        </w:tc>
      </w:tr>
      <w:tr>
        <w:tc>
          <w:tcPr>
            <w:tcW w:type="dxa" w:w="7200"/>
            <w:vAlign w:val="top"/>
          </w:tcPr>
          <w:p>
            <w:r/>
            <w:r>
              <w:rPr>
                <w:b w:val="0"/>
                <w:sz w:val="16"/>
              </w:rPr>
              <w:t>File closed with record retention applied.</w:t>
            </w:r>
          </w:p>
        </w:tc>
        <w:tc>
          <w:tcPr>
            <w:tcW w:type="dxa" w:w="1440"/>
            <w:vAlign w:val="top"/>
          </w:tcPr>
          <w:p>
            <w:r/>
            <w:r>
              <w:rPr>
                <w:b w:val="0"/>
                <w:sz w:val="16"/>
              </w:rPr>
            </w:r>
          </w:p>
        </w:tc>
      </w:tr>
    </w:tbl>
    <w:p>
      <w:pPr>
        <w:spacing w:after="40"/>
      </w:pPr>
    </w:p>
    <w:p>
      <w:r>
        <w:br w:type="page"/>
      </w:r>
    </w:p>
    <w:p>
      <w:pPr>
        <w:pStyle w:val="Heading1"/>
        <w:spacing w:before="80" w:after="160"/>
      </w:pPr>
      <w:r>
        <w:t>30. Exception and Escalation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1F4E79"/>
            <w:vAlign w:val="center"/>
          </w:tcPr>
          <w:p>
            <w:r/>
            <w:r>
              <w:rPr>
                <w:b/>
                <w:color w:val="FFFFFF"/>
                <w:sz w:val="14"/>
              </w:rPr>
              <w:t>Trigger</w:t>
            </w:r>
          </w:p>
        </w:tc>
        <w:tc>
          <w:tcPr>
            <w:tcW w:type="dxa" w:w="2520"/>
            <w:shd w:fill="1F4E79"/>
            <w:vAlign w:val="center"/>
          </w:tcPr>
          <w:p>
            <w:r/>
            <w:r>
              <w:rPr>
                <w:b/>
                <w:color w:val="FFFFFF"/>
                <w:sz w:val="14"/>
              </w:rPr>
              <w:t>Immediate Action</w:t>
            </w:r>
          </w:p>
        </w:tc>
        <w:tc>
          <w:tcPr>
            <w:tcW w:type="dxa" w:w="2520"/>
            <w:shd w:fill="1F4E79"/>
            <w:vAlign w:val="center"/>
          </w:tcPr>
          <w:p>
            <w:r/>
            <w:r>
              <w:rPr>
                <w:b/>
                <w:color w:val="FFFFFF"/>
                <w:sz w:val="14"/>
              </w:rPr>
              <w:t>Escalation Path</w:t>
            </w:r>
          </w:p>
        </w:tc>
        <w:tc>
          <w:tcPr>
            <w:tcW w:type="dxa" w:w="2520"/>
            <w:shd w:fill="1F4E79"/>
            <w:vAlign w:val="center"/>
          </w:tcPr>
          <w:p>
            <w:r/>
            <w:r>
              <w:rPr>
                <w:b/>
                <w:color w:val="FFFFFF"/>
                <w:sz w:val="14"/>
              </w:rPr>
              <w:t>Do Not</w:t>
            </w:r>
          </w:p>
        </w:tc>
      </w:tr>
      <w:tr>
        <w:tc>
          <w:tcPr>
            <w:tcW w:type="dxa" w:w="2016"/>
            <w:vAlign w:val="top"/>
          </w:tcPr>
          <w:p>
            <w:r/>
            <w:r>
              <w:rPr>
                <w:b w:val="0"/>
                <w:sz w:val="14"/>
              </w:rPr>
              <w:t>Potential fraud or altered documents</w:t>
            </w:r>
          </w:p>
        </w:tc>
        <w:tc>
          <w:tcPr>
            <w:tcW w:type="dxa" w:w="2520"/>
            <w:vAlign w:val="top"/>
          </w:tcPr>
          <w:p>
            <w:r/>
            <w:r>
              <w:rPr>
                <w:b w:val="0"/>
                <w:sz w:val="14"/>
              </w:rPr>
              <w:t>Pause affected processing, secure evidence, and summarize concern.</w:t>
            </w:r>
          </w:p>
        </w:tc>
        <w:tc>
          <w:tcPr>
            <w:tcW w:type="dxa" w:w="2520"/>
            <w:vAlign w:val="top"/>
          </w:tcPr>
          <w:p>
            <w:r/>
            <w:r>
              <w:rPr>
                <w:b w:val="0"/>
                <w:sz w:val="14"/>
              </w:rPr>
              <w:t>Fraud/Risk team, team leader, compliance if required.</w:t>
            </w:r>
          </w:p>
        </w:tc>
        <w:tc>
          <w:tcPr>
            <w:tcW w:type="dxa" w:w="2520"/>
            <w:vAlign w:val="top"/>
          </w:tcPr>
          <w:p>
            <w:r/>
            <w:r>
              <w:rPr>
                <w:b w:val="0"/>
                <w:sz w:val="14"/>
              </w:rPr>
              <w:t>Do not accuse the applicant or reveal internal fraud indicators.</w:t>
            </w:r>
          </w:p>
        </w:tc>
      </w:tr>
      <w:tr>
        <w:tc>
          <w:tcPr>
            <w:tcW w:type="dxa" w:w="2016"/>
            <w:vAlign w:val="top"/>
          </w:tcPr>
          <w:p>
            <w:r/>
            <w:r>
              <w:rPr>
                <w:b w:val="0"/>
                <w:sz w:val="14"/>
              </w:rPr>
              <w:t>Privacy breach or misdirected information</w:t>
            </w:r>
          </w:p>
        </w:tc>
        <w:tc>
          <w:tcPr>
            <w:tcW w:type="dxa" w:w="2520"/>
            <w:vAlign w:val="top"/>
          </w:tcPr>
          <w:p>
            <w:r/>
            <w:r>
              <w:rPr>
                <w:b w:val="0"/>
                <w:sz w:val="14"/>
              </w:rPr>
              <w:t>Contain the breach, notify manager, follow incident procedure.</w:t>
            </w:r>
          </w:p>
        </w:tc>
        <w:tc>
          <w:tcPr>
            <w:tcW w:type="dxa" w:w="2520"/>
            <w:vAlign w:val="top"/>
          </w:tcPr>
          <w:p>
            <w:r/>
            <w:r>
              <w:rPr>
                <w:b w:val="0"/>
                <w:sz w:val="14"/>
              </w:rPr>
              <w:t>Privacy officer / Compliance / Information Security.</w:t>
            </w:r>
          </w:p>
        </w:tc>
        <w:tc>
          <w:tcPr>
            <w:tcW w:type="dxa" w:w="2520"/>
            <w:vAlign w:val="top"/>
          </w:tcPr>
          <w:p>
            <w:r/>
            <w:r>
              <w:rPr>
                <w:b w:val="0"/>
                <w:sz w:val="14"/>
              </w:rPr>
              <w:t>Do not delete evidence or attempt informal correction without reporting.</w:t>
            </w:r>
          </w:p>
        </w:tc>
      </w:tr>
      <w:tr>
        <w:tc>
          <w:tcPr>
            <w:tcW w:type="dxa" w:w="2016"/>
            <w:vAlign w:val="top"/>
          </w:tcPr>
          <w:p>
            <w:r/>
            <w:r>
              <w:rPr>
                <w:b w:val="0"/>
                <w:sz w:val="14"/>
              </w:rPr>
              <w:t>Settlement deadline at risk</w:t>
            </w:r>
          </w:p>
        </w:tc>
        <w:tc>
          <w:tcPr>
            <w:tcW w:type="dxa" w:w="2520"/>
            <w:vAlign w:val="top"/>
          </w:tcPr>
          <w:p>
            <w:r/>
            <w:r>
              <w:rPr>
                <w:b w:val="0"/>
                <w:sz w:val="14"/>
              </w:rPr>
              <w:t>Identify blocker, set priority tasks, notify stakeholders with realistic status.</w:t>
            </w:r>
          </w:p>
        </w:tc>
        <w:tc>
          <w:tcPr>
            <w:tcW w:type="dxa" w:w="2520"/>
            <w:vAlign w:val="top"/>
          </w:tcPr>
          <w:p>
            <w:r/>
            <w:r>
              <w:rPr>
                <w:b w:val="0"/>
                <w:sz w:val="14"/>
              </w:rPr>
              <w:t>Team leader, underwriting manager, closing manager.</w:t>
            </w:r>
          </w:p>
        </w:tc>
        <w:tc>
          <w:tcPr>
            <w:tcW w:type="dxa" w:w="2520"/>
            <w:vAlign w:val="top"/>
          </w:tcPr>
          <w:p>
            <w:r/>
            <w:r>
              <w:rPr>
                <w:b w:val="0"/>
                <w:sz w:val="14"/>
              </w:rPr>
              <w:t>Do not promise settlement without approval and closing clearance.</w:t>
            </w:r>
          </w:p>
        </w:tc>
      </w:tr>
      <w:tr>
        <w:tc>
          <w:tcPr>
            <w:tcW w:type="dxa" w:w="2016"/>
            <w:vAlign w:val="top"/>
          </w:tcPr>
          <w:p>
            <w:r/>
            <w:r>
              <w:rPr>
                <w:b w:val="0"/>
                <w:sz w:val="14"/>
              </w:rPr>
              <w:t>Policy exception required</w:t>
            </w:r>
          </w:p>
        </w:tc>
        <w:tc>
          <w:tcPr>
            <w:tcW w:type="dxa" w:w="2520"/>
            <w:vAlign w:val="top"/>
          </w:tcPr>
          <w:p>
            <w:r/>
            <w:r>
              <w:rPr>
                <w:b w:val="0"/>
                <w:sz w:val="14"/>
              </w:rPr>
              <w:t>Document exception, risk, mitigant, and requested authority.</w:t>
            </w:r>
          </w:p>
        </w:tc>
        <w:tc>
          <w:tcPr>
            <w:tcW w:type="dxa" w:w="2520"/>
            <w:vAlign w:val="top"/>
          </w:tcPr>
          <w:p>
            <w:r/>
            <w:r>
              <w:rPr>
                <w:b w:val="0"/>
                <w:sz w:val="14"/>
              </w:rPr>
              <w:t>Delegated credit authority / policy owner.</w:t>
            </w:r>
          </w:p>
        </w:tc>
        <w:tc>
          <w:tcPr>
            <w:tcW w:type="dxa" w:w="2520"/>
            <w:vAlign w:val="top"/>
          </w:tcPr>
          <w:p>
            <w:r/>
            <w:r>
              <w:rPr>
                <w:b w:val="0"/>
                <w:sz w:val="14"/>
              </w:rPr>
              <w:t>Do not proceed as approved without authority.</w:t>
            </w:r>
          </w:p>
        </w:tc>
      </w:tr>
      <w:tr>
        <w:tc>
          <w:tcPr>
            <w:tcW w:type="dxa" w:w="2016"/>
            <w:vAlign w:val="top"/>
          </w:tcPr>
          <w:p>
            <w:r/>
            <w:r>
              <w:rPr>
                <w:b w:val="0"/>
                <w:sz w:val="14"/>
              </w:rPr>
              <w:t>Customer complaint or hardship signal</w:t>
            </w:r>
          </w:p>
        </w:tc>
        <w:tc>
          <w:tcPr>
            <w:tcW w:type="dxa" w:w="2520"/>
            <w:vAlign w:val="top"/>
          </w:tcPr>
          <w:p>
            <w:r/>
            <w:r>
              <w:rPr>
                <w:b w:val="0"/>
                <w:sz w:val="14"/>
              </w:rPr>
              <w:t>Acknowledge, record, and refer under complaints/vulnerability procedure.</w:t>
            </w:r>
          </w:p>
        </w:tc>
        <w:tc>
          <w:tcPr>
            <w:tcW w:type="dxa" w:w="2520"/>
            <w:vAlign w:val="top"/>
          </w:tcPr>
          <w:p>
            <w:r/>
            <w:r>
              <w:rPr>
                <w:b w:val="0"/>
                <w:sz w:val="14"/>
              </w:rPr>
              <w:t>Complaints team / specialist support.</w:t>
            </w:r>
          </w:p>
        </w:tc>
        <w:tc>
          <w:tcPr>
            <w:tcW w:type="dxa" w:w="2520"/>
            <w:vAlign w:val="top"/>
          </w:tcPr>
          <w:p>
            <w:r/>
            <w:r>
              <w:rPr>
                <w:b w:val="0"/>
                <w:sz w:val="14"/>
              </w:rPr>
              <w:t>Do not dismiss or debate the complaint informally.</w:t>
            </w:r>
          </w:p>
        </w:tc>
      </w:tr>
      <w:tr>
        <w:tc>
          <w:tcPr>
            <w:tcW w:type="dxa" w:w="2016"/>
            <w:vAlign w:val="top"/>
          </w:tcPr>
          <w:p>
            <w:r/>
            <w:r>
              <w:rPr>
                <w:b w:val="0"/>
                <w:sz w:val="14"/>
              </w:rPr>
              <w:t>System outage</w:t>
            </w:r>
          </w:p>
        </w:tc>
        <w:tc>
          <w:tcPr>
            <w:tcW w:type="dxa" w:w="2520"/>
            <w:vAlign w:val="top"/>
          </w:tcPr>
          <w:p>
            <w:r/>
            <w:r>
              <w:rPr>
                <w:b w:val="0"/>
                <w:sz w:val="14"/>
              </w:rPr>
              <w:t>Use approved contingency process and manual log.</w:t>
            </w:r>
          </w:p>
        </w:tc>
        <w:tc>
          <w:tcPr>
            <w:tcW w:type="dxa" w:w="2520"/>
            <w:vAlign w:val="top"/>
          </w:tcPr>
          <w:p>
            <w:r/>
            <w:r>
              <w:rPr>
                <w:b w:val="0"/>
                <w:sz w:val="14"/>
              </w:rPr>
              <w:t>Technology support / operations manager.</w:t>
            </w:r>
          </w:p>
        </w:tc>
        <w:tc>
          <w:tcPr>
            <w:tcW w:type="dxa" w:w="2520"/>
            <w:vAlign w:val="top"/>
          </w:tcPr>
          <w:p>
            <w:r/>
            <w:r>
              <w:rPr>
                <w:b w:val="0"/>
                <w:sz w:val="14"/>
              </w:rPr>
              <w:t>Do not store customer documents in unapproved locations.</w:t>
            </w:r>
          </w:p>
        </w:tc>
      </w:tr>
    </w:tbl>
    <w:p>
      <w:pPr>
        <w:spacing w:after="40"/>
      </w:pPr>
    </w:p>
    <w:p>
      <w:pPr>
        <w:pStyle w:val="Heading2"/>
      </w:pPr>
      <w:r>
        <w:t>30.1 Escalation Note Template</w:t>
      </w:r>
    </w:p>
    <w:p>
      <w:pPr>
        <w:spacing w:after="80"/>
      </w:pPr>
      <w:r>
        <w:rPr>
          <w:sz w:val="18"/>
        </w:rPr>
        <w:t>File: [Application number]. Applicant(s): [Names]. Issue: [Short description]. Impact: [Customer, compliance, credit, settlement, operational]. Evidence: [Documents or system references]. Action requested: [Decision, guidance, exception, investigation]. Deadline: [Date/time]. Owner: [Name].</w:t>
      </w:r>
    </w:p>
    <w:p>
      <w:r>
        <w:br w:type="page"/>
      </w:r>
    </w:p>
    <w:p>
      <w:pPr>
        <w:pStyle w:val="Heading1"/>
        <w:spacing w:before="80" w:after="160"/>
      </w:pPr>
      <w:r>
        <w:t>31. Training, Competency, and Access Requirements</w:t>
      </w:r>
    </w:p>
    <w:p>
      <w:pPr>
        <w:pStyle w:val="ListBullet"/>
      </w:pPr>
      <w:r>
        <w:rPr>
          <w:sz w:val="19"/>
        </w:rPr>
        <w:t>All staff must complete onboarding training before processing live files.</w:t>
      </w:r>
    </w:p>
    <w:p>
      <w:pPr>
        <w:pStyle w:val="ListBullet"/>
      </w:pPr>
      <w:r>
        <w:rPr>
          <w:sz w:val="19"/>
        </w:rPr>
        <w:t>Minimum training modules should include credit policy basics, LOS use, privacy, information security, fraud awareness, AML/CTF awareness where applicable, vulnerable-customer handling, document verification, serviceability, valuation basics, and complaint identification.</w:t>
      </w:r>
    </w:p>
    <w:p>
      <w:pPr>
        <w:pStyle w:val="ListBullet"/>
      </w:pPr>
      <w:r>
        <w:rPr>
          <w:sz w:val="19"/>
        </w:rPr>
        <w:t>Access rights must match role responsibilities and be removed promptly when staff change roles or leave.</w:t>
      </w:r>
    </w:p>
    <w:p>
      <w:pPr>
        <w:pStyle w:val="ListBullet"/>
      </w:pPr>
      <w:r>
        <w:rPr>
          <w:sz w:val="19"/>
        </w:rPr>
        <w:t>Competency should be assessed through supervised cases, QA sampling, knowledge checks, and manager sign-off.</w:t>
      </w:r>
    </w:p>
    <w:p>
      <w:pPr>
        <w:pStyle w:val="ListBullet"/>
      </w:pPr>
      <w:r>
        <w:rPr>
          <w:sz w:val="19"/>
        </w:rPr>
        <w:t>Material SOP changes require targeted refresher training and evidence of completion.</w:t>
      </w:r>
    </w:p>
    <w:p>
      <w:pPr>
        <w:pStyle w:val="Heading2"/>
      </w:pPr>
      <w:r>
        <w:t>31.1 Competency Levels</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F4E79"/>
            <w:vAlign w:val="center"/>
          </w:tcPr>
          <w:p>
            <w:r/>
            <w:r>
              <w:rPr>
                <w:b/>
                <w:color w:val="FFFFFF"/>
                <w:sz w:val="16"/>
              </w:rPr>
              <w:t>Level</w:t>
            </w:r>
          </w:p>
        </w:tc>
        <w:tc>
          <w:tcPr>
            <w:tcW w:type="dxa" w:w="5328"/>
            <w:shd w:fill="1F4E79"/>
            <w:vAlign w:val="center"/>
          </w:tcPr>
          <w:p>
            <w:r/>
            <w:r>
              <w:rPr>
                <w:b/>
                <w:color w:val="FFFFFF"/>
                <w:sz w:val="16"/>
              </w:rPr>
              <w:t>Permitted Activities</w:t>
            </w:r>
          </w:p>
        </w:tc>
        <w:tc>
          <w:tcPr>
            <w:tcW w:type="dxa" w:w="2520"/>
            <w:shd w:fill="1F4E79"/>
            <w:vAlign w:val="center"/>
          </w:tcPr>
          <w:p>
            <w:r/>
            <w:r>
              <w:rPr>
                <w:b/>
                <w:color w:val="FFFFFF"/>
                <w:sz w:val="16"/>
              </w:rPr>
              <w:t>Supervision</w:t>
            </w:r>
          </w:p>
        </w:tc>
      </w:tr>
      <w:tr>
        <w:tc>
          <w:tcPr>
            <w:tcW w:type="dxa" w:w="1800"/>
            <w:vAlign w:val="top"/>
          </w:tcPr>
          <w:p>
            <w:r/>
            <w:r>
              <w:rPr>
                <w:b w:val="0"/>
                <w:sz w:val="16"/>
              </w:rPr>
              <w:t>Trainee</w:t>
            </w:r>
          </w:p>
        </w:tc>
        <w:tc>
          <w:tcPr>
            <w:tcW w:type="dxa" w:w="5328"/>
            <w:vAlign w:val="top"/>
          </w:tcPr>
          <w:p>
            <w:r/>
            <w:r>
              <w:rPr>
                <w:b w:val="0"/>
                <w:sz w:val="16"/>
              </w:rPr>
              <w:t>Observe files, perform low-risk data entry, draft missing-information requests.</w:t>
            </w:r>
          </w:p>
        </w:tc>
        <w:tc>
          <w:tcPr>
            <w:tcW w:type="dxa" w:w="2520"/>
            <w:vAlign w:val="top"/>
          </w:tcPr>
          <w:p>
            <w:r/>
            <w:r>
              <w:rPr>
                <w:b w:val="0"/>
                <w:sz w:val="16"/>
              </w:rPr>
              <w:t>100% review before release.</w:t>
            </w:r>
          </w:p>
        </w:tc>
      </w:tr>
      <w:tr>
        <w:tc>
          <w:tcPr>
            <w:tcW w:type="dxa" w:w="1800"/>
            <w:vAlign w:val="top"/>
          </w:tcPr>
          <w:p>
            <w:r/>
            <w:r>
              <w:rPr>
                <w:b w:val="0"/>
                <w:sz w:val="16"/>
              </w:rPr>
              <w:t>Processor Level 1</w:t>
            </w:r>
          </w:p>
        </w:tc>
        <w:tc>
          <w:tcPr>
            <w:tcW w:type="dxa" w:w="5328"/>
            <w:vAlign w:val="top"/>
          </w:tcPr>
          <w:p>
            <w:r/>
            <w:r>
              <w:rPr>
                <w:b w:val="0"/>
                <w:sz w:val="16"/>
              </w:rPr>
              <w:t>Process standard employed-borrower files within defined limits.</w:t>
            </w:r>
          </w:p>
        </w:tc>
        <w:tc>
          <w:tcPr>
            <w:tcW w:type="dxa" w:w="2520"/>
            <w:vAlign w:val="top"/>
          </w:tcPr>
          <w:p>
            <w:r/>
            <w:r>
              <w:rPr>
                <w:b w:val="0"/>
                <w:sz w:val="16"/>
              </w:rPr>
              <w:t>High QA sample and manager support.</w:t>
            </w:r>
          </w:p>
        </w:tc>
      </w:tr>
      <w:tr>
        <w:tc>
          <w:tcPr>
            <w:tcW w:type="dxa" w:w="1800"/>
            <w:vAlign w:val="top"/>
          </w:tcPr>
          <w:p>
            <w:r/>
            <w:r>
              <w:rPr>
                <w:b w:val="0"/>
                <w:sz w:val="16"/>
              </w:rPr>
              <w:t>Processor Level 2</w:t>
            </w:r>
          </w:p>
        </w:tc>
        <w:tc>
          <w:tcPr>
            <w:tcW w:type="dxa" w:w="5328"/>
            <w:vAlign w:val="top"/>
          </w:tcPr>
          <w:p>
            <w:r/>
            <w:r>
              <w:rPr>
                <w:b w:val="0"/>
                <w:sz w:val="16"/>
              </w:rPr>
              <w:t>Process self-employed, refinance, multi-applicant, and moderate-complexity files.</w:t>
            </w:r>
          </w:p>
        </w:tc>
        <w:tc>
          <w:tcPr>
            <w:tcW w:type="dxa" w:w="2520"/>
            <w:vAlign w:val="top"/>
          </w:tcPr>
          <w:p>
            <w:r/>
            <w:r>
              <w:rPr>
                <w:b w:val="0"/>
                <w:sz w:val="16"/>
              </w:rPr>
              <w:t>Routine QA sample.</w:t>
            </w:r>
          </w:p>
        </w:tc>
      </w:tr>
      <w:tr>
        <w:tc>
          <w:tcPr>
            <w:tcW w:type="dxa" w:w="1800"/>
            <w:vAlign w:val="top"/>
          </w:tcPr>
          <w:p>
            <w:r/>
            <w:r>
              <w:rPr>
                <w:b w:val="0"/>
                <w:sz w:val="16"/>
              </w:rPr>
              <w:t>Senior Processor</w:t>
            </w:r>
          </w:p>
        </w:tc>
        <w:tc>
          <w:tcPr>
            <w:tcW w:type="dxa" w:w="5328"/>
            <w:vAlign w:val="top"/>
          </w:tcPr>
          <w:p>
            <w:r/>
            <w:r>
              <w:rPr>
                <w:b w:val="0"/>
                <w:sz w:val="16"/>
              </w:rPr>
              <w:t>Handle complex files, coach staff, resolve rework, support escalations.</w:t>
            </w:r>
          </w:p>
        </w:tc>
        <w:tc>
          <w:tcPr>
            <w:tcW w:type="dxa" w:w="2520"/>
            <w:vAlign w:val="top"/>
          </w:tcPr>
          <w:p>
            <w:r/>
            <w:r>
              <w:rPr>
                <w:b w:val="0"/>
                <w:sz w:val="16"/>
              </w:rPr>
              <w:t>Targeted QA and team leader review.</w:t>
            </w:r>
          </w:p>
        </w:tc>
      </w:tr>
      <w:tr>
        <w:tc>
          <w:tcPr>
            <w:tcW w:type="dxa" w:w="1800"/>
            <w:vAlign w:val="top"/>
          </w:tcPr>
          <w:p>
            <w:r/>
            <w:r>
              <w:rPr>
                <w:b w:val="0"/>
                <w:sz w:val="16"/>
              </w:rPr>
              <w:t>Underwriter / Approver</w:t>
            </w:r>
          </w:p>
        </w:tc>
        <w:tc>
          <w:tcPr>
            <w:tcW w:type="dxa" w:w="5328"/>
            <w:vAlign w:val="top"/>
          </w:tcPr>
          <w:p>
            <w:r/>
            <w:r>
              <w:rPr>
                <w:b w:val="0"/>
                <w:sz w:val="16"/>
              </w:rPr>
              <w:t>Decision files within delegation.</w:t>
            </w:r>
          </w:p>
        </w:tc>
        <w:tc>
          <w:tcPr>
            <w:tcW w:type="dxa" w:w="2520"/>
            <w:vAlign w:val="top"/>
          </w:tcPr>
          <w:p>
            <w:r/>
            <w:r>
              <w:rPr>
                <w:b w:val="0"/>
                <w:sz w:val="16"/>
              </w:rPr>
              <w:t>Independent QA and authority monitoring.</w:t>
            </w:r>
          </w:p>
        </w:tc>
      </w:tr>
    </w:tbl>
    <w:p>
      <w:pPr>
        <w:spacing w:after="40"/>
      </w:pPr>
    </w:p>
    <w:p>
      <w:r>
        <w:br w:type="page"/>
      </w:r>
    </w:p>
    <w:p>
      <w:pPr>
        <w:pStyle w:val="Heading1"/>
        <w:spacing w:before="80" w:after="160"/>
      </w:pPr>
      <w:r>
        <w:t>32. Appendix A - Sample Application Processing Timeline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shd w:fill="1F4E79"/>
            <w:vAlign w:val="center"/>
          </w:tcPr>
          <w:p>
            <w:r/>
            <w:r>
              <w:rPr>
                <w:b/>
                <w:color w:val="FFFFFF"/>
                <w:sz w:val="15"/>
              </w:rPr>
              <w:t>Day / Stage</w:t>
            </w:r>
          </w:p>
        </w:tc>
        <w:tc>
          <w:tcPr>
            <w:tcW w:type="dxa" w:w="3600"/>
            <w:shd w:fill="1F4E79"/>
            <w:vAlign w:val="center"/>
          </w:tcPr>
          <w:p>
            <w:r/>
            <w:r>
              <w:rPr>
                <w:b/>
                <w:color w:val="FFFFFF"/>
                <w:sz w:val="15"/>
              </w:rPr>
              <w:t>Activity</w:t>
            </w:r>
          </w:p>
        </w:tc>
        <w:tc>
          <w:tcPr>
            <w:tcW w:type="dxa" w:w="2160"/>
            <w:shd w:fill="1F4E79"/>
            <w:vAlign w:val="center"/>
          </w:tcPr>
          <w:p>
            <w:r/>
            <w:r>
              <w:rPr>
                <w:b/>
                <w:color w:val="FFFFFF"/>
                <w:sz w:val="15"/>
              </w:rPr>
              <w:t>Responsible Role</w:t>
            </w:r>
          </w:p>
        </w:tc>
        <w:tc>
          <w:tcPr>
            <w:tcW w:type="dxa" w:w="2520"/>
            <w:shd w:fill="1F4E79"/>
            <w:vAlign w:val="center"/>
          </w:tcPr>
          <w:p>
            <w:r/>
            <w:r>
              <w:rPr>
                <w:b/>
                <w:color w:val="FFFFFF"/>
                <w:sz w:val="15"/>
              </w:rPr>
              <w:t>Output</w:t>
            </w:r>
          </w:p>
        </w:tc>
      </w:tr>
      <w:tr>
        <w:tc>
          <w:tcPr>
            <w:tcW w:type="dxa" w:w="1440"/>
            <w:vAlign w:val="top"/>
          </w:tcPr>
          <w:p>
            <w:r/>
            <w:r>
              <w:rPr>
                <w:b w:val="0"/>
                <w:sz w:val="15"/>
              </w:rPr>
              <w:t>Day 0</w:t>
            </w:r>
          </w:p>
        </w:tc>
        <w:tc>
          <w:tcPr>
            <w:tcW w:type="dxa" w:w="3600"/>
            <w:vAlign w:val="top"/>
          </w:tcPr>
          <w:p>
            <w:r/>
            <w:r>
              <w:rPr>
                <w:b w:val="0"/>
                <w:sz w:val="15"/>
              </w:rPr>
              <w:t>Application received, logged, duplicate check completed.</w:t>
            </w:r>
          </w:p>
        </w:tc>
        <w:tc>
          <w:tcPr>
            <w:tcW w:type="dxa" w:w="2160"/>
            <w:vAlign w:val="top"/>
          </w:tcPr>
          <w:p>
            <w:r/>
            <w:r>
              <w:rPr>
                <w:b w:val="0"/>
                <w:sz w:val="15"/>
              </w:rPr>
              <w:t>Processor</w:t>
            </w:r>
          </w:p>
        </w:tc>
        <w:tc>
          <w:tcPr>
            <w:tcW w:type="dxa" w:w="2520"/>
            <w:vAlign w:val="top"/>
          </w:tcPr>
          <w:p>
            <w:r/>
            <w:r>
              <w:rPr>
                <w:b w:val="0"/>
                <w:sz w:val="15"/>
              </w:rPr>
              <w:t>LOS record and receipt acknowledgement.</w:t>
            </w:r>
          </w:p>
        </w:tc>
      </w:tr>
      <w:tr>
        <w:tc>
          <w:tcPr>
            <w:tcW w:type="dxa" w:w="1440"/>
            <w:vAlign w:val="top"/>
          </w:tcPr>
          <w:p>
            <w:r/>
            <w:r>
              <w:rPr>
                <w:b w:val="0"/>
                <w:sz w:val="15"/>
              </w:rPr>
              <w:t>Day 1</w:t>
            </w:r>
          </w:p>
        </w:tc>
        <w:tc>
          <w:tcPr>
            <w:tcW w:type="dxa" w:w="3600"/>
            <w:vAlign w:val="top"/>
          </w:tcPr>
          <w:p>
            <w:r/>
            <w:r>
              <w:rPr>
                <w:b w:val="0"/>
                <w:sz w:val="15"/>
              </w:rPr>
              <w:t>Completeness and eligibility review completed.</w:t>
            </w:r>
          </w:p>
        </w:tc>
        <w:tc>
          <w:tcPr>
            <w:tcW w:type="dxa" w:w="2160"/>
            <w:vAlign w:val="top"/>
          </w:tcPr>
          <w:p>
            <w:r/>
            <w:r>
              <w:rPr>
                <w:b w:val="0"/>
                <w:sz w:val="15"/>
              </w:rPr>
              <w:t>Processor</w:t>
            </w:r>
          </w:p>
        </w:tc>
        <w:tc>
          <w:tcPr>
            <w:tcW w:type="dxa" w:w="2520"/>
            <w:vAlign w:val="top"/>
          </w:tcPr>
          <w:p>
            <w:r/>
            <w:r>
              <w:rPr>
                <w:b w:val="0"/>
                <w:sz w:val="15"/>
              </w:rPr>
              <w:t>Checklist and missing-information request if needed.</w:t>
            </w:r>
          </w:p>
        </w:tc>
      </w:tr>
      <w:tr>
        <w:tc>
          <w:tcPr>
            <w:tcW w:type="dxa" w:w="1440"/>
            <w:vAlign w:val="top"/>
          </w:tcPr>
          <w:p>
            <w:r/>
            <w:r>
              <w:rPr>
                <w:b w:val="0"/>
                <w:sz w:val="15"/>
              </w:rPr>
              <w:t>Day 2-5</w:t>
            </w:r>
          </w:p>
        </w:tc>
        <w:tc>
          <w:tcPr>
            <w:tcW w:type="dxa" w:w="3600"/>
            <w:vAlign w:val="top"/>
          </w:tcPr>
          <w:p>
            <w:r/>
            <w:r>
              <w:rPr>
                <w:b w:val="0"/>
                <w:sz w:val="15"/>
              </w:rPr>
              <w:t>Verification of identity, income, employment, assets, liabilities, and property information.</w:t>
            </w:r>
          </w:p>
        </w:tc>
        <w:tc>
          <w:tcPr>
            <w:tcW w:type="dxa" w:w="2160"/>
            <w:vAlign w:val="top"/>
          </w:tcPr>
          <w:p>
            <w:r/>
            <w:r>
              <w:rPr>
                <w:b w:val="0"/>
                <w:sz w:val="15"/>
              </w:rPr>
              <w:t>Processor / Verifier</w:t>
            </w:r>
          </w:p>
        </w:tc>
        <w:tc>
          <w:tcPr>
            <w:tcW w:type="dxa" w:w="2520"/>
            <w:vAlign w:val="top"/>
          </w:tcPr>
          <w:p>
            <w:r/>
            <w:r>
              <w:rPr>
                <w:b w:val="0"/>
                <w:sz w:val="15"/>
              </w:rPr>
              <w:t>Verification notes and updated LOS data.</w:t>
            </w:r>
          </w:p>
        </w:tc>
      </w:tr>
      <w:tr>
        <w:tc>
          <w:tcPr>
            <w:tcW w:type="dxa" w:w="1440"/>
            <w:vAlign w:val="top"/>
          </w:tcPr>
          <w:p>
            <w:r/>
            <w:r>
              <w:rPr>
                <w:b w:val="0"/>
                <w:sz w:val="15"/>
              </w:rPr>
              <w:t>Day 2-7</w:t>
            </w:r>
          </w:p>
        </w:tc>
        <w:tc>
          <w:tcPr>
            <w:tcW w:type="dxa" w:w="3600"/>
            <w:vAlign w:val="top"/>
          </w:tcPr>
          <w:p>
            <w:r/>
            <w:r>
              <w:rPr>
                <w:b w:val="0"/>
                <w:sz w:val="15"/>
              </w:rPr>
              <w:t>Valuation ordered and reviewed.</w:t>
            </w:r>
          </w:p>
        </w:tc>
        <w:tc>
          <w:tcPr>
            <w:tcW w:type="dxa" w:w="2160"/>
            <w:vAlign w:val="top"/>
          </w:tcPr>
          <w:p>
            <w:r/>
            <w:r>
              <w:rPr>
                <w:b w:val="0"/>
                <w:sz w:val="15"/>
              </w:rPr>
              <w:t>Collateral Team</w:t>
            </w:r>
          </w:p>
        </w:tc>
        <w:tc>
          <w:tcPr>
            <w:tcW w:type="dxa" w:w="2520"/>
            <w:vAlign w:val="top"/>
          </w:tcPr>
          <w:p>
            <w:r/>
            <w:r>
              <w:rPr>
                <w:b w:val="0"/>
                <w:sz w:val="15"/>
              </w:rPr>
              <w:t>Valuation report and collateral notes.</w:t>
            </w:r>
          </w:p>
        </w:tc>
      </w:tr>
      <w:tr>
        <w:tc>
          <w:tcPr>
            <w:tcW w:type="dxa" w:w="1440"/>
            <w:vAlign w:val="top"/>
          </w:tcPr>
          <w:p>
            <w:r/>
            <w:r>
              <w:rPr>
                <w:b w:val="0"/>
                <w:sz w:val="15"/>
              </w:rPr>
              <w:t>Day 5-8</w:t>
            </w:r>
          </w:p>
        </w:tc>
        <w:tc>
          <w:tcPr>
            <w:tcW w:type="dxa" w:w="3600"/>
            <w:vAlign w:val="top"/>
          </w:tcPr>
          <w:p>
            <w:r/>
            <w:r>
              <w:rPr>
                <w:b w:val="0"/>
                <w:sz w:val="15"/>
              </w:rPr>
              <w:t>Serviceability/product checks and underwriting package prepared.</w:t>
            </w:r>
          </w:p>
        </w:tc>
        <w:tc>
          <w:tcPr>
            <w:tcW w:type="dxa" w:w="2160"/>
            <w:vAlign w:val="top"/>
          </w:tcPr>
          <w:p>
            <w:r/>
            <w:r>
              <w:rPr>
                <w:b w:val="0"/>
                <w:sz w:val="15"/>
              </w:rPr>
              <w:t>Processor</w:t>
            </w:r>
          </w:p>
        </w:tc>
        <w:tc>
          <w:tcPr>
            <w:tcW w:type="dxa" w:w="2520"/>
            <w:vAlign w:val="top"/>
          </w:tcPr>
          <w:p>
            <w:r/>
            <w:r>
              <w:rPr>
                <w:b w:val="0"/>
                <w:sz w:val="15"/>
              </w:rPr>
              <w:t>Submission summary.</w:t>
            </w:r>
          </w:p>
        </w:tc>
      </w:tr>
      <w:tr>
        <w:tc>
          <w:tcPr>
            <w:tcW w:type="dxa" w:w="1440"/>
            <w:vAlign w:val="top"/>
          </w:tcPr>
          <w:p>
            <w:r/>
            <w:r>
              <w:rPr>
                <w:b w:val="0"/>
                <w:sz w:val="15"/>
              </w:rPr>
              <w:t>Day 6-10</w:t>
            </w:r>
          </w:p>
        </w:tc>
        <w:tc>
          <w:tcPr>
            <w:tcW w:type="dxa" w:w="3600"/>
            <w:vAlign w:val="top"/>
          </w:tcPr>
          <w:p>
            <w:r/>
            <w:r>
              <w:rPr>
                <w:b w:val="0"/>
                <w:sz w:val="15"/>
              </w:rPr>
              <w:t>Underwriter review and decision.</w:t>
            </w:r>
          </w:p>
        </w:tc>
        <w:tc>
          <w:tcPr>
            <w:tcW w:type="dxa" w:w="2160"/>
            <w:vAlign w:val="top"/>
          </w:tcPr>
          <w:p>
            <w:r/>
            <w:r>
              <w:rPr>
                <w:b w:val="0"/>
                <w:sz w:val="15"/>
              </w:rPr>
              <w:t>Underwriter / Credit Approver</w:t>
            </w:r>
          </w:p>
        </w:tc>
        <w:tc>
          <w:tcPr>
            <w:tcW w:type="dxa" w:w="2520"/>
            <w:vAlign w:val="top"/>
          </w:tcPr>
          <w:p>
            <w:r/>
            <w:r>
              <w:rPr>
                <w:b w:val="0"/>
                <w:sz w:val="15"/>
              </w:rPr>
              <w:t>Approval, conditional approval, decline, or information request.</w:t>
            </w:r>
          </w:p>
        </w:tc>
      </w:tr>
      <w:tr>
        <w:tc>
          <w:tcPr>
            <w:tcW w:type="dxa" w:w="1440"/>
            <w:vAlign w:val="top"/>
          </w:tcPr>
          <w:p>
            <w:r/>
            <w:r>
              <w:rPr>
                <w:b w:val="0"/>
                <w:sz w:val="15"/>
              </w:rPr>
              <w:t>Post-decision</w:t>
            </w:r>
          </w:p>
        </w:tc>
        <w:tc>
          <w:tcPr>
            <w:tcW w:type="dxa" w:w="3600"/>
            <w:vAlign w:val="top"/>
          </w:tcPr>
          <w:p>
            <w:r/>
            <w:r>
              <w:rPr>
                <w:b w:val="0"/>
                <w:sz w:val="15"/>
              </w:rPr>
              <w:t>Approval/decline communication, condition tracking, handoff, or closure.</w:t>
            </w:r>
          </w:p>
        </w:tc>
        <w:tc>
          <w:tcPr>
            <w:tcW w:type="dxa" w:w="2160"/>
            <w:vAlign w:val="top"/>
          </w:tcPr>
          <w:p>
            <w:r/>
            <w:r>
              <w:rPr>
                <w:b w:val="0"/>
                <w:sz w:val="15"/>
              </w:rPr>
              <w:t>Processor / Loan Officer</w:t>
            </w:r>
          </w:p>
        </w:tc>
        <w:tc>
          <w:tcPr>
            <w:tcW w:type="dxa" w:w="2520"/>
            <w:vAlign w:val="top"/>
          </w:tcPr>
          <w:p>
            <w:r/>
            <w:r>
              <w:rPr>
                <w:b w:val="0"/>
                <w:sz w:val="15"/>
              </w:rPr>
              <w:t>Notice, condition register, and closed or transferred file.</w:t>
            </w:r>
          </w:p>
        </w:tc>
      </w:tr>
    </w:tbl>
    <w:p>
      <w:pPr>
        <w:spacing w:after="40"/>
      </w:pPr>
    </w:p>
    <w:p>
      <w:pPr>
        <w:pStyle w:val="Heading2"/>
      </w:pPr>
      <w:r>
        <w:t>32.1 Timing Notes</w:t>
      </w:r>
    </w:p>
    <w:p>
      <w:pPr>
        <w:pStyle w:val="ListBullet"/>
      </w:pPr>
      <w:r>
        <w:rPr>
          <w:sz w:val="19"/>
        </w:rPr>
        <w:t>Actual timing depends on customer responsiveness, valuation access, complexity, third-party verification speed, underwriting capacity, and system availability.</w:t>
      </w:r>
    </w:p>
    <w:p>
      <w:pPr>
        <w:pStyle w:val="ListBullet"/>
      </w:pPr>
      <w:r>
        <w:rPr>
          <w:sz w:val="19"/>
        </w:rPr>
        <w:t>Urgent settlement files must not bypass controls; escalation should focus on prioritization and blocker removal.</w:t>
      </w:r>
    </w:p>
    <w:p>
      <w:pPr>
        <w:pStyle w:val="ListBullet"/>
      </w:pPr>
      <w:r>
        <w:rPr>
          <w:sz w:val="19"/>
        </w:rPr>
        <w:t>Applications should not remain in a passive status without a dated next action.</w:t>
      </w:r>
    </w:p>
    <w:p>
      <w:r>
        <w:br w:type="page"/>
      </w:r>
    </w:p>
    <w:p>
      <w:pPr>
        <w:pStyle w:val="Heading1"/>
        <w:spacing w:before="80" w:after="160"/>
      </w:pPr>
      <w:r>
        <w:t>33. Appendix B - Risk and Control Register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88"/>
            <w:shd w:fill="1F4E79"/>
            <w:vAlign w:val="center"/>
          </w:tcPr>
          <w:p>
            <w:r/>
            <w:r>
              <w:rPr>
                <w:b/>
                <w:color w:val="FFFFFF"/>
                <w:sz w:val="14"/>
              </w:rPr>
              <w:t>Risk</w:t>
            </w:r>
          </w:p>
        </w:tc>
        <w:tc>
          <w:tcPr>
            <w:tcW w:type="dxa" w:w="3024"/>
            <w:shd w:fill="1F4E79"/>
            <w:vAlign w:val="center"/>
          </w:tcPr>
          <w:p>
            <w:r/>
            <w:r>
              <w:rPr>
                <w:b/>
                <w:color w:val="FFFFFF"/>
                <w:sz w:val="14"/>
              </w:rPr>
              <w:t>Control</w:t>
            </w:r>
          </w:p>
        </w:tc>
        <w:tc>
          <w:tcPr>
            <w:tcW w:type="dxa" w:w="2016"/>
            <w:shd w:fill="1F4E79"/>
            <w:vAlign w:val="center"/>
          </w:tcPr>
          <w:p>
            <w:r/>
            <w:r>
              <w:rPr>
                <w:b/>
                <w:color w:val="FFFFFF"/>
                <w:sz w:val="14"/>
              </w:rPr>
              <w:t>Evidence</w:t>
            </w:r>
          </w:p>
        </w:tc>
        <w:tc>
          <w:tcPr>
            <w:tcW w:type="dxa" w:w="1368"/>
            <w:shd w:fill="1F4E79"/>
            <w:vAlign w:val="center"/>
          </w:tcPr>
          <w:p>
            <w:r/>
            <w:r>
              <w:rPr>
                <w:b/>
                <w:color w:val="FFFFFF"/>
                <w:sz w:val="14"/>
              </w:rPr>
              <w:t>Frequency</w:t>
            </w:r>
          </w:p>
        </w:tc>
        <w:tc>
          <w:tcPr>
            <w:tcW w:type="dxa" w:w="1296"/>
            <w:shd w:fill="1F4E79"/>
            <w:vAlign w:val="center"/>
          </w:tcPr>
          <w:p>
            <w:r/>
            <w:r>
              <w:rPr>
                <w:b/>
                <w:color w:val="FFFFFF"/>
                <w:sz w:val="14"/>
              </w:rPr>
              <w:t>Owner</w:t>
            </w:r>
          </w:p>
        </w:tc>
      </w:tr>
      <w:tr>
        <w:tc>
          <w:tcPr>
            <w:tcW w:type="dxa" w:w="2088"/>
            <w:vAlign w:val="top"/>
          </w:tcPr>
          <w:p>
            <w:r/>
            <w:r>
              <w:rPr>
                <w:b w:val="0"/>
                <w:sz w:val="14"/>
              </w:rPr>
              <w:t>Incomplete application processed</w:t>
            </w:r>
          </w:p>
        </w:tc>
        <w:tc>
          <w:tcPr>
            <w:tcW w:type="dxa" w:w="3024"/>
            <w:vAlign w:val="top"/>
          </w:tcPr>
          <w:p>
            <w:r/>
            <w:r>
              <w:rPr>
                <w:b w:val="0"/>
                <w:sz w:val="14"/>
              </w:rPr>
              <w:t>Mandatory intake checklist and LOS hard stops.</w:t>
            </w:r>
          </w:p>
        </w:tc>
        <w:tc>
          <w:tcPr>
            <w:tcW w:type="dxa" w:w="2016"/>
            <w:vAlign w:val="top"/>
          </w:tcPr>
          <w:p>
            <w:r/>
            <w:r>
              <w:rPr>
                <w:b w:val="0"/>
                <w:sz w:val="14"/>
              </w:rPr>
              <w:t>Checklist and validation report.</w:t>
            </w:r>
          </w:p>
        </w:tc>
        <w:tc>
          <w:tcPr>
            <w:tcW w:type="dxa" w:w="1368"/>
            <w:vAlign w:val="top"/>
          </w:tcPr>
          <w:p>
            <w:r/>
            <w:r>
              <w:rPr>
                <w:b w:val="0"/>
                <w:sz w:val="14"/>
              </w:rPr>
              <w:t>Every file</w:t>
            </w:r>
          </w:p>
        </w:tc>
        <w:tc>
          <w:tcPr>
            <w:tcW w:type="dxa" w:w="1296"/>
            <w:vAlign w:val="top"/>
          </w:tcPr>
          <w:p>
            <w:r/>
            <w:r>
              <w:rPr>
                <w:b w:val="0"/>
                <w:sz w:val="14"/>
              </w:rPr>
              <w:t>Processor</w:t>
            </w:r>
          </w:p>
        </w:tc>
      </w:tr>
      <w:tr>
        <w:tc>
          <w:tcPr>
            <w:tcW w:type="dxa" w:w="2088"/>
            <w:vAlign w:val="top"/>
          </w:tcPr>
          <w:p>
            <w:r/>
            <w:r>
              <w:rPr>
                <w:b w:val="0"/>
                <w:sz w:val="14"/>
              </w:rPr>
              <w:t>Consent missing before credit checks</w:t>
            </w:r>
          </w:p>
        </w:tc>
        <w:tc>
          <w:tcPr>
            <w:tcW w:type="dxa" w:w="3024"/>
            <w:vAlign w:val="top"/>
          </w:tcPr>
          <w:p>
            <w:r/>
            <w:r>
              <w:rPr>
                <w:b w:val="0"/>
                <w:sz w:val="14"/>
              </w:rPr>
              <w:t>Consent validation prior to bureau or third-party order.</w:t>
            </w:r>
          </w:p>
        </w:tc>
        <w:tc>
          <w:tcPr>
            <w:tcW w:type="dxa" w:w="2016"/>
            <w:vAlign w:val="top"/>
          </w:tcPr>
          <w:p>
            <w:r/>
            <w:r>
              <w:rPr>
                <w:b w:val="0"/>
                <w:sz w:val="14"/>
              </w:rPr>
              <w:t>Consent form and timestamp.</w:t>
            </w:r>
          </w:p>
        </w:tc>
        <w:tc>
          <w:tcPr>
            <w:tcW w:type="dxa" w:w="1368"/>
            <w:vAlign w:val="top"/>
          </w:tcPr>
          <w:p>
            <w:r/>
            <w:r>
              <w:rPr>
                <w:b w:val="0"/>
                <w:sz w:val="14"/>
              </w:rPr>
              <w:t>Every file</w:t>
            </w:r>
          </w:p>
        </w:tc>
        <w:tc>
          <w:tcPr>
            <w:tcW w:type="dxa" w:w="1296"/>
            <w:vAlign w:val="top"/>
          </w:tcPr>
          <w:p>
            <w:r/>
            <w:r>
              <w:rPr>
                <w:b w:val="0"/>
                <w:sz w:val="14"/>
              </w:rPr>
              <w:t>Processor</w:t>
            </w:r>
          </w:p>
        </w:tc>
      </w:tr>
      <w:tr>
        <w:tc>
          <w:tcPr>
            <w:tcW w:type="dxa" w:w="2088"/>
            <w:vAlign w:val="top"/>
          </w:tcPr>
          <w:p>
            <w:r/>
            <w:r>
              <w:rPr>
                <w:b w:val="0"/>
                <w:sz w:val="14"/>
              </w:rPr>
              <w:t>Incorrect income calculation</w:t>
            </w:r>
          </w:p>
        </w:tc>
        <w:tc>
          <w:tcPr>
            <w:tcW w:type="dxa" w:w="3024"/>
            <w:vAlign w:val="top"/>
          </w:tcPr>
          <w:p>
            <w:r/>
            <w:r>
              <w:rPr>
                <w:b w:val="0"/>
                <w:sz w:val="14"/>
              </w:rPr>
              <w:t>Standard income worksheet and underwriter review.</w:t>
            </w:r>
          </w:p>
        </w:tc>
        <w:tc>
          <w:tcPr>
            <w:tcW w:type="dxa" w:w="2016"/>
            <w:vAlign w:val="top"/>
          </w:tcPr>
          <w:p>
            <w:r/>
            <w:r>
              <w:rPr>
                <w:b w:val="0"/>
                <w:sz w:val="14"/>
              </w:rPr>
              <w:t>Worksheet and source docs.</w:t>
            </w:r>
          </w:p>
        </w:tc>
        <w:tc>
          <w:tcPr>
            <w:tcW w:type="dxa" w:w="1368"/>
            <w:vAlign w:val="top"/>
          </w:tcPr>
          <w:p>
            <w:r/>
            <w:r>
              <w:rPr>
                <w:b w:val="0"/>
                <w:sz w:val="14"/>
              </w:rPr>
              <w:t>Every applicable file</w:t>
            </w:r>
          </w:p>
        </w:tc>
        <w:tc>
          <w:tcPr>
            <w:tcW w:type="dxa" w:w="1296"/>
            <w:vAlign w:val="top"/>
          </w:tcPr>
          <w:p>
            <w:r/>
            <w:r>
              <w:rPr>
                <w:b w:val="0"/>
                <w:sz w:val="14"/>
              </w:rPr>
              <w:t>Verifier / Underwriter</w:t>
            </w:r>
          </w:p>
        </w:tc>
      </w:tr>
      <w:tr>
        <w:tc>
          <w:tcPr>
            <w:tcW w:type="dxa" w:w="2088"/>
            <w:vAlign w:val="top"/>
          </w:tcPr>
          <w:p>
            <w:r/>
            <w:r>
              <w:rPr>
                <w:b w:val="0"/>
                <w:sz w:val="14"/>
              </w:rPr>
              <w:t>Undisclosed liabilities missed</w:t>
            </w:r>
          </w:p>
        </w:tc>
        <w:tc>
          <w:tcPr>
            <w:tcW w:type="dxa" w:w="3024"/>
            <w:vAlign w:val="top"/>
          </w:tcPr>
          <w:p>
            <w:r/>
            <w:r>
              <w:rPr>
                <w:b w:val="0"/>
                <w:sz w:val="14"/>
              </w:rPr>
              <w:t>Bureau reconciliation and bank statement review.</w:t>
            </w:r>
          </w:p>
        </w:tc>
        <w:tc>
          <w:tcPr>
            <w:tcW w:type="dxa" w:w="2016"/>
            <w:vAlign w:val="top"/>
          </w:tcPr>
          <w:p>
            <w:r/>
            <w:r>
              <w:rPr>
                <w:b w:val="0"/>
                <w:sz w:val="14"/>
              </w:rPr>
              <w:t>Liability reconciliation notes.</w:t>
            </w:r>
          </w:p>
        </w:tc>
        <w:tc>
          <w:tcPr>
            <w:tcW w:type="dxa" w:w="1368"/>
            <w:vAlign w:val="top"/>
          </w:tcPr>
          <w:p>
            <w:r/>
            <w:r>
              <w:rPr>
                <w:b w:val="0"/>
                <w:sz w:val="14"/>
              </w:rPr>
              <w:t>Every file</w:t>
            </w:r>
          </w:p>
        </w:tc>
        <w:tc>
          <w:tcPr>
            <w:tcW w:type="dxa" w:w="1296"/>
            <w:vAlign w:val="top"/>
          </w:tcPr>
          <w:p>
            <w:r/>
            <w:r>
              <w:rPr>
                <w:b w:val="0"/>
                <w:sz w:val="14"/>
              </w:rPr>
              <w:t>Processor</w:t>
            </w:r>
          </w:p>
        </w:tc>
      </w:tr>
      <w:tr>
        <w:tc>
          <w:tcPr>
            <w:tcW w:type="dxa" w:w="2088"/>
            <w:vAlign w:val="top"/>
          </w:tcPr>
          <w:p>
            <w:r/>
            <w:r>
              <w:rPr>
                <w:b w:val="0"/>
                <w:sz w:val="14"/>
              </w:rPr>
              <w:t>Property overvaluation or unacceptable security</w:t>
            </w:r>
          </w:p>
        </w:tc>
        <w:tc>
          <w:tcPr>
            <w:tcW w:type="dxa" w:w="3024"/>
            <w:vAlign w:val="top"/>
          </w:tcPr>
          <w:p>
            <w:r/>
            <w:r>
              <w:rPr>
                <w:b w:val="0"/>
                <w:sz w:val="14"/>
              </w:rPr>
              <w:t>Approved valuation process and collateral review.</w:t>
            </w:r>
          </w:p>
        </w:tc>
        <w:tc>
          <w:tcPr>
            <w:tcW w:type="dxa" w:w="2016"/>
            <w:vAlign w:val="top"/>
          </w:tcPr>
          <w:p>
            <w:r/>
            <w:r>
              <w:rPr>
                <w:b w:val="0"/>
                <w:sz w:val="14"/>
              </w:rPr>
              <w:t>Valuation report and review notes.</w:t>
            </w:r>
          </w:p>
        </w:tc>
        <w:tc>
          <w:tcPr>
            <w:tcW w:type="dxa" w:w="1368"/>
            <w:vAlign w:val="top"/>
          </w:tcPr>
          <w:p>
            <w:r/>
            <w:r>
              <w:rPr>
                <w:b w:val="0"/>
                <w:sz w:val="14"/>
              </w:rPr>
              <w:t>Every security</w:t>
            </w:r>
          </w:p>
        </w:tc>
        <w:tc>
          <w:tcPr>
            <w:tcW w:type="dxa" w:w="1296"/>
            <w:vAlign w:val="top"/>
          </w:tcPr>
          <w:p>
            <w:r/>
            <w:r>
              <w:rPr>
                <w:b w:val="0"/>
                <w:sz w:val="14"/>
              </w:rPr>
              <w:t>Collateral Team</w:t>
            </w:r>
          </w:p>
        </w:tc>
      </w:tr>
      <w:tr>
        <w:tc>
          <w:tcPr>
            <w:tcW w:type="dxa" w:w="2088"/>
            <w:vAlign w:val="top"/>
          </w:tcPr>
          <w:p>
            <w:r/>
            <w:r>
              <w:rPr>
                <w:b w:val="0"/>
                <w:sz w:val="14"/>
              </w:rPr>
              <w:t>Fraudulent documents accepted</w:t>
            </w:r>
          </w:p>
        </w:tc>
        <w:tc>
          <w:tcPr>
            <w:tcW w:type="dxa" w:w="3024"/>
            <w:vAlign w:val="top"/>
          </w:tcPr>
          <w:p>
            <w:r/>
            <w:r>
              <w:rPr>
                <w:b w:val="0"/>
                <w:sz w:val="14"/>
              </w:rPr>
              <w:t>Fraud red flag training and escalation workflow.</w:t>
            </w:r>
          </w:p>
        </w:tc>
        <w:tc>
          <w:tcPr>
            <w:tcW w:type="dxa" w:w="2016"/>
            <w:vAlign w:val="top"/>
          </w:tcPr>
          <w:p>
            <w:r/>
            <w:r>
              <w:rPr>
                <w:b w:val="0"/>
                <w:sz w:val="14"/>
              </w:rPr>
              <w:t>Fraud screening notes.</w:t>
            </w:r>
          </w:p>
        </w:tc>
        <w:tc>
          <w:tcPr>
            <w:tcW w:type="dxa" w:w="1368"/>
            <w:vAlign w:val="top"/>
          </w:tcPr>
          <w:p>
            <w:r/>
            <w:r>
              <w:rPr>
                <w:b w:val="0"/>
                <w:sz w:val="14"/>
              </w:rPr>
              <w:t>Every file / sample QA</w:t>
            </w:r>
          </w:p>
        </w:tc>
        <w:tc>
          <w:tcPr>
            <w:tcW w:type="dxa" w:w="1296"/>
            <w:vAlign w:val="top"/>
          </w:tcPr>
          <w:p>
            <w:r/>
            <w:r>
              <w:rPr>
                <w:b w:val="0"/>
                <w:sz w:val="14"/>
              </w:rPr>
              <w:t>All roles</w:t>
            </w:r>
          </w:p>
        </w:tc>
      </w:tr>
      <w:tr>
        <w:tc>
          <w:tcPr>
            <w:tcW w:type="dxa" w:w="2088"/>
            <w:vAlign w:val="top"/>
          </w:tcPr>
          <w:p>
            <w:r/>
            <w:r>
              <w:rPr>
                <w:b w:val="0"/>
                <w:sz w:val="14"/>
              </w:rPr>
              <w:t>Decision outside authority</w:t>
            </w:r>
          </w:p>
        </w:tc>
        <w:tc>
          <w:tcPr>
            <w:tcW w:type="dxa" w:w="3024"/>
            <w:vAlign w:val="top"/>
          </w:tcPr>
          <w:p>
            <w:r/>
            <w:r>
              <w:rPr>
                <w:b w:val="0"/>
                <w:sz w:val="14"/>
              </w:rPr>
              <w:t>Delegated authority matrix and approval system controls.</w:t>
            </w:r>
          </w:p>
        </w:tc>
        <w:tc>
          <w:tcPr>
            <w:tcW w:type="dxa" w:w="2016"/>
            <w:vAlign w:val="top"/>
          </w:tcPr>
          <w:p>
            <w:r/>
            <w:r>
              <w:rPr>
                <w:b w:val="0"/>
                <w:sz w:val="14"/>
              </w:rPr>
              <w:t>Approver ID and authority level.</w:t>
            </w:r>
          </w:p>
        </w:tc>
        <w:tc>
          <w:tcPr>
            <w:tcW w:type="dxa" w:w="1368"/>
            <w:vAlign w:val="top"/>
          </w:tcPr>
          <w:p>
            <w:r/>
            <w:r>
              <w:rPr>
                <w:b w:val="0"/>
                <w:sz w:val="14"/>
              </w:rPr>
              <w:t>Every decision</w:t>
            </w:r>
          </w:p>
        </w:tc>
        <w:tc>
          <w:tcPr>
            <w:tcW w:type="dxa" w:w="1296"/>
            <w:vAlign w:val="top"/>
          </w:tcPr>
          <w:p>
            <w:r/>
            <w:r>
              <w:rPr>
                <w:b w:val="0"/>
                <w:sz w:val="14"/>
              </w:rPr>
              <w:t>Underwriting Manager</w:t>
            </w:r>
          </w:p>
        </w:tc>
      </w:tr>
      <w:tr>
        <w:tc>
          <w:tcPr>
            <w:tcW w:type="dxa" w:w="2088"/>
            <w:vAlign w:val="top"/>
          </w:tcPr>
          <w:p>
            <w:r/>
            <w:r>
              <w:rPr>
                <w:b w:val="0"/>
                <w:sz w:val="14"/>
              </w:rPr>
              <w:t>Poor decline communication</w:t>
            </w:r>
          </w:p>
        </w:tc>
        <w:tc>
          <w:tcPr>
            <w:tcW w:type="dxa" w:w="3024"/>
            <w:vAlign w:val="top"/>
          </w:tcPr>
          <w:p>
            <w:r/>
            <w:r>
              <w:rPr>
                <w:b w:val="0"/>
                <w:sz w:val="14"/>
              </w:rPr>
              <w:t>Approved templates and reason-code review.</w:t>
            </w:r>
          </w:p>
        </w:tc>
        <w:tc>
          <w:tcPr>
            <w:tcW w:type="dxa" w:w="2016"/>
            <w:vAlign w:val="top"/>
          </w:tcPr>
          <w:p>
            <w:r/>
            <w:r>
              <w:rPr>
                <w:b w:val="0"/>
                <w:sz w:val="14"/>
              </w:rPr>
              <w:t>Notice copy.</w:t>
            </w:r>
          </w:p>
        </w:tc>
        <w:tc>
          <w:tcPr>
            <w:tcW w:type="dxa" w:w="1368"/>
            <w:vAlign w:val="top"/>
          </w:tcPr>
          <w:p>
            <w:r/>
            <w:r>
              <w:rPr>
                <w:b w:val="0"/>
                <w:sz w:val="14"/>
              </w:rPr>
              <w:t>Every decline</w:t>
            </w:r>
          </w:p>
        </w:tc>
        <w:tc>
          <w:tcPr>
            <w:tcW w:type="dxa" w:w="1296"/>
            <w:vAlign w:val="top"/>
          </w:tcPr>
          <w:p>
            <w:r/>
            <w:r>
              <w:rPr>
                <w:b w:val="0"/>
                <w:sz w:val="14"/>
              </w:rPr>
              <w:t>Processor / Underwriter</w:t>
            </w:r>
          </w:p>
        </w:tc>
      </w:tr>
      <w:tr>
        <w:tc>
          <w:tcPr>
            <w:tcW w:type="dxa" w:w="2088"/>
            <w:vAlign w:val="top"/>
          </w:tcPr>
          <w:p>
            <w:r/>
            <w:r>
              <w:rPr>
                <w:b w:val="0"/>
                <w:sz w:val="14"/>
              </w:rPr>
              <w:t>Privacy breach</w:t>
            </w:r>
          </w:p>
        </w:tc>
        <w:tc>
          <w:tcPr>
            <w:tcW w:type="dxa" w:w="3024"/>
            <w:vAlign w:val="top"/>
          </w:tcPr>
          <w:p>
            <w:r/>
            <w:r>
              <w:rPr>
                <w:b w:val="0"/>
                <w:sz w:val="14"/>
              </w:rPr>
              <w:t>Secure channels, access controls, incident reporting.</w:t>
            </w:r>
          </w:p>
        </w:tc>
        <w:tc>
          <w:tcPr>
            <w:tcW w:type="dxa" w:w="2016"/>
            <w:vAlign w:val="top"/>
          </w:tcPr>
          <w:p>
            <w:r/>
            <w:r>
              <w:rPr>
                <w:b w:val="0"/>
                <w:sz w:val="14"/>
              </w:rPr>
              <w:t>Access logs and incident reports.</w:t>
            </w:r>
          </w:p>
        </w:tc>
        <w:tc>
          <w:tcPr>
            <w:tcW w:type="dxa" w:w="1368"/>
            <w:vAlign w:val="top"/>
          </w:tcPr>
          <w:p>
            <w:r/>
            <w:r>
              <w:rPr>
                <w:b w:val="0"/>
                <w:sz w:val="14"/>
              </w:rPr>
              <w:t>Ongoing</w:t>
            </w:r>
          </w:p>
        </w:tc>
        <w:tc>
          <w:tcPr>
            <w:tcW w:type="dxa" w:w="1296"/>
            <w:vAlign w:val="top"/>
          </w:tcPr>
          <w:p>
            <w:r/>
            <w:r>
              <w:rPr>
                <w:b w:val="0"/>
                <w:sz w:val="14"/>
              </w:rPr>
              <w:t>Operations / InfoSec</w:t>
            </w:r>
          </w:p>
        </w:tc>
      </w:tr>
      <w:tr>
        <w:tc>
          <w:tcPr>
            <w:tcW w:type="dxa" w:w="2088"/>
            <w:vAlign w:val="top"/>
          </w:tcPr>
          <w:p>
            <w:r/>
            <w:r>
              <w:rPr>
                <w:b w:val="0"/>
                <w:sz w:val="14"/>
              </w:rPr>
              <w:t>Records not retrievable</w:t>
            </w:r>
          </w:p>
        </w:tc>
        <w:tc>
          <w:tcPr>
            <w:tcW w:type="dxa" w:w="3024"/>
            <w:vAlign w:val="top"/>
          </w:tcPr>
          <w:p>
            <w:r/>
            <w:r>
              <w:rPr>
                <w:b w:val="0"/>
                <w:sz w:val="14"/>
              </w:rPr>
              <w:t>DMS indexing standards and file audit.</w:t>
            </w:r>
          </w:p>
        </w:tc>
        <w:tc>
          <w:tcPr>
            <w:tcW w:type="dxa" w:w="2016"/>
            <w:vAlign w:val="top"/>
          </w:tcPr>
          <w:p>
            <w:r/>
            <w:r>
              <w:rPr>
                <w:b w:val="0"/>
                <w:sz w:val="14"/>
              </w:rPr>
              <w:t>DMS index and QA result.</w:t>
            </w:r>
          </w:p>
        </w:tc>
        <w:tc>
          <w:tcPr>
            <w:tcW w:type="dxa" w:w="1368"/>
            <w:vAlign w:val="top"/>
          </w:tcPr>
          <w:p>
            <w:r/>
            <w:r>
              <w:rPr>
                <w:b w:val="0"/>
                <w:sz w:val="14"/>
              </w:rPr>
              <w:t>Every file / sample QA</w:t>
            </w:r>
          </w:p>
        </w:tc>
        <w:tc>
          <w:tcPr>
            <w:tcW w:type="dxa" w:w="1296"/>
            <w:vAlign w:val="top"/>
          </w:tcPr>
          <w:p>
            <w:r/>
            <w:r>
              <w:rPr>
                <w:b w:val="0"/>
                <w:sz w:val="14"/>
              </w:rPr>
              <w:t>Processor / QA</w:t>
            </w:r>
          </w:p>
        </w:tc>
      </w:tr>
    </w:tbl>
    <w:p>
      <w:pPr>
        <w:spacing w:after="40"/>
      </w:pPr>
    </w:p>
    <w:p>
      <w:r>
        <w:br w:type="page"/>
      </w:r>
    </w:p>
    <w:p>
      <w:pPr>
        <w:pStyle w:val="Heading1"/>
        <w:spacing w:before="80" w:after="160"/>
      </w:pPr>
      <w:r>
        <w:t>34. Appendix C - Glossary of Common Decline Reason Categories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vAlign w:val="center"/>
          </w:tcPr>
          <w:p>
            <w:r/>
            <w:r>
              <w:rPr>
                <w:b/>
                <w:color w:val="FFFFFF"/>
                <w:sz w:val="15"/>
              </w:rPr>
              <w:t>Category</w:t>
            </w:r>
          </w:p>
        </w:tc>
        <w:tc>
          <w:tcPr>
            <w:tcW w:type="dxa" w:w="4032"/>
            <w:shd w:fill="1F4E79"/>
            <w:vAlign w:val="center"/>
          </w:tcPr>
          <w:p>
            <w:r/>
            <w:r>
              <w:rPr>
                <w:b/>
                <w:color w:val="FFFFFF"/>
                <w:sz w:val="15"/>
              </w:rPr>
              <w:t>Examples</w:t>
            </w:r>
          </w:p>
        </w:tc>
        <w:tc>
          <w:tcPr>
            <w:tcW w:type="dxa" w:w="3600"/>
            <w:shd w:fill="1F4E79"/>
            <w:vAlign w:val="center"/>
          </w:tcPr>
          <w:p>
            <w:r/>
            <w:r>
              <w:rPr>
                <w:b/>
                <w:color w:val="FFFFFF"/>
                <w:sz w:val="15"/>
              </w:rPr>
              <w:t>Documentation Required</w:t>
            </w:r>
          </w:p>
        </w:tc>
      </w:tr>
      <w:tr>
        <w:tc>
          <w:tcPr>
            <w:tcW w:type="dxa" w:w="2016"/>
            <w:vAlign w:val="top"/>
          </w:tcPr>
          <w:p>
            <w:r/>
            <w:r>
              <w:rPr>
                <w:b w:val="0"/>
                <w:sz w:val="15"/>
              </w:rPr>
              <w:t>Affordability / serviceability</w:t>
            </w:r>
          </w:p>
        </w:tc>
        <w:tc>
          <w:tcPr>
            <w:tcW w:type="dxa" w:w="4032"/>
            <w:vAlign w:val="top"/>
          </w:tcPr>
          <w:p>
            <w:r/>
            <w:r>
              <w:rPr>
                <w:b w:val="0"/>
                <w:sz w:val="15"/>
              </w:rPr>
              <w:t>Insufficient verified income, excessive commitments, insufficient surplus after buffers.</w:t>
            </w:r>
          </w:p>
        </w:tc>
        <w:tc>
          <w:tcPr>
            <w:tcW w:type="dxa" w:w="3600"/>
            <w:vAlign w:val="top"/>
          </w:tcPr>
          <w:p>
            <w:r/>
            <w:r>
              <w:rPr>
                <w:b w:val="0"/>
                <w:sz w:val="15"/>
              </w:rPr>
              <w:t>Serviceability output, verified income/debt evidence, calculation notes.</w:t>
            </w:r>
          </w:p>
        </w:tc>
      </w:tr>
      <w:tr>
        <w:tc>
          <w:tcPr>
            <w:tcW w:type="dxa" w:w="2016"/>
            <w:vAlign w:val="top"/>
          </w:tcPr>
          <w:p>
            <w:r/>
            <w:r>
              <w:rPr>
                <w:b w:val="0"/>
                <w:sz w:val="15"/>
              </w:rPr>
              <w:t>Credit history</w:t>
            </w:r>
          </w:p>
        </w:tc>
        <w:tc>
          <w:tcPr>
            <w:tcW w:type="dxa" w:w="4032"/>
            <w:vAlign w:val="top"/>
          </w:tcPr>
          <w:p>
            <w:r/>
            <w:r>
              <w:rPr>
                <w:b w:val="0"/>
                <w:sz w:val="15"/>
              </w:rPr>
              <w:t>Recent arrears, defaults, insolvency, high utilization, excessive enquiries.</w:t>
            </w:r>
          </w:p>
        </w:tc>
        <w:tc>
          <w:tcPr>
            <w:tcW w:type="dxa" w:w="3600"/>
            <w:vAlign w:val="top"/>
          </w:tcPr>
          <w:p>
            <w:r/>
            <w:r>
              <w:rPr>
                <w:b w:val="0"/>
                <w:sz w:val="15"/>
              </w:rPr>
              <w:t>Credit report, applicant explanation, underwriter rationale.</w:t>
            </w:r>
          </w:p>
        </w:tc>
      </w:tr>
      <w:tr>
        <w:tc>
          <w:tcPr>
            <w:tcW w:type="dxa" w:w="2016"/>
            <w:vAlign w:val="top"/>
          </w:tcPr>
          <w:p>
            <w:r/>
            <w:r>
              <w:rPr>
                <w:b w:val="0"/>
                <w:sz w:val="15"/>
              </w:rPr>
              <w:t>Collateral</w:t>
            </w:r>
          </w:p>
        </w:tc>
        <w:tc>
          <w:tcPr>
            <w:tcW w:type="dxa" w:w="4032"/>
            <w:vAlign w:val="top"/>
          </w:tcPr>
          <w:p>
            <w:r/>
            <w:r>
              <w:rPr>
                <w:b w:val="0"/>
                <w:sz w:val="15"/>
              </w:rPr>
              <w:t>Valuation too low, unacceptable property type, title issue, marketability concern.</w:t>
            </w:r>
          </w:p>
        </w:tc>
        <w:tc>
          <w:tcPr>
            <w:tcW w:type="dxa" w:w="3600"/>
            <w:vAlign w:val="top"/>
          </w:tcPr>
          <w:p>
            <w:r/>
            <w:r>
              <w:rPr>
                <w:b w:val="0"/>
                <w:sz w:val="15"/>
              </w:rPr>
              <w:t>Valuation report, collateral review, recalculated LTV.</w:t>
            </w:r>
          </w:p>
        </w:tc>
      </w:tr>
      <w:tr>
        <w:tc>
          <w:tcPr>
            <w:tcW w:type="dxa" w:w="2016"/>
            <w:vAlign w:val="top"/>
          </w:tcPr>
          <w:p>
            <w:r/>
            <w:r>
              <w:rPr>
                <w:b w:val="0"/>
                <w:sz w:val="15"/>
              </w:rPr>
              <w:t>Policy eligibility</w:t>
            </w:r>
          </w:p>
        </w:tc>
        <w:tc>
          <w:tcPr>
            <w:tcW w:type="dxa" w:w="4032"/>
            <w:vAlign w:val="top"/>
          </w:tcPr>
          <w:p>
            <w:r/>
            <w:r>
              <w:rPr>
                <w:b w:val="0"/>
                <w:sz w:val="15"/>
              </w:rPr>
              <w:t>Unsupported borrower type, loan purpose, product, location, term, LTV, or structure.</w:t>
            </w:r>
          </w:p>
        </w:tc>
        <w:tc>
          <w:tcPr>
            <w:tcW w:type="dxa" w:w="3600"/>
            <w:vAlign w:val="top"/>
          </w:tcPr>
          <w:p>
            <w:r/>
            <w:r>
              <w:rPr>
                <w:b w:val="0"/>
                <w:sz w:val="15"/>
              </w:rPr>
              <w:t>Policy reference and file facts.</w:t>
            </w:r>
          </w:p>
        </w:tc>
      </w:tr>
      <w:tr>
        <w:tc>
          <w:tcPr>
            <w:tcW w:type="dxa" w:w="2016"/>
            <w:vAlign w:val="top"/>
          </w:tcPr>
          <w:p>
            <w:r/>
            <w:r>
              <w:rPr>
                <w:b w:val="0"/>
                <w:sz w:val="15"/>
              </w:rPr>
              <w:t>Verification failure</w:t>
            </w:r>
          </w:p>
        </w:tc>
        <w:tc>
          <w:tcPr>
            <w:tcW w:type="dxa" w:w="4032"/>
            <w:vAlign w:val="top"/>
          </w:tcPr>
          <w:p>
            <w:r/>
            <w:r>
              <w:rPr>
                <w:b w:val="0"/>
                <w:sz w:val="15"/>
              </w:rPr>
              <w:t>Unable to verify identity, income, employment, assets, liabilities, or ownership.</w:t>
            </w:r>
          </w:p>
        </w:tc>
        <w:tc>
          <w:tcPr>
            <w:tcW w:type="dxa" w:w="3600"/>
            <w:vAlign w:val="top"/>
          </w:tcPr>
          <w:p>
            <w:r/>
            <w:r>
              <w:rPr>
                <w:b w:val="0"/>
                <w:sz w:val="15"/>
              </w:rPr>
              <w:t>Missing request history and failed verification notes.</w:t>
            </w:r>
          </w:p>
        </w:tc>
      </w:tr>
      <w:tr>
        <w:tc>
          <w:tcPr>
            <w:tcW w:type="dxa" w:w="2016"/>
            <w:vAlign w:val="top"/>
          </w:tcPr>
          <w:p>
            <w:r/>
            <w:r>
              <w:rPr>
                <w:b w:val="0"/>
                <w:sz w:val="15"/>
              </w:rPr>
              <w:t>Fraud / misrepresentation</w:t>
            </w:r>
          </w:p>
        </w:tc>
        <w:tc>
          <w:tcPr>
            <w:tcW w:type="dxa" w:w="4032"/>
            <w:vAlign w:val="top"/>
          </w:tcPr>
          <w:p>
            <w:r/>
            <w:r>
              <w:rPr>
                <w:b w:val="0"/>
                <w:sz w:val="15"/>
              </w:rPr>
              <w:t>Material inconsistency, altered documents, identity concern, undisclosed debt.</w:t>
            </w:r>
          </w:p>
        </w:tc>
        <w:tc>
          <w:tcPr>
            <w:tcW w:type="dxa" w:w="3600"/>
            <w:vAlign w:val="top"/>
          </w:tcPr>
          <w:p>
            <w:r/>
            <w:r>
              <w:rPr>
                <w:b w:val="0"/>
                <w:sz w:val="15"/>
              </w:rPr>
              <w:t>Internal risk notes and approved external wording.</w:t>
            </w:r>
          </w:p>
        </w:tc>
      </w:tr>
      <w:tr>
        <w:tc>
          <w:tcPr>
            <w:tcW w:type="dxa" w:w="2016"/>
            <w:vAlign w:val="top"/>
          </w:tcPr>
          <w:p>
            <w:r/>
            <w:r>
              <w:rPr>
                <w:b w:val="0"/>
                <w:sz w:val="15"/>
              </w:rPr>
              <w:t>Incomplete / expired</w:t>
            </w:r>
          </w:p>
        </w:tc>
        <w:tc>
          <w:tcPr>
            <w:tcW w:type="dxa" w:w="4032"/>
            <w:vAlign w:val="top"/>
          </w:tcPr>
          <w:p>
            <w:r/>
            <w:r>
              <w:rPr>
                <w:b w:val="0"/>
                <w:sz w:val="15"/>
              </w:rPr>
              <w:t>Applicant did not provide required documents within timeframe.</w:t>
            </w:r>
          </w:p>
        </w:tc>
        <w:tc>
          <w:tcPr>
            <w:tcW w:type="dxa" w:w="3600"/>
            <w:vAlign w:val="top"/>
          </w:tcPr>
          <w:p>
            <w:r/>
            <w:r>
              <w:rPr>
                <w:b w:val="0"/>
                <w:sz w:val="15"/>
              </w:rPr>
              <w:t>Request history, due dates, final notice.</w:t>
            </w:r>
          </w:p>
        </w:tc>
      </w:tr>
    </w:tbl>
    <w:p>
      <w:pPr>
        <w:spacing w:after="40"/>
      </w:pPr>
    </w:p>
    <w:p>
      <w:pPr>
        <w:pStyle w:val="Heading2"/>
      </w:pPr>
      <w:r>
        <w:t>34.1 Decline Documentation Warning</w:t>
      </w:r>
    </w:p>
    <w:p>
      <w:pPr>
        <w:spacing w:after="80"/>
      </w:pPr>
      <w:r>
        <w:rPr>
          <w:sz w:val="18"/>
        </w:rPr>
        <w:t>The internal file should contain enough detail to support the decision. External notices must use approved wording and must not disclose confidential fraud detection methods, internal risk models, or third-party confidential information unless required by law and approved by compliance/legal.</w:t>
      </w:r>
    </w:p>
    <w:p>
      <w:r>
        <w:br w:type="page"/>
      </w:r>
    </w:p>
    <w:p>
      <w:pPr>
        <w:pStyle w:val="Heading1"/>
        <w:spacing w:before="80" w:after="160"/>
      </w:pPr>
      <w:r>
        <w:t>35. Appendix D - Daily Pipeline Huddle Agenda</w:t>
      </w:r>
    </w:p>
    <w:p>
      <w:pPr>
        <w:pStyle w:val="ListBullet"/>
      </w:pPr>
      <w:r>
        <w:rPr>
          <w:sz w:val="19"/>
        </w:rPr>
        <w:t>Review new applications received and assigned since last huddle.</w:t>
      </w:r>
    </w:p>
    <w:p>
      <w:pPr>
        <w:pStyle w:val="ListBullet"/>
      </w:pPr>
      <w:r>
        <w:rPr>
          <w:sz w:val="19"/>
        </w:rPr>
        <w:t>Identify files approaching SLA breach or settlement deadline.</w:t>
      </w:r>
    </w:p>
    <w:p>
      <w:pPr>
        <w:pStyle w:val="ListBullet"/>
      </w:pPr>
      <w:r>
        <w:rPr>
          <w:sz w:val="19"/>
        </w:rPr>
        <w:t>Review files awaiting applicant, employer, valuation, underwriting, or third-party response.</w:t>
      </w:r>
    </w:p>
    <w:p>
      <w:pPr>
        <w:pStyle w:val="ListBullet"/>
      </w:pPr>
      <w:r>
        <w:rPr>
          <w:sz w:val="19"/>
        </w:rPr>
        <w:t>Discuss returned files and root causes of rework.</w:t>
      </w:r>
    </w:p>
    <w:p>
      <w:pPr>
        <w:pStyle w:val="ListBullet"/>
      </w:pPr>
      <w:r>
        <w:rPr>
          <w:sz w:val="19"/>
        </w:rPr>
        <w:t>Escalate fraud, complaint, privacy, policy exception, or vulnerable-customer issues.</w:t>
      </w:r>
    </w:p>
    <w:p>
      <w:pPr>
        <w:pStyle w:val="ListBullet"/>
      </w:pPr>
      <w:r>
        <w:rPr>
          <w:sz w:val="19"/>
        </w:rPr>
        <w:t>Confirm capacity, overtime needs, and cross-training support.</w:t>
      </w:r>
    </w:p>
    <w:p>
      <w:pPr>
        <w:pStyle w:val="ListBullet"/>
      </w:pPr>
      <w:r>
        <w:rPr>
          <w:sz w:val="19"/>
        </w:rPr>
        <w:t>Capture actions with owner and due date.</w:t>
      </w:r>
    </w:p>
    <w:p>
      <w:pPr>
        <w:pStyle w:val="Heading2"/>
      </w:pPr>
      <w:r>
        <w:t>35.1 Pipeline Aging Buckets</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1F4E79"/>
            <w:vAlign w:val="center"/>
          </w:tcPr>
          <w:p>
            <w:r/>
            <w:r>
              <w:rPr>
                <w:b/>
                <w:color w:val="FFFFFF"/>
                <w:sz w:val="16"/>
              </w:rPr>
              <w:t>Bucket</w:t>
            </w:r>
          </w:p>
        </w:tc>
        <w:tc>
          <w:tcPr>
            <w:tcW w:type="dxa" w:w="3744"/>
            <w:shd w:fill="1F4E79"/>
            <w:vAlign w:val="center"/>
          </w:tcPr>
          <w:p>
            <w:r/>
            <w:r>
              <w:rPr>
                <w:b/>
                <w:color w:val="FFFFFF"/>
                <w:sz w:val="16"/>
              </w:rPr>
              <w:t>Meaning</w:t>
            </w:r>
          </w:p>
        </w:tc>
        <w:tc>
          <w:tcPr>
            <w:tcW w:type="dxa" w:w="4032"/>
            <w:shd w:fill="1F4E79"/>
            <w:vAlign w:val="center"/>
          </w:tcPr>
          <w:p>
            <w:r/>
            <w:r>
              <w:rPr>
                <w:b/>
                <w:color w:val="FFFFFF"/>
                <w:sz w:val="16"/>
              </w:rPr>
              <w:t>Required Action</w:t>
            </w:r>
          </w:p>
        </w:tc>
      </w:tr>
      <w:tr>
        <w:tc>
          <w:tcPr>
            <w:tcW w:type="dxa" w:w="1872"/>
            <w:vAlign w:val="top"/>
          </w:tcPr>
          <w:p>
            <w:r/>
            <w:r>
              <w:rPr>
                <w:b w:val="0"/>
                <w:sz w:val="16"/>
              </w:rPr>
              <w:t>0-1 business days</w:t>
            </w:r>
          </w:p>
        </w:tc>
        <w:tc>
          <w:tcPr>
            <w:tcW w:type="dxa" w:w="3744"/>
            <w:vAlign w:val="top"/>
          </w:tcPr>
          <w:p>
            <w:r/>
            <w:r>
              <w:rPr>
                <w:b w:val="0"/>
                <w:sz w:val="16"/>
              </w:rPr>
              <w:t>New or current file.</w:t>
            </w:r>
          </w:p>
        </w:tc>
        <w:tc>
          <w:tcPr>
            <w:tcW w:type="dxa" w:w="4032"/>
            <w:vAlign w:val="top"/>
          </w:tcPr>
          <w:p>
            <w:r/>
            <w:r>
              <w:rPr>
                <w:b w:val="0"/>
                <w:sz w:val="16"/>
              </w:rPr>
              <w:t>Proceed under standard workflow.</w:t>
            </w:r>
          </w:p>
        </w:tc>
      </w:tr>
      <w:tr>
        <w:tc>
          <w:tcPr>
            <w:tcW w:type="dxa" w:w="1872"/>
            <w:vAlign w:val="top"/>
          </w:tcPr>
          <w:p>
            <w:r/>
            <w:r>
              <w:rPr>
                <w:b w:val="0"/>
                <w:sz w:val="16"/>
              </w:rPr>
              <w:t>2-3 business days</w:t>
            </w:r>
          </w:p>
        </w:tc>
        <w:tc>
          <w:tcPr>
            <w:tcW w:type="dxa" w:w="3744"/>
            <w:vAlign w:val="top"/>
          </w:tcPr>
          <w:p>
            <w:r/>
            <w:r>
              <w:rPr>
                <w:b w:val="0"/>
                <w:sz w:val="16"/>
              </w:rPr>
              <w:t>Early ageing.</w:t>
            </w:r>
          </w:p>
        </w:tc>
        <w:tc>
          <w:tcPr>
            <w:tcW w:type="dxa" w:w="4032"/>
            <w:vAlign w:val="top"/>
          </w:tcPr>
          <w:p>
            <w:r/>
            <w:r>
              <w:rPr>
                <w:b w:val="0"/>
                <w:sz w:val="16"/>
              </w:rPr>
              <w:t>Confirm next action and customer/broker update.</w:t>
            </w:r>
          </w:p>
        </w:tc>
      </w:tr>
      <w:tr>
        <w:tc>
          <w:tcPr>
            <w:tcW w:type="dxa" w:w="1872"/>
            <w:vAlign w:val="top"/>
          </w:tcPr>
          <w:p>
            <w:r/>
            <w:r>
              <w:rPr>
                <w:b w:val="0"/>
                <w:sz w:val="16"/>
              </w:rPr>
              <w:t>4-5 business days</w:t>
            </w:r>
          </w:p>
        </w:tc>
        <w:tc>
          <w:tcPr>
            <w:tcW w:type="dxa" w:w="3744"/>
            <w:vAlign w:val="top"/>
          </w:tcPr>
          <w:p>
            <w:r/>
            <w:r>
              <w:rPr>
                <w:b w:val="0"/>
                <w:sz w:val="16"/>
              </w:rPr>
              <w:t>At-risk ageing.</w:t>
            </w:r>
          </w:p>
        </w:tc>
        <w:tc>
          <w:tcPr>
            <w:tcW w:type="dxa" w:w="4032"/>
            <w:vAlign w:val="top"/>
          </w:tcPr>
          <w:p>
            <w:r/>
            <w:r>
              <w:rPr>
                <w:b w:val="0"/>
                <w:sz w:val="16"/>
              </w:rPr>
              <w:t>Team leader review and blocker escalation.</w:t>
            </w:r>
          </w:p>
        </w:tc>
      </w:tr>
      <w:tr>
        <w:tc>
          <w:tcPr>
            <w:tcW w:type="dxa" w:w="1872"/>
            <w:vAlign w:val="top"/>
          </w:tcPr>
          <w:p>
            <w:r/>
            <w:r>
              <w:rPr>
                <w:b w:val="0"/>
                <w:sz w:val="16"/>
              </w:rPr>
              <w:t>6+ business days</w:t>
            </w:r>
          </w:p>
        </w:tc>
        <w:tc>
          <w:tcPr>
            <w:tcW w:type="dxa" w:w="3744"/>
            <w:vAlign w:val="top"/>
          </w:tcPr>
          <w:p>
            <w:r/>
            <w:r>
              <w:rPr>
                <w:b w:val="0"/>
                <w:sz w:val="16"/>
              </w:rPr>
              <w:t>Aged file.</w:t>
            </w:r>
          </w:p>
        </w:tc>
        <w:tc>
          <w:tcPr>
            <w:tcW w:type="dxa" w:w="4032"/>
            <w:vAlign w:val="top"/>
          </w:tcPr>
          <w:p>
            <w:r/>
            <w:r>
              <w:rPr>
                <w:b w:val="0"/>
                <w:sz w:val="16"/>
              </w:rPr>
              <w:t>Daily monitoring until resolved or closed.</w:t>
            </w:r>
          </w:p>
        </w:tc>
      </w:tr>
      <w:tr>
        <w:tc>
          <w:tcPr>
            <w:tcW w:type="dxa" w:w="1872"/>
            <w:vAlign w:val="top"/>
          </w:tcPr>
          <w:p>
            <w:r/>
            <w:r>
              <w:rPr>
                <w:b w:val="0"/>
                <w:sz w:val="16"/>
              </w:rPr>
              <w:t>Deadline critical</w:t>
            </w:r>
          </w:p>
        </w:tc>
        <w:tc>
          <w:tcPr>
            <w:tcW w:type="dxa" w:w="3744"/>
            <w:vAlign w:val="top"/>
          </w:tcPr>
          <w:p>
            <w:r/>
            <w:r>
              <w:rPr>
                <w:b w:val="0"/>
                <w:sz w:val="16"/>
              </w:rPr>
              <w:t>Settlement, rate-lock, or approval expiry at risk.</w:t>
            </w:r>
          </w:p>
        </w:tc>
        <w:tc>
          <w:tcPr>
            <w:tcW w:type="dxa" w:w="4032"/>
            <w:vAlign w:val="top"/>
          </w:tcPr>
          <w:p>
            <w:r/>
            <w:r>
              <w:rPr>
                <w:b w:val="0"/>
                <w:sz w:val="16"/>
              </w:rPr>
              <w:t>Immediate escalation and documented action plan.</w:t>
            </w:r>
          </w:p>
        </w:tc>
      </w:tr>
    </w:tbl>
    <w:p>
      <w:pPr>
        <w:spacing w:after="40"/>
      </w:pP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7"/>
      </w:rPr>
      <w:t>Mortgage Application Processing SOP | Application Receipt to Approval or Decline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4F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