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Les Misérables</w:t>
      </w:r>
    </w:p>
    <w:p>
      <w:r>
        <w:drawing>
          <wp:inline xmlns:a="http://schemas.openxmlformats.org/drawingml/2006/main" xmlns:pic="http://schemas.openxmlformats.org/drawingml/2006/picture">
            <wp:extent cx="27432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liv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Auteur : Victor Hugo</w:t>
      </w:r>
    </w:p>
    <w:p>
      <w:r>
        <w:t>Rapport rédigé par : LAWSON-LARTEGO Nadou Emmanuella</w:t>
      </w:r>
    </w:p>
    <w:p>
      <w:r>
        <w:br w:type="page"/>
      </w:r>
    </w:p>
    <w:p>
      <w:pPr>
        <w:pStyle w:val="Heading1"/>
      </w:pPr>
      <w:r>
        <w:t>Analyse du premier chapitre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ique_paragraph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Description et statistiques</w:t>
      </w:r>
    </w:p>
    <w:p>
      <w:r>
        <w:t>Ce rapport analyse le premier chapitre de "Les Misérables", œuvre de Victor Hugo.</w:t>
      </w:r>
    </w:p>
    <w:p>
      <w:r>
        <w:t>Le premier chapitre contient 18 paragraphes pour un total de 1051 mots. La longueur moyenne est de 58.4 mots par paragraphe. Le paragraphe le plus court contient 3 mots et le plus long 197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Indicateur</w:t>
            </w:r>
          </w:p>
        </w:tc>
        <w:tc>
          <w:tcPr>
            <w:tcW w:type="dxa" w:w="4320"/>
          </w:tcPr>
          <w:p>
            <w:r>
              <w:t>Valeur</w:t>
            </w:r>
          </w:p>
        </w:tc>
      </w:tr>
      <w:tr>
        <w:tc>
          <w:tcPr>
            <w:tcW w:type="dxa" w:w="4320"/>
          </w:tcPr>
          <w:p>
            <w:r>
              <w:t>Nombre de paragraphes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Nombre total de mots</w:t>
            </w:r>
          </w:p>
        </w:tc>
        <w:tc>
          <w:tcPr>
            <w:tcW w:type="dxa" w:w="4320"/>
          </w:tcPr>
          <w:p>
            <w:r>
              <w:t>1051</w:t>
            </w:r>
          </w:p>
        </w:tc>
      </w:tr>
      <w:tr>
        <w:tc>
          <w:tcPr>
            <w:tcW w:type="dxa" w:w="4320"/>
          </w:tcPr>
          <w:p>
            <w:r>
              <w:t>Moyenne</w:t>
            </w:r>
          </w:p>
        </w:tc>
        <w:tc>
          <w:tcPr>
            <w:tcW w:type="dxa" w:w="4320"/>
          </w:tcPr>
          <w:p>
            <w:r>
              <w:t>58.4</w:t>
            </w:r>
          </w:p>
        </w:tc>
      </w:tr>
      <w:tr>
        <w:tc>
          <w:tcPr>
            <w:tcW w:type="dxa" w:w="4320"/>
          </w:tcPr>
          <w:p>
            <w:r>
              <w:t>Minimum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Maximum</w:t>
            </w:r>
          </w:p>
        </w:tc>
        <w:tc>
          <w:tcPr>
            <w:tcW w:type="dxa" w:w="4320"/>
          </w:tcPr>
          <w:p>
            <w:r>
              <w:t>197</w:t>
            </w:r>
          </w:p>
        </w:tc>
      </w:tr>
    </w:tbl>
    <w:p>
      <w:pPr>
        <w:pStyle w:val="Heading2"/>
      </w:pPr>
      <w:r>
        <w:t>Extrait</w:t>
      </w:r>
    </w:p>
    <w:p>
      <w:r>
        <w:t>CHAPTER I—M. MYRIEL</w:t>
        <w:br/>
        <w:br/>
        <w:br/>
        <w:br/>
        <w:br/>
        <w:br/>
        <w:t>In 1815, M. Charles-François-Bienvenu Myriel was Bishop of D—— He was</w:t>
        <w:br/>
        <w:br/>
        <w:t>an old man of about seventy-five years of age; he had occupied the see</w:t>
        <w:br/>
        <w:br/>
        <w:t>of D—— since 1806.</w:t>
        <w:br/>
        <w:br/>
        <w:br/>
        <w:br/>
        <w:t>Although this detail has no connection whatever with the real substance</w:t>
        <w:br/>
        <w:br/>
        <w:t>of what we are about to relate, it will not be superfluous, if merely</w:t>
        <w:br/>
        <w:br/>
        <w:t>for the sake of exactness in all points, to mention here the various</w:t>
        <w:br/>
        <w:br/>
        <w:t>rumors and remarks which had been in circulation about him from the</w:t>
        <w:br/>
        <w:br/>
        <w:t>very moment when he arrived in the diocese. True or false, that which</w:t>
        <w:br/>
        <w:br/>
        <w:t>is said of men often occupies as important a place in their lives, and</w:t>
        <w:br/>
        <w:br/>
        <w:t>above all in their destinies, as that which they do. M. Myriel was the</w:t>
        <w:br/>
        <w:br/>
        <w:t>son of a councillor of the Parliament of Aix; hence he belonged to the</w:t>
        <w:br/>
        <w:br/>
        <w:t>nobility of the bar. It was said that 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