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微网与外部电网电力调控策略的预测优化模型</w:t>
      </w:r>
    </w:p>
    <w:p>
      <w:pPr>
        <w:spacing w:line="300" w:lineRule="auto"/>
        <w:ind w:firstLine="420"/>
      </w:pPr>
      <w:r>
        <w:t>队伍编号：待填写</w:t>
      </w:r>
    </w:p>
    <w:p>
      <w:pPr>
        <w:pStyle w:val="Heading1"/>
      </w:pPr>
      <w:r>
        <w:t>摘要</w:t>
      </w:r>
    </w:p>
    <w:p>
      <w:pPr>
        <w:spacing w:line="300" w:lineRule="auto"/>
        <w:ind w:firstLine="420"/>
      </w:pPr>
      <w:r>
        <w:t>微网在光伏出力、负载和电价存在不确定性时，既要利用储能削峰移谷，又要避免预测偏低引起高价紧急购电。本文以10 min为离散步长，将功率统一换算为kWh，建立日前计划、实时校正与滚动调整相衔接的预测—优化模型。数据审计确认附件1含144个采样点，附件2和附件4各含365×144个有效观测，附件3含365×4×24个光伏预报值，所有数值区均无缺失、非有限值和负异常。针对附件采样点与结果模板区间相差10 min的歧义，采用“右端时间点代表此前10 min区间”的主解释，并按获准勘误将模板末列映射为本日00:00—00:10；另一映射下问题1费用仅相差0.10元。</w:t>
      </w:r>
    </w:p>
    <w:p>
      <w:pPr>
        <w:spacing w:line="300" w:lineRule="auto"/>
        <w:ind w:firstLine="420"/>
      </w:pPr>
      <w:r>
        <w:t>问题1采用带微小吞吐惩罚的线性规划，在SOC为1200—10800 kWh、单时段充放电上限833.3333 kWh、双向效率均为0.9和首尾SOC均为6000 kWh的条件下，得到全天计划购电量59,482.6990 kWh、费用35,126.95元，比无储能基准降低12,925.10元。问题2采用滚动起点验证：每天0:00只使用此前观测，以历史均值、7/14/30日移动平均、EWMA和时间序列岭回归进行1月选型。外样本中岭回归负载MAE为180.32 kW，光伏MAE为150.46 kW；以最近30日净负荷残差的15%、50%、85%代表日构造三情景，结合实时储能校正，2—12月总费用为14.5061百万元，紧急购电224,803.88 kWh。</w:t>
      </w:r>
    </w:p>
    <w:p>
      <w:pPr>
        <w:spacing w:line="300" w:lineRule="auto"/>
        <w:ind w:firstLine="420"/>
      </w:pPr>
      <w:r>
        <w:t>问题3把附件3整点预报线性插值为10 min序列，0、6、12、18时按上一有效计划结算增购与减购，仅修改尚未执行时段。四种更新策略A—D的总费用依次为14.6432、14.2655、14.0831、13.9689百万元；6、12、18时更新的边际价值分别为377,753.91、182,314.59、114,277.05元，均为正且递减。策略D较A降低4.61%的总成本，并将紧急购电量降至28,257.01 kWh。问题4按题目基准假设当天波动电价曲线可用于计划，重新求解后问题4-2和4-3费用为15.2494和14.6088百万元；同时给出仅由历史价格预测的可实施扩展。全部模型通过能量守恒、SOC、功率、跨日连续、因果污染、费用复算和Excel回读检查。敏感性表明效率、容量、安全裕度、紧急倍率和调整费均会改变成本—风险平衡，模型结论在所检验范围内保持方向一致。</w:t>
      </w:r>
    </w:p>
    <w:p>
      <w:pPr>
        <w:spacing w:line="300" w:lineRule="auto"/>
        <w:ind w:firstLine="420"/>
      </w:pPr>
      <w:r>
        <w:t>关键词： 微网；储能调度；线性规划；滚动预测；模型预测控制；情景优化</w:t>
      </w:r>
    </w:p>
    <w:p>
      <w:pPr>
        <w:pStyle w:val="Heading1"/>
      </w:pPr>
      <w:r>
        <w:t>1 问题重述</w:t>
      </w:r>
    </w:p>
    <w:p>
      <w:pPr>
        <w:spacing w:line="300" w:lineRule="auto"/>
        <w:ind w:firstLine="420"/>
      </w:pPr>
      <w:r>
        <w:t>题目要求微网在满足小区负载的同时，协调外网常规购电、光伏消纳与储能充放电。问题1的数据在每日重复，需给出首尾SOC相等的确定性日计划；问题2的实际负载与光伏逐日变化，计划只能依据过去数据，供能不足部分按当时电价的5倍紧急购买；问题3每天增加0、6、12、18时发布的未来24 h光伏预报，并对尚未执行计划进行有偿调整；问题4把固定日内价格替换为全年波动价格。输出还必须保持日际SOC连续，完整写入题设Excel模板。</w:t>
      </w:r>
    </w:p>
    <w:p>
      <w:pPr>
        <w:pStyle w:val="Heading1"/>
      </w:pPr>
      <w:r>
        <w:t>2 问题分析</w:t>
      </w:r>
    </w:p>
    <w:p>
      <w:pPr>
        <w:pStyle w:val="Heading2"/>
      </w:pPr>
      <w:r>
        <w:t>2.1 问题1</w:t>
      </w:r>
    </w:p>
    <w:p>
      <w:pPr>
        <w:spacing w:line="300" w:lineRule="auto"/>
        <w:ind w:firstLine="420"/>
      </w:pPr>
      <w:r>
        <w:t>已知量确定且成本和约束均为线性。储能效率小于1、购电价格为正，在目标函数加入极小吞吐惩罚后，同一时段同时充放电不会优于减少二者后的解，因此可使用LP而无须为144个时段引入二元变量。</w:t>
      </w:r>
    </w:p>
    <w:p>
      <w:pPr>
        <w:pStyle w:val="Heading2"/>
      </w:pPr>
      <w:r>
        <w:t>2.2 问题2</w:t>
      </w:r>
    </w:p>
    <w:p>
      <w:pPr>
        <w:spacing w:line="300" w:lineRule="auto"/>
        <w:ind w:firstLine="420"/>
      </w:pPr>
      <w:r>
        <w:t>核心困难是信息时点。当天实际序列仅用于事后运行，不进入0时预测。平均预测误差不能反映低估带来的5倍惩罚，故采用滚动预测与残差情景联合选购，再用当前时段观测控制电池并计算紧急购电。1月用于预测选型和SOC预运行，2月1日起评价，任何一天不重置SOC。</w:t>
      </w:r>
    </w:p>
    <w:p>
      <w:pPr>
        <w:pStyle w:val="Heading2"/>
      </w:pPr>
      <w:r>
        <w:t>2.3 问题3</w:t>
      </w:r>
    </w:p>
    <w:p>
      <w:pPr>
        <w:spacing w:line="300" w:lineRule="auto"/>
        <w:ind w:firstLine="420"/>
      </w:pPr>
      <w:r>
        <w:t>新的光伏预报逐步缩短不确定区间。模型预测控制在每个发布时间重算余下区间，并用已观测负载残差做指数衰减修正。调整账本以“上一版有效计划”为基准，保证每次增减只结算一次。</w:t>
      </w:r>
    </w:p>
    <w:p>
      <w:pPr>
        <w:pStyle w:val="Heading2"/>
      </w:pPr>
      <w:r>
        <w:t>2.4 问题4</w:t>
      </w:r>
    </w:p>
    <w:p>
      <w:pPr>
        <w:spacing w:line="300" w:lineRule="auto"/>
        <w:ind w:firstLine="420"/>
      </w:pPr>
      <w:r>
        <w:t>附件4只有实现电价，没有日前价格预报。主结果把其视为题目给定的日内交易曲线；扩展结果每天用此前7日同时间电价均值预测，实际费用仍按实现价格复算。两者分别回答题目计算基准和现实可实施性。</w:t>
      </w:r>
    </w:p>
    <w:p>
      <w:pPr>
        <w:pStyle w:val="Heading1"/>
      </w:pPr>
      <w:r>
        <w:t>3 模型假设</w:t>
      </w:r>
    </w:p>
    <w:p>
      <w:pPr>
        <w:spacing w:line="300" w:lineRule="auto"/>
        <w:ind w:firstLine="420"/>
      </w:pPr>
      <w:r>
        <w:t>1. 附件功率是对应10 min区间的平均功率，时间点为区间右端，因而乘以Δ t=1/6 h得到电量。该解释与题目指定的10:00—10:10等区间一致。</w:t>
      </w:r>
    </w:p>
    <w:p>
      <w:pPr>
        <w:spacing w:line="300" w:lineRule="auto"/>
        <w:ind w:firstLine="420"/>
      </w:pPr>
      <w:r>
        <w:t>2. 模板末列文字存在循环移位，保留原文字，但内部索引映射为本日00:00—00:10。完整映射记录在模板逐列时间映射.csv。</w:t>
      </w:r>
    </w:p>
    <w:p>
      <w:pPr>
        <w:spacing w:line="300" w:lineRule="auto"/>
        <w:ind w:firstLine="420"/>
      </w:pPr>
      <w:r>
        <w:t>3. C_t为母线送入储能的电量，D_t为储能向母线输出的电量，主模型取η_c=η_d=0.9；总往返效率0.9的解释另作敏感性。</w:t>
      </w:r>
    </w:p>
    <w:p>
      <w:pPr>
        <w:spacing w:line="300" w:lineRule="auto"/>
        <w:ind w:firstLine="420"/>
      </w:pPr>
      <w:r>
        <w:t>4. 光伏超过负载、充电和外送需求时允许弃光W_t，不产生收益；题目未规定向外网售电。</w:t>
      </w:r>
    </w:p>
    <w:p>
      <w:pPr>
        <w:spacing w:line="300" w:lineRule="auto"/>
        <w:ind w:firstLine="420"/>
      </w:pPr>
      <w:r>
        <w:t>5. 日前购电量在实际运行前锁定，实时允许根据当前净负荷修正电池操作，仍不足时紧急购电。控制器不读取下一时段实际值。</w:t>
      </w:r>
    </w:p>
    <w:p>
      <w:pPr>
        <w:spacing w:line="300" w:lineRule="auto"/>
        <w:ind w:firstLine="420"/>
      </w:pPr>
      <w:r>
        <w:t>6. 终端SOC以偏差软惩罚表达跨日机会价值。1月回测在0、0.5、1.0倍平均电价中选择0.5，不强制每天回到起点。</w:t>
      </w:r>
    </w:p>
    <w:p>
      <w:pPr>
        <w:spacing w:line="300" w:lineRule="auto"/>
        <w:ind w:firstLine="420"/>
      </w:pPr>
      <w:r>
        <w:t>7. 附件3的“预报第h小时”解释为发布时间后第h个整点端值；发布时刻的光伏实测为插值锚点，主模型用线性插值并与PCHIP比较。</w:t>
      </w:r>
    </w:p>
    <w:p>
      <w:pPr>
        <w:spacing w:line="300" w:lineRule="auto"/>
        <w:ind w:firstLine="420"/>
      </w:pPr>
      <w:r>
        <w:t>8. 问题3减少计划的主账本退回原购电款、另付0.5倍违约费；因此常规交易成本等价于最终购电费加0.5倍绝对调整量。无退款的沉没成本解释列入敏感性。</w:t>
      </w:r>
    </w:p>
    <w:p>
      <w:pPr>
        <w:pStyle w:val="Heading1"/>
      </w:pPr>
      <w:r>
        <w:t>4 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符号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含义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单位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L_{d,t},P^{pv}_{d,t}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负载和光伏功率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E^L_{d,t},E^{pv}_{d,t}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10 min负载和光伏电量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G_{d,t}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常规外网购电量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C_{d,t},D_{d,t}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母线侧充电量、储能母线侧放电量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S_{d,t}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时段起点储电量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R_{d,t}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紧急购电量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W_{d,t}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弃光或剩余电量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p_{d,t}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交易时刻电价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元/kWh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Δ^+_{d,t},Δ^-_{d,t}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相对上一有效计划的增购、减购量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kWh</w:t>
            </w:r>
          </w:p>
        </w:tc>
      </w:tr>
    </w:tbl>
    <w:p/>
    <w:p>
      <w:pPr>
        <w:pStyle w:val="Heading1"/>
      </w:pPr>
      <w:r>
        <w:t>5 数据预处理与预测模型</w:t>
      </w:r>
    </w:p>
    <w:p>
      <w:pPr>
        <w:pStyle w:val="Heading2"/>
      </w:pPr>
      <w:r>
        <w:t>5.1 数据与时间尺度统一</w:t>
      </w:r>
    </w:p>
    <w:p>
      <w:pPr>
        <w:spacing w:line="300" w:lineRule="auto"/>
        <w:ind w:firstLine="420"/>
      </w:pPr>
      <w:r>
        <w:t>附件1为144×4表；附件2负载和光伏各为365×144；附件3为1460×26，对应365天、4个发布时间和24个预测端点；附件4为365×144。各附件用于建模的数值区共193152个值，检查结果均为有限非负数。统一定义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源文件SHA-256、统计量、预报发布时间—目标时间、模板列—内部索引均保存为独立审计文件。0:00制定第d日计划时，训练集合严格为{1,ldots,d-1}，符合滚动预测起点交叉验证原则[1]。</w:t>
      </w:r>
    </w:p>
    <w:p>
      <w:pPr>
        <w:pStyle w:val="Heading2"/>
      </w:pPr>
      <w:r>
        <w:t>5.2 负载与问题2光伏预测</w:t>
      </w:r>
    </w:p>
    <w:p>
      <w:pPr>
        <w:spacing w:line="300" w:lineRule="auto"/>
        <w:ind w:firstLine="420"/>
      </w:pPr>
      <w:r>
        <w:t>比较同时间历史均值、最近7/14/30日均值、EWMA和岭回归。岭回归对每个预测时段使用截距、1日滞后、7日滞后、近7日均值及周周期正余弦特征；参数用最近60日训练，正则项防止共线放大：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方法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负载MAE/kW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负载RMSE/kW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光伏MAE/kW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光伏RMSE/kW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mean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803.65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1,028.24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483.33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772.97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ma7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781.21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955.92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153.40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303.86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ma14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782.67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959.83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171.48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327.22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ma30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789.76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973.51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225.65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400.08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ewma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838.19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1,039.77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154.73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303.83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ridge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180.32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242.31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150.46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302.77</w:t>
            </w:r>
          </w:p>
        </w:tc>
      </w:tr>
    </w:tbl>
    <w:p/>
    <w:p>
      <w:pPr>
        <w:spacing w:line="300" w:lineRule="auto"/>
        <w:ind w:firstLine="420"/>
      </w:pPr>
      <w:r>
        <w:t>最终选择并非用2—12月误差反选，而是以1月16—31日的库存价值校正成本确定岭回归、残差裕度0和终端系数0.5。2—12月仅作外样本报告。</w:t>
      </w:r>
    </w:p>
    <w:p>
      <w:pPr>
        <w:pStyle w:val="Heading2"/>
      </w:pPr>
      <w:r>
        <w:t>5.3 情景构造与光伏预报插值</w:t>
      </w:r>
    </w:p>
    <w:p>
      <w:pPr>
        <w:spacing w:line="300" w:lineRule="auto"/>
        <w:ind w:firstLine="420"/>
      </w:pPr>
      <w:r>
        <w:t>令预测净负荷 N= ( L- P^{pv})Δ t。每天从此前30日净负荷残差中按全天误差能量排序，取15%、50%、85%三个代表残差曲线，构成N^{(s)}= N+e^{(s)}。问题3对每次发布的24个整点端值采用线性插值并截断为非负；PCHIP只用于稳健性比较。发布时间处使用已经观测的光伏作为左锚点，未使用发布时间之后实测。</w:t>
      </w:r>
    </w:p>
    <w:p>
      <w:pPr>
        <w:pStyle w:val="Heading2"/>
      </w:pPr>
      <w:r>
        <w:t>5.4 预测检验</w:t>
      </w:r>
    </w:p>
    <w:p>
      <w:pPr>
        <w:spacing w:line="300" w:lineRule="auto"/>
        <w:ind w:firstLine="420"/>
      </w:pPr>
      <w:r>
        <w:t>外样本岭回归负载nMAE为3.91%，光伏nMAE为6.32%。MAPE只在实际值大于全样本峰值1%的时段计算，以避免夜间零光伏造成发散。程序对61组未来污染测试将目标日及以后实际值替换为10^9，此前计划保持完全一致，最大差为0。</w:t>
      </w:r>
    </w:p>
    <w:p>
      <w:pPr>
        <w:pStyle w:val="Heading1"/>
      </w:pPr>
      <w:r>
        <w:t>6 问题1 确定性储能购电联合优化</w:t>
      </w:r>
    </w:p>
    <w:p>
      <w:pPr>
        <w:pStyle w:val="Heading2"/>
      </w:pPr>
      <w:r>
        <w:t>6.1 能量平衡与储能模型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且0≤ C_t,D_t≤833.3333，所有流量非负，S_0=S_{144}=6000。目标为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正电价、效率损耗和吞吐惩罚共同排除同步充放电。模型由HiGHS求解[2,3]。</w:t>
      </w:r>
    </w:p>
    <w:p>
      <w:pPr>
        <w:pStyle w:val="Heading2"/>
      </w:pPr>
      <w:r>
        <w:t>6.2 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fill="D9EAF7"/>
          </w:tcPr>
          <w:p>
            <w:pPr>
              <w:jc w:val="center"/>
            </w:pPr>
            <w:r>
              <w:t>时间段</w:t>
            </w:r>
          </w:p>
        </w:tc>
        <w:tc>
          <w:tcPr>
            <w:tcW w:type="dxa" w:w="4703"/>
            <w:vAlign w:val="center"/>
            <w:shd w:fill="D9EAF7"/>
          </w:tcPr>
          <w:p>
            <w:pPr>
              <w:jc w:val="center"/>
            </w:pPr>
            <w:r>
              <w:t>购电量/kWh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10:00-10:10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12:00-12:10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480.4124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14:00-14:10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16:00-16:10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445.4317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18:00-18:10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531.8940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20:00-20:10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全天购电量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59,482.6990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t>全天购电费/元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t>35,126.95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四小时区间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充电量/kWh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放电量/kWh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00:00-04:00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4,500.0000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04:00-08:00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833.3333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6,365.8412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08:00-12:00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4,787.9643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1,702.9970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12:00-16:00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5,286.0352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91.1014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16:00-20:00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5,780.1319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20:00-24:00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5,333.3333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2,859.8681</w:t>
            </w:r>
          </w:p>
        </w:tc>
      </w:tr>
    </w:tbl>
    <w:p/>
    <w:p>
      <w:pPr>
        <w:spacing w:line="300" w:lineRule="auto"/>
        <w:ind w:firstLine="420"/>
      </w:pPr>
      <w:r>
        <w:t>0:00和24:00储电量均为6000.0000 kWh。无储能直接购电费用为48,052.05元，储能节省12,925.10元。另一时间映射得到35,126.85元，与主解释相差0.10元，说明日总费用对循环移位不敏感；指定时段购电量仍必须按主映射填写。</w:t>
      </w:r>
    </w:p>
    <w:p>
      <w:pPr>
        <w:pStyle w:val="Heading1"/>
      </w:pPr>
      <w:r>
        <w:t>7 问题2 考虑预测误差与紧急购电的两阶段模型</w:t>
      </w:r>
    </w:p>
    <w:p>
      <w:pPr>
        <w:pStyle w:val="Heading2"/>
      </w:pPr>
      <w:r>
        <w:t>7.1 日前情景优化</w:t>
      </w:r>
    </w:p>
    <w:p>
      <w:pPr>
        <w:spacing w:line="300" w:lineRule="auto"/>
        <w:ind w:firstLine="420"/>
      </w:pPr>
      <w:r>
        <w:t>日前购电G_t在三个情景间共享，充放电、紧急购电、弃光和SOC按情景变化。目标为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其中κ=0.5 p。这是有限情景两阶段LP；实际执行不照搬某一情景的电池轨迹，而在每个10 min仅根据当前缺口调用可用放电或吸收富余，再以R_t补足。日末状态直接传给下一日。</w:t>
      </w:r>
    </w:p>
    <w:p>
      <w:pPr>
        <w:pStyle w:val="Heading2"/>
      </w:pPr>
      <w:r>
        <w:t>7.2 全年结果</w:t>
      </w:r>
    </w:p>
    <w:p>
      <w:pPr>
        <w:spacing w:line="300" w:lineRule="auto"/>
        <w:ind w:firstLine="420"/>
      </w:pPr>
      <w:r>
        <w:t>2—12月计划购电21,282,449.77 kWh，常规购电费13,206,734.13元，紧急购电224,803.88 kWh、费用1,299,372.03元，总费用14,506,106.15元。2月1日初始SOC为10,800.00 kWh，12月31日末为1,498.62 kWh。期末未强制回到6000，避免用未规定的年终条件扭曲最后一天；敏感性比较用库存价值校正消除期末差异。</w:t>
      </w:r>
    </w:p>
    <w:p>
      <w:pPr>
        <w:pStyle w:val="Heading1"/>
      </w:pPr>
      <w:r>
        <w:t>8 问题3 基于滚动光伏预测的MPC模型</w:t>
      </w:r>
    </w:p>
    <w:p>
      <w:pPr>
        <w:pStyle w:val="Heading2"/>
      </w:pPr>
      <w:r>
        <w:t>8.1 滚动优化与负载修正</w:t>
      </w:r>
    </w:p>
    <w:p>
      <w:pPr>
        <w:spacing w:line="300" w:lineRule="auto"/>
        <w:ind w:firstLine="420"/>
      </w:pPr>
      <w:r>
        <w:t>在τ∈{0,6,12,18}时，只优化t≥6τ的变量。负载日前预测叠加最近1 h已实现残差的指数衰减：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过去的G,C,D,S冻结。滚动优化只执行当前时段动作，下一发布时刻再更新，符合MPC的滚动时域思想[4]。</w:t>
      </w:r>
    </w:p>
    <w:p>
      <w:pPr>
        <w:pStyle w:val="Heading2"/>
      </w:pPr>
      <w:r>
        <w:t>8.2 调整费用</w:t>
      </w:r>
    </w:p>
    <w:p>
      <w:pPr>
        <w:spacing w:line="300" w:lineRule="auto"/>
        <w:ind w:firstLine="420"/>
      </w:pPr>
      <w:r>
        <w:t>相对上一有效计划定义Δ_t^+=max(G_t^{new}-G_t^{old},0)和Δ_t^-=max(G_t^{old}-G_t^{new},0)。退款并另收违约费的主账本为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73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/>
      </w:pPr>
      <w:r>
        <w:t>它等价于最终常规购电费加0.5Σ_tp_t(Δ_t^++Δ_t^-)。每次调整相对上一版，代码验证G^{final}=G^0+ΣΔ^+-ΣΔ^-，没有重复收费。</w:t>
      </w:r>
    </w:p>
    <w:p>
      <w:pPr>
        <w:pStyle w:val="Heading2"/>
      </w:pPr>
      <w:r>
        <w:t>8.3 更新价值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策略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预报时刻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总成本/元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紧急购电/kWh</w:t>
            </w:r>
          </w:p>
        </w:tc>
        <w:tc>
          <w:tcPr>
            <w:tcW w:type="dxa" w:w="1881"/>
            <w:vAlign w:val="center"/>
            <w:shd w:fill="D9EAF7"/>
          </w:tcPr>
          <w:p>
            <w:pPr>
              <w:jc w:val="center"/>
            </w:pPr>
            <w:r>
              <w:t>调整成本/元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14,643,207.45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220,412.16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0.00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0、6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14,265,453.54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94,010.96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389,089.89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0、6、12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14,083,138.95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66,497.09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383,298.59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0、6、12、18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13,968,861.90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28,257.01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t>453,886.70</w:t>
            </w:r>
          </w:p>
        </w:tc>
      </w:tr>
    </w:tbl>
    <w:p/>
    <w:p>
      <w:pPr>
        <w:spacing w:line="300" w:lineRule="auto"/>
        <w:ind w:firstLine="420"/>
      </w:pPr>
      <w:r>
        <w:t>6时更新节省377,753.91元，12时在B基础上再节省182,314.59元，18时再节省114,277.05元，三者均值得采用。边际价值依次下降，说明较早更新已经消除了主要误差。策略D相对A少付674,345.55元，紧急购电量下降87.18%。线性与PCHIP的24日库存校正成本只相差0.038%，主模型保留透明、无超调的线性插值。</w:t>
      </w:r>
    </w:p>
    <w:p>
      <w:pPr>
        <w:pStyle w:val="Heading2"/>
      </w:pPr>
      <w:r>
        <w:t>8.4 指定日期紧急购电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日期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合并时间段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电量/kWh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2025-03-20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09:10-10:00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212.2604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2025-06-21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无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0.0000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2025-09-23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20:20-20:30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6.3750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2025-09-23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21:20-21:50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138.4320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2025-12-21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07:50-08:00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12.0105</w:t>
            </w:r>
          </w:p>
        </w:tc>
      </w:tr>
    </w:tbl>
    <w:p/>
    <w:p>
      <w:pPr>
        <w:spacing w:line="300" w:lineRule="auto"/>
        <w:ind w:firstLine="420"/>
      </w:pPr>
      <w:r>
        <w:t>完整指定时段购电和六个4 h充放电统计见表1_典型日.csv与表2_典型日.csv，所有连续紧急区间合并前后总量完全相等。</w:t>
      </w:r>
    </w:p>
    <w:p>
      <w:pPr>
        <w:pStyle w:val="Heading1"/>
      </w:pPr>
      <w:r>
        <w:t>9 问题4 波动电价模型</w:t>
      </w:r>
    </w:p>
    <w:p>
      <w:pPr>
        <w:pStyle w:val="Heading2"/>
      </w:pPr>
      <w:r>
        <w:t>9.1 题目基准结果</w:t>
      </w:r>
    </w:p>
    <w:p>
      <w:pPr>
        <w:spacing w:line="300" w:lineRule="auto"/>
        <w:ind w:firstLine="420"/>
      </w:pPr>
      <w:r>
        <w:t>把p_t替换为p_{d,t}，其余约束不变。问题4-2总费用15,249,408.93元，比固定电价问题2高5.12%；问题4-3策略D总费用14,608,808.73元，比固定电价问题3-D高4.58%。波动价模型低价时增加购电和充电、高价时优先放电，图13用同一时间轴呈现这种响应，但不从曲线相关性推断外部因果。</w:t>
      </w:r>
    </w:p>
    <w:p>
      <w:pPr>
        <w:pStyle w:val="Heading2"/>
      </w:pPr>
      <w:r>
        <w:t>9.2 可实施价格预测扩展</w:t>
      </w:r>
    </w:p>
    <w:p>
      <w:pPr>
        <w:spacing w:line="300" w:lineRule="auto"/>
        <w:ind w:firstLine="420"/>
      </w:pPr>
      <w:r>
        <w:t>若当天价格不可知，计划阶段用此前7日同时间价格均值，实际结算仍用附件4实现价格。对应问题2、问题3-D总费用为15,319,637.30和14,732,259.05元，分别比“当天价格已知”基准高0.46%和0.85%。这给出了价格信息价值的上界比较，也明确避免把附件4实现价误称为可预报量。</w:t>
      </w:r>
    </w:p>
    <w:p>
      <w:pPr>
        <w:pStyle w:val="Heading1"/>
      </w:pPr>
      <w:r>
        <w:t>10 敏感性与稳健性分析</w:t>
      </w:r>
    </w:p>
    <w:p>
      <w:pPr>
        <w:spacing w:line="300" w:lineRule="auto"/>
        <w:ind w:firstLine="420"/>
      </w:pPr>
      <w:r>
        <w:t>敏感性在春夏秋冬各6个连续代表日上运行，保持组内相同初始SOC，并用0.5 p(S_{end}-S_{start})校正期末库存。以下变化率相对问题3-D基准：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情景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库存校正成本/元</w:t>
            </w:r>
          </w:p>
        </w:tc>
        <w:tc>
          <w:tcPr>
            <w:tcW w:type="dxa" w:w="3135"/>
            <w:vAlign w:val="center"/>
            <w:shd w:fill="D9EAF7"/>
          </w:tcPr>
          <w:p>
            <w:pPr>
              <w:jc w:val="center"/>
            </w:pPr>
            <w:r>
              <w:t>相对变化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eta085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1,061,720.06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+3.85%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baseline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1,022,316.93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+0.00%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eta095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987,555.12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-3.40%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roundtrip090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988,531.27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-3.30%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capacity9600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1,072,606.20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+4.92%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capacity14400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978,885.00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-4.25%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capacity18000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931,393.87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-8.89%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emergency3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988,009.68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-3.36%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emergency7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1,024,931.14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+0.26%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margin1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1,093,889.71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+7.00%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terminal0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1,030,634.36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+0.81%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terminal1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1,026,557.50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+0.41%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fee025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995,920.88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-2.58%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fee075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1,027,515.88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+0.51%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no_refund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1,030,790.03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+0.83%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pchip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1,022,705.50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+0.04%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t>error150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1,023,369.90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t>+0.10%</w:t>
            </w:r>
          </w:p>
        </w:tc>
      </w:tr>
    </w:tbl>
    <w:p/>
    <w:p>
      <w:pPr>
        <w:spacing w:line="300" w:lineRule="auto"/>
        <w:ind w:firstLine="420"/>
      </w:pPr>
      <w:r>
        <w:t>效率由0.90降为0.85使成本增加约3.85%；升至0.95则降低3.40%。容量缩至9600 kWh使成本增加4.92%，扩大至14400和18000 kWh仍分别降低4.25%和8.89%，本数据范围内尚未出现完全饱和。残差裕度取1虽把24日紧急购电压至32.71 kWh，却使成本增加7.00%，说明过度保守会增加常规购电和弃光。无退款解释比主账本高0.83%，但不改变滚动更新降低紧急需求的基本结论。</w:t>
      </w:r>
    </w:p>
    <w:p>
      <w:pPr>
        <w:pStyle w:val="Heading1"/>
      </w:pPr>
      <w:r>
        <w:t>11 模型评价</w:t>
      </w:r>
    </w:p>
    <w:p>
      <w:pPr>
        <w:pStyle w:val="Heading2"/>
      </w:pPr>
      <w:r>
        <w:t>11.1 优点</w:t>
      </w:r>
    </w:p>
    <w:p>
      <w:pPr>
        <w:spacing w:line="300" w:lineRule="auto"/>
        <w:ind w:firstLine="420"/>
      </w:pPr>
      <w:r>
        <w:t>模型从信息时点而非数据文件可见性定义预测边界；把全年实际序列只用于滚动更新后的时段执行与评价。功率、电量、储能侧和母线侧变量的单位一致。情景LP可由开源求解器稳定复现，且通过完整物理约束和费用交叉核算。调整账本以连续版本差分记录，能审计每一笔增加和取消。模板未改动工作表名、表头、预置日期和列顺序，省略号区域按日期展开。</w:t>
      </w:r>
    </w:p>
    <w:p>
      <w:pPr>
        <w:pStyle w:val="Heading2"/>
      </w:pPr>
      <w:r>
        <w:t>11.2 局限</w:t>
      </w:r>
    </w:p>
    <w:p>
      <w:pPr>
        <w:spacing w:line="300" w:lineRule="auto"/>
        <w:ind w:firstLine="420"/>
      </w:pPr>
      <w:r>
        <w:t>附件未提供天气、节假日和电价日前预报，预测器只能从自回归和周期特征提取信息。三个残差代表情景覆盖典型低、中、高误差，但不是完整概率分布；因此费用是给定策略的历史回放结果，不等同于未知未来的置信上界。实时电池控制采用当前时段贪心平衡，未显式考虑短期实际负荷的条件分布。问题4主结果假设当天电价曲线已知，现实场景应使用扩展结果。</w:t>
      </w:r>
    </w:p>
    <w:p>
      <w:pPr>
        <w:pStyle w:val="Heading2"/>
      </w:pPr>
      <w:r>
        <w:t>11.3 改进方向</w:t>
      </w:r>
    </w:p>
    <w:p>
      <w:pPr>
        <w:spacing w:line="300" w:lineRule="auto"/>
        <w:ind w:firstLine="420"/>
      </w:pPr>
      <w:r>
        <w:t>可加入天气数值预报、节假日特征和电价分位数预测；用概率校准后的场景树代替三代表日；把储能衰减成本、备用容量和需求响应写入多阶段随机MPC。若允许混合整数求解，可显式加入充放电互斥，但本题LP解的同步量自动检查已为0。</w:t>
      </w:r>
    </w:p>
    <w:p>
      <w:pPr>
        <w:pStyle w:val="Heading1"/>
      </w:pPr>
      <w:r>
        <w:t>12 结论</w:t>
      </w:r>
    </w:p>
    <w:p>
      <w:pPr>
        <w:spacing w:line="300" w:lineRule="auto"/>
        <w:ind w:firstLine="420"/>
      </w:pPr>
      <w:r>
        <w:t>确定性场景中，储能把问题1日费用降至35,126.95元。随实际负载和光伏变化，因果预测、残差情景和实时电池校正使问题2可在物理边界内连续运行。问题3的6、12、18时预报更新均有正经济价值，采用全部更新的策略D在固定电价下总费用为13,968,861.90元，比仅用0时预报低4.61%。波动电价下，问题4-3仍优于问题4-2，但实现价格是否提前可知必须单独声明。结论建立在2025年附件数据的回放上；提交前应由参赛队独立核对模型假设、程序和Excel结果。</w:t>
      </w:r>
    </w:p>
    <w:p>
      <w:pPr>
        <w:pStyle w:val="Heading1"/>
      </w:pPr>
      <w:r>
        <w:t>参考文献</w:t>
      </w:r>
    </w:p>
    <w:p>
      <w:pPr>
        <w:spacing w:line="300" w:lineRule="auto"/>
        <w:ind w:firstLine="420"/>
      </w:pPr>
      <w:r>
        <w:t>[1] Hyndman R J, Athanasopoulos G. Forecasting: Principles and Practice, 3rd ed. Melbourne: OTexts, 2021. https://otexts.com/fpp3/ （访问日期：2026-09-10）.</w:t>
      </w:r>
    </w:p>
    <w:p>
      <w:pPr>
        <w:spacing w:line="300" w:lineRule="auto"/>
        <w:ind w:firstLine="420"/>
      </w:pPr>
      <w:r>
        <w:t>[2] Huangfu Q, Hall J A J. Parallelizing the dual revised simplex method. Mathematical Programming Computation, 2018, 10(1): 119-142. DOI:10.1007/s12532-017-0130-5.</w:t>
      </w:r>
    </w:p>
    <w:p>
      <w:pPr>
        <w:spacing w:line="300" w:lineRule="auto"/>
        <w:ind w:firstLine="420"/>
      </w:pPr>
      <w:r>
        <w:t>[3] Boyd S, Vandenberghe L. Convex Optimization. Cambridge: Cambridge University Press, 2004. https://web.stanford.edu/~boyd/cvxbook/.</w:t>
      </w:r>
    </w:p>
    <w:p>
      <w:pPr>
        <w:spacing w:line="300" w:lineRule="auto"/>
        <w:ind w:firstLine="420"/>
      </w:pPr>
      <w:r>
        <w:t>[4] Rawlings J B, Mayne D Q, Diehl M M. Model Predictive Control: Theory, Computation, and Design, 2nd ed., 6th printing. Nob Hill Publishing, 2026. https://sites.engineering.ucsb.edu/~jbraw/mpc/.</w:t>
      </w:r>
    </w:p>
    <w:p>
      <w:pPr>
        <w:spacing w:line="300" w:lineRule="auto"/>
        <w:ind w:firstLine="420"/>
      </w:pPr>
      <w:r>
        <w:t>[5] Kassis T, Agarwal V, He Y, Patel D, Brueckner A M. Scientific Agent Skills: A Library of Procedural Knowledge for Research Agents. arXiv:2609.00065, 2026. DOI:10.48550/arXiv.2609.00065.</w:t>
      </w:r>
    </w:p>
    <w:p>
      <w:pPr>
        <w:pStyle w:val="Heading1"/>
      </w:pPr>
      <w:r>
        <w:t>AI工具使用声明 草案</w:t>
      </w:r>
    </w:p>
    <w:p>
      <w:pPr>
        <w:spacing w:line="300" w:lineRule="auto"/>
        <w:ind w:firstLine="420"/>
      </w:pPr>
      <w:r>
        <w:t>本研究使用OpenAI Codex桌面应用辅助读取题面和附件结构、编写与检查Python代码、整理模型表述、生成图表和文档。所有数值均由本地Python脚本根据题目附件运行获得；程序执行了物理约束、因果污染、费用独立复算和Excel回读校验。AI生成的建模选择、论文文字、参考文献和结果仍须由参赛队逐项人工核验，参赛队对最终提交内容负责。工具具体版本、提示交互摘要、采纳与修改记录应依据参赛时客户端日志补充到赛事要求的AI使用详情文件。</w:t>
      </w:r>
    </w:p>
    <w:p>
      <w:pPr>
        <w:pStyle w:val="Heading1"/>
      </w:pPr>
      <w:r>
        <w:t>附录 核心程序与复现</w:t>
      </w:r>
    </w:p>
    <w:p>
      <w:pPr>
        <w:spacing w:line="300" w:lineRule="auto"/>
        <w:ind w:firstLine="420"/>
      </w:pPr>
      <w:r>
        <w:t>src/model.py包括数据读取、时间映射、滚动预测、情景构造、LP、实时校正、MPC、紧急区间合并和验证函数；src/run.py完成问题1、预测选型、全年12组策略和敏感性实验；src/deliver.py在原模板上写入五个结果并二次读取；src/figures.py生成15幅PNG及底层CSV；src/paper.py由验证后的CSV/NPZ生成本文。运行顺序和环境版本见README.md。</w:t>
      </w:r>
    </w:p>
    <w:p>
      <w:pPr>
        <w:pStyle w:val="Heading1"/>
      </w:pPr>
      <w:r>
        <w:t>附图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1_能量流与控制结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图01 能量流与控制结构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2_附件1日内曲线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图02 附件1日内曲线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3_问题1最优调度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图03 问题1最优调度</w:t>
      </w:r>
    </w:p>
    <w:p>
      <w:r>
        <w:drawing>
          <wp:inline xmlns:a="http://schemas.openxmlformats.org/drawingml/2006/main" xmlns:pic="http://schemas.openxmlformats.org/drawingml/2006/picture">
            <wp:extent cx="5580000" cy="31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_全年月度统计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图04 全年月度统计</w:t>
      </w:r>
    </w:p>
    <w:p>
      <w:r>
        <w:drawing>
          <wp:inline xmlns:a="http://schemas.openxmlformats.org/drawingml/2006/main" xmlns:pic="http://schemas.openxmlformats.org/drawingml/2006/picture">
            <wp:extent cx="5580000" cy="31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5_负载预测效果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图05 负载预测效果</w:t>
      </w:r>
    </w:p>
    <w:p>
      <w:r>
        <w:drawing>
          <wp:inline xmlns:a="http://schemas.openxmlformats.org/drawingml/2006/main" xmlns:pic="http://schemas.openxmlformats.org/drawingml/2006/picture">
            <wp:extent cx="5580000" cy="31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6_光伏预测效果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图06 光伏预测效果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7_净负荷预测残差分布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图07 净负荷预测残差分布</w:t>
      </w:r>
    </w:p>
    <w:p>
      <w:r>
        <w:drawing>
          <wp:inline xmlns:a="http://schemas.openxmlformats.org/drawingml/2006/main" xmlns:pic="http://schemas.openxmlformats.org/drawingml/2006/picture">
            <wp:extent cx="5580000" cy="35509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8_典型日计划与净负荷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图08 典型日计划与净负荷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_紧急购电月度统计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图09 紧急购电月度统计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分时光伏预报误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图10 分时光伏预报误差</w:t>
      </w:r>
    </w:p>
    <w:p>
      <w:r>
        <w:drawing>
          <wp:inline xmlns:a="http://schemas.openxmlformats.org/drawingml/2006/main" xmlns:pic="http://schemas.openxmlformats.org/drawingml/2006/picture">
            <wp:extent cx="5580000" cy="31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滚动购电调整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滚动购电调整</w:t>
      </w:r>
    </w:p>
    <w:p>
      <w:r>
        <w:drawing>
          <wp:inline xmlns:a="http://schemas.openxmlformats.org/drawingml/2006/main" xmlns:pic="http://schemas.openxmlformats.org/drawingml/2006/picture">
            <wp:extent cx="5580000" cy="348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_预报更新策略成本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图12 预报更新策略成本</w:t>
      </w:r>
    </w:p>
    <w:p>
      <w:r>
        <w:drawing>
          <wp:inline xmlns:a="http://schemas.openxmlformats.org/drawingml/2006/main" xmlns:pic="http://schemas.openxmlformats.org/drawingml/2006/picture">
            <wp:extent cx="5580000" cy="43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波动电价调度关系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图13 波动电价调度关系</w:t>
      </w:r>
    </w:p>
    <w:p>
      <w:r>
        <w:drawing>
          <wp:inline xmlns:a="http://schemas.openxmlformats.org/drawingml/2006/main" xmlns:pic="http://schemas.openxmlformats.org/drawingml/2006/picture">
            <wp:extent cx="5580000" cy="328235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4_各问题成本对比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图14 各问题成本对比</w:t>
      </w:r>
    </w:p>
    <w:p>
      <w:r>
        <w:drawing>
          <wp:inline xmlns:a="http://schemas.openxmlformats.org/drawingml/2006/main" xmlns:pic="http://schemas.openxmlformats.org/drawingml/2006/picture">
            <wp:extent cx="5580000" cy="341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5_敏感性分析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图15 敏感性分析</w:t>
      </w:r>
    </w:p>
    <w:sectPr w:rsidR="00FC693F" w:rsidRPr="0006063C" w:rsidSect="00034616">
      <w:headerReference w:type="default" r:id="rId32"/>
      <w:footerReference w:type="default" r:id="rId33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微网与外部电网电力调控策略的预测优化模型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eader" Target="header1.xml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