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公式转换验证</w:t>
      </w:r>
    </w:p>
    <w:p>
      <w:pPr>
        <w:spacing w:before="100" w:after="100"/>
        <w:jc w:val="center"/>
      </w:pPr>
      <m:oMath>
        <m:sSub>
          <m:e>
            <m:r>
              <m:t>S</m:t>
            </m:r>
          </m:e>
          <m:sub>
            <m:r>
              <m:t>t+1</m:t>
            </m:r>
          </m:sub>
        </m:sSub>
        <m:r>
          <m:t>=</m:t>
        </m:r>
        <m:sSub>
          <m:e>
            <m:r>
              <m:t>S</m:t>
            </m:r>
          </m:e>
          <m:sub>
            <m:r>
              <m:t>t</m:t>
            </m:r>
          </m:sub>
        </m:sSub>
        <m:r>
          <m:t>+</m:t>
        </m:r>
        <m:sSub>
          <m:e>
            <m:r>
              <m:t>η</m:t>
            </m:r>
          </m:e>
          <m:sub>
            <m:r>
              <m:t>c</m:t>
            </m:r>
          </m:sub>
        </m:sSub>
        <m:sSub>
          <m:e>
            <m:r>
              <m:t>C</m:t>
            </m:r>
          </m:e>
          <m:sub>
            <m:r>
              <m:t>t</m:t>
            </m:r>
          </m:sub>
        </m:sSub>
        <m:r>
          <m:t>−</m:t>
        </m:r>
        <m:f>
          <m:fPr>
            <m:type m:val="bar"/>
          </m:fPr>
          <m:num>
            <m:sSub>
              <m:e>
                <m:r>
                  <m:t>D</m:t>
                </m:r>
              </m:e>
              <m:sub>
                <m:r>
                  <m:t>t</m:t>
                </m:r>
              </m:sub>
            </m:sSub>
          </m:num>
          <m:den>
            <m:sSub>
              <m:e>
                <m:r>
                  <m:t>η</m:t>
                </m:r>
              </m:e>
              <m:sub>
                <m:r>
                  <m:t>d</m:t>
                </m:r>
              </m:sub>
            </m:sSub>
          </m:den>
        </m:f>
      </m:oMath>
      <w:r>
        <w:t xml:space="preserve">  （1）</w:t>
      </w:r>
    </w:p>
    <w:p>
      <w:pPr>
        <w:spacing w:before="100" w:after="100"/>
        <w:jc w:val="center"/>
      </w:pPr>
      <m:oMath>
        <m:r>
          <m:t>min</m:t>
        </m:r>
        <m:nary>
          <m:naryPr>
            <m:chr m:val="∑"/>
            <m:limLoc m:val="subSup"/>
            <m:grow m:val="1"/>
            <m:subHide m:val="off"/>
            <m:supHide m:val="off"/>
          </m:naryPr>
          <m:sub>
            <m:r>
              <m:t>t=0</m:t>
            </m:r>
          </m:sub>
          <m:sup>
            <m:r>
              <m:t>143</m:t>
            </m:r>
          </m:sup>
          <m:e>
            <m:sSub>
              <m:e>
                <m:r>
                  <m:t>p</m:t>
                </m:r>
              </m:e>
              <m:sub>
                <m:r>
                  <m:t>t</m:t>
                </m:r>
              </m:sub>
            </m:sSub>
          </m:e>
        </m:nary>
        <m:sSub>
          <m:e>
            <m:r>
              <m:t>G</m:t>
            </m:r>
          </m:e>
          <m:sub>
            <m:r>
              <m:t>t</m:t>
            </m:r>
          </m:sub>
        </m:sSub>
        <m: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nary>
          <m:naryPr>
            <m:chr m:val="∑"/>
            <m:limLoc m:val="subSup"/>
            <m:grow m:val="1"/>
            <m:subHide m:val="off"/>
            <m:supHide m:val="off"/>
          </m:naryPr>
          <m:sub>
            <m:r>
              <m:t>s=1</m:t>
            </m:r>
          </m:sub>
          <m:sup>
            <m:r>
              <m:t>3</m:t>
            </m:r>
          </m:sup>
          <m:e>
            <m:nary>
              <m:naryPr>
                <m:chr m:val="∑"/>
                <m:limLoc m:val="subSup"/>
                <m:grow m:val="1"/>
                <m:subHide m:val="off"/>
                <m:supHide m:val="off"/>
              </m:naryPr>
              <m:sub>
                <m:r>
                  <m:t>t=0</m:t>
                </m:r>
              </m:sub>
              <m:sup>
                <m:r>
                  <m:t>143</m:t>
                </m:r>
              </m:sup>
              <m:e>
                <m:r>
                  <m:t>5</m:t>
                </m:r>
              </m:e>
            </m:nary>
          </m:e>
        </m:nary>
        <m:sSub>
          <m:e>
            <m:r>
              <m:t>p</m:t>
            </m:r>
          </m:e>
          <m:sub>
            <m:r>
              <m:t>t</m:t>
            </m:r>
          </m:sub>
        </m:sSub>
        <m:sSubSup>
          <m:e>
            <m:r>
              <m:t>R</m:t>
            </m:r>
          </m:e>
          <m:sub>
            <m:r>
              <m:t>t</m:t>
            </m:r>
          </m:sub>
          <m:sup>
            <m:d>
              <m:dPr>
                <m:sepChr m:val=""/>
              </m:dPr>
              <m:e>
                <m:r>
                  <m:t>s</m:t>
                </m:r>
              </m:e>
            </m:d>
          </m:sup>
        </m:sSubSup>
      </m:oMath>
      <w:r>
        <w:t xml:space="preserve">  （2）</w:t>
      </w:r>
    </w:p>
    <w:p>
      <w:pPr>
        <w:ind w:firstLine="420"/>
      </w:pPr>
      <w:r>
        <w:t xml:space="preserve">日前计划 </w:t>
      </w:r>
      <m:oMath>
        <m:sSubSup>
          <m:e>
            <m:r>
              <m:t>G</m:t>
            </m:r>
          </m:e>
          <m:sub>
            <m:r>
              <m:t>t</m:t>
            </m:r>
          </m:sub>
          <m:sup>
            <m:r>
              <m:t>0</m:t>
            </m:r>
          </m:sup>
        </m:sSubSup>
      </m:oMath>
      <w:r>
        <w:t xml:space="preserve"> 满足 </w:t>
      </w:r>
      <m:oMath>
        <m:r>
          <m:t>0≤</m:t>
        </m:r>
        <m:sSub>
          <m:e>
            <m:r>
              <m:t>C</m:t>
            </m:r>
          </m:e>
          <m:sub>
            <m:r>
              <m:t>t</m:t>
            </m:r>
          </m:sub>
        </m:sSub>
        <m:r>
          <m:t>,</m:t>
        </m:r>
        <m:sSub>
          <m:e>
            <m:r>
              <m:t>D</m:t>
            </m:r>
          </m:e>
          <m:sub>
            <m:r>
              <m:t>t</m:t>
            </m:r>
          </m:sub>
        </m:sSub>
        <m:r>
          <m:t>≤5000/6</m:t>
        </m:r>
      </m:oMath>
      <w:r>
        <w:t xml:space="preserve">，且 </w:t>
      </w:r>
      <m:oMath>
        <m:sSub>
          <m:e>
            <m:limUpp>
              <m:e>
                <m:r>
                  <m:t>L</m:t>
                </m:r>
              </m:e>
              <m:lim>
                <m:r>
                  <m:t>^</m:t>
                </m:r>
              </m:lim>
            </m:limUpp>
          </m:e>
          <m:sub>
            <m:r>
              <m:t>d,t</m:t>
            </m:r>
          </m:sub>
        </m:sSub>
      </m:oMath>
      <w:r>
        <w:t xml:space="preserve"> 只依赖过去数据。</w:t>
      </w:r>
    </w:p>
    <w:sectPr w:rsidR="00FC693F" w:rsidRPr="0006063C" w:rsidSect="00034616">
      <w:footerReference w:type="default" r:id="rId9"/>
      <w:pgSz w:w="11906" w:h="16838"/>
      <w:pgMar w:top="1446" w:right="1446" w:bottom="1446" w:left="1446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00" w:line="276" w:lineRule="auto"/>
    </w:pPr>
    <w:rPr>
      <w:rFonts w:ascii="Times New Roman" w:hAnsi="Times New Roman" w:eastAsia="宋体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00" w:line="276" w:lineRule="auto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 w:line="276" w:lineRule="auto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76" w:lineRule="auto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76" w:lineRule="auto"/>
      <w:contextualSpacing/>
    </w:pPr>
    <w:rPr>
      <w:rFonts w:asciiTheme="majorHAnsi" w:eastAsiaTheme="majorEastAsia" w:hAnsiTheme="majorHAnsi" w:cstheme="majorBidi" w:ascii="Times New Roman" w:hAnsi="Times New Roman" w:eastAsia="黑体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微网与外部电网电力调控策略的预测优化模型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