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8E68F6" w:rsidRDefault="00DD5B3F" w:rsidP="00177EF0">
      <w:pPr>
        <w:pStyle w:val="Heading1"/>
        <w:spacing w:before="0" w:line="360" w:lineRule="auto"/>
        <w:ind w:left="1134" w:hanging="1134"/>
      </w:pPr>
      <w:bookmarkStart w:id="2" w:name="_Toc233796036"/>
      <w:r w:rsidRPr="008E68F6">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These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proofErr w:type="spellStart"/>
      <w:r w:rsidRPr="008E68F6">
        <w:rPr>
          <w:sz w:val="24"/>
        </w:rPr>
        <w:t>SPoF</w:t>
      </w:r>
      <w:proofErr w:type="spellEnd"/>
      <w:r w:rsidRPr="008E68F6">
        <w:rPr>
          <w:sz w:val="24"/>
        </w:rPr>
        <w:t xml:space="preserve">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8E68F6" w14:paraId="2202256B" w14:textId="77777777" w:rsidTr="00536548">
        <w:tc>
          <w:tcPr>
            <w:tcW w:w="2376"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4962"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536548">
        <w:tc>
          <w:tcPr>
            <w:tcW w:w="2376"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proofErr w:type="spellStart"/>
            <w:r w:rsidRPr="008E68F6">
              <w:rPr>
                <w:rFonts w:asciiTheme="minorHAnsi" w:hAnsiTheme="minorHAnsi"/>
                <w:sz w:val="24"/>
              </w:rPr>
              <w:t>SPoF</w:t>
            </w:r>
            <w:proofErr w:type="spellEnd"/>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7777777" w:rsidR="000228AB" w:rsidRDefault="000228AB" w:rsidP="00536548">
            <w:pPr>
              <w:pStyle w:val="PRBodyText"/>
              <w:spacing w:line="360" w:lineRule="auto"/>
              <w:rPr>
                <w:rFonts w:asciiTheme="minorHAnsi" w:hAnsiTheme="minorHAnsi"/>
                <w:sz w:val="24"/>
              </w:rPr>
            </w:pPr>
            <w:proofErr w:type="spellStart"/>
            <w:r>
              <w:rPr>
                <w:rFonts w:asciiTheme="minorHAnsi" w:hAnsiTheme="minorHAnsi"/>
                <w:sz w:val="24"/>
              </w:rPr>
              <w:t>ReST</w:t>
            </w:r>
            <w:proofErr w:type="spellEnd"/>
          </w:p>
          <w:p w14:paraId="4762494C" w14:textId="34579CBA" w:rsidR="00DA2D56" w:rsidRPr="008E68F6" w:rsidRDefault="00DA2D56" w:rsidP="00536548">
            <w:pPr>
              <w:pStyle w:val="PRBodyText"/>
              <w:spacing w:line="360" w:lineRule="auto"/>
              <w:rPr>
                <w:rFonts w:asciiTheme="minorHAnsi" w:hAnsiTheme="minorHAnsi"/>
                <w:sz w:val="24"/>
              </w:rPr>
            </w:pPr>
            <w:r>
              <w:rPr>
                <w:rFonts w:asciiTheme="minorHAnsi" w:hAnsiTheme="minorHAnsi"/>
                <w:sz w:val="24"/>
              </w:rPr>
              <w:t>MSA</w:t>
            </w:r>
          </w:p>
        </w:tc>
        <w:tc>
          <w:tcPr>
            <w:tcW w:w="4962"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20A2B0C4" w14:textId="6A9AF6B4" w:rsidR="00DA2D56" w:rsidRPr="008E68F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1C6425F9" w14:textId="29B6E280" w:rsidR="00E0737D" w:rsidRPr="008E68F6" w:rsidRDefault="00E0737D"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536548">
        <w:tc>
          <w:tcPr>
            <w:tcW w:w="2376"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536548">
        <w:tc>
          <w:tcPr>
            <w:tcW w:w="2376"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536548">
        <w:tc>
          <w:tcPr>
            <w:tcW w:w="2376"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536548">
        <w:tc>
          <w:tcPr>
            <w:tcW w:w="2376"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0A738C">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0A738C">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0A738C">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0A738C">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0A738C">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0A738C">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0A738C">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0A738C">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0A738C">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0A738C">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0A738C">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0A738C">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0A738C">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0A738C">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0A738C">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0A738C">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0A738C">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0A738C">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0A738C">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0A738C">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0A738C">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0A738C">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0A738C">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0A738C">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0A738C">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0A738C">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0A738C">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0A738C">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0A738C">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0A738C">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0A738C">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0A738C">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0A738C">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0A738C">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0A738C">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0A738C">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0A738C">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0A738C">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0A738C">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0A738C">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0A738C">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0A738C">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0A738C">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0A738C">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0A738C">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0A738C">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0A738C">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0A738C">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0A738C">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0A738C">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0A738C">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0A738C">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0A738C">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0A738C">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8C1231">
      <w:pPr>
        <w:pStyle w:val="Heading1"/>
        <w:numPr>
          <w:ilvl w:val="0"/>
          <w:numId w:val="23"/>
        </w:numPr>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proofErr w:type="spellStart"/>
      <w:r w:rsidR="003C3387" w:rsidRPr="008E68F6">
        <w:rPr>
          <w:sz w:val="24"/>
          <w:szCs w:val="24"/>
        </w:rPr>
        <w:t>G</w:t>
      </w:r>
      <w:r w:rsidRPr="008E68F6">
        <w:rPr>
          <w:sz w:val="24"/>
          <w:szCs w:val="24"/>
        </w:rPr>
        <w:t>raph</w:t>
      </w:r>
      <w:r w:rsidR="003C3387" w:rsidRPr="008E68F6">
        <w:rPr>
          <w:sz w:val="24"/>
          <w:szCs w:val="24"/>
        </w:rPr>
        <w:t>QL</w:t>
      </w:r>
      <w:proofErr w:type="spellEnd"/>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proofErr w:type="spellStart"/>
      <w:r w:rsidR="007E6C38" w:rsidRPr="008E68F6">
        <w:rPr>
          <w:sz w:val="24"/>
          <w:szCs w:val="24"/>
        </w:rPr>
        <w:t>GraphQL</w:t>
      </w:r>
      <w:proofErr w:type="spellEnd"/>
      <w:r w:rsidR="007E6C38" w:rsidRPr="008E68F6">
        <w:rPr>
          <w:sz w:val="24"/>
          <w:szCs w:val="24"/>
        </w:rPr>
        <w:t xml:space="preserve">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w:t>
      </w:r>
      <w:proofErr w:type="spellStart"/>
      <w:r w:rsidR="00D754DD" w:rsidRPr="008E68F6">
        <w:rPr>
          <w:sz w:val="24"/>
          <w:szCs w:val="24"/>
        </w:rPr>
        <w:t>SPoF</w:t>
      </w:r>
      <w:proofErr w:type="spellEnd"/>
      <w:r w:rsidR="00D754DD" w:rsidRPr="008E68F6">
        <w:rPr>
          <w:sz w:val="24"/>
          <w:szCs w:val="24"/>
        </w:rPr>
        <w:t>)</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w:t>
      </w:r>
      <w:proofErr w:type="spellStart"/>
      <w:r w:rsidR="0017584F" w:rsidRPr="008E68F6">
        <w:rPr>
          <w:sz w:val="24"/>
          <w:szCs w:val="24"/>
        </w:rPr>
        <w:t>GraphQL</w:t>
      </w:r>
      <w:proofErr w:type="spellEnd"/>
      <w:r w:rsidR="0017584F" w:rsidRPr="008E68F6">
        <w:rPr>
          <w:sz w:val="24"/>
          <w:szCs w:val="24"/>
        </w:rPr>
        <w:t xml:space="preserve">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proofErr w:type="spellStart"/>
      <w:r w:rsidR="00195F73" w:rsidRPr="008E68F6">
        <w:rPr>
          <w:sz w:val="24"/>
          <w:szCs w:val="24"/>
        </w:rPr>
        <w:t>SPoF</w:t>
      </w:r>
      <w:proofErr w:type="spellEnd"/>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xml:space="preserve">, aggregation and </w:t>
      </w:r>
      <w:proofErr w:type="spellStart"/>
      <w:r w:rsidR="00BC733D" w:rsidRPr="008E68F6">
        <w:rPr>
          <w:sz w:val="24"/>
          <w:szCs w:val="24"/>
        </w:rPr>
        <w:t>GraphQL</w:t>
      </w:r>
      <w:proofErr w:type="spellEnd"/>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 xml:space="preserve">An Azure hosted Redis database will be utilised as a low latency materialised view for the </w:t>
      </w:r>
      <w:proofErr w:type="spellStart"/>
      <w:r w:rsidR="00B04816" w:rsidRPr="008E68F6">
        <w:rPr>
          <w:sz w:val="24"/>
        </w:rPr>
        <w:t>GraphQL</w:t>
      </w:r>
      <w:proofErr w:type="spellEnd"/>
      <w:r w:rsidR="00B04816" w:rsidRPr="008E68F6">
        <w:rPr>
          <w:sz w:val="24"/>
        </w:rPr>
        <w:t xml:space="preserve">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E430F0">
      <w:pPr>
        <w:pStyle w:val="Heading1"/>
        <w:numPr>
          <w:ilvl w:val="0"/>
          <w:numId w:val="3"/>
        </w:numPr>
        <w:ind w:left="567" w:hanging="567"/>
      </w:pPr>
      <w:bookmarkStart w:id="18" w:name="_Toc233796050"/>
      <w:r w:rsidRPr="008E68F6">
        <w:lastRenderedPageBreak/>
        <w:t>Literature Review</w:t>
      </w:r>
      <w:bookmarkEnd w:id="18"/>
    </w:p>
    <w:p w14:paraId="64E13FAC" w14:textId="55957569" w:rsidR="00B24A0A" w:rsidRPr="008E68F6" w:rsidRDefault="00B24A0A" w:rsidP="00B24A0A">
      <w:pPr>
        <w:pStyle w:val="Heading2"/>
        <w:numPr>
          <w:ilvl w:val="1"/>
          <w:numId w:val="3"/>
        </w:numPr>
        <w:ind w:left="851" w:hanging="851"/>
      </w:pPr>
      <w:bookmarkStart w:id="19" w:name="_Toc233796051"/>
      <w:r w:rsidRPr="008E68F6">
        <w:t>Introduction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0A738C">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B53132">
      <w:pPr>
        <w:pStyle w:val="Heading2"/>
        <w:numPr>
          <w:ilvl w:val="1"/>
          <w:numId w:val="3"/>
        </w:numPr>
        <w:ind w:left="851" w:hanging="851"/>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9C7E68">
      <w:pPr>
        <w:pStyle w:val="Heading2"/>
        <w:numPr>
          <w:ilvl w:val="1"/>
          <w:numId w:val="3"/>
        </w:numPr>
        <w:ind w:left="851" w:hanging="851"/>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7034E8">
      <w:pPr>
        <w:pStyle w:val="Heading3"/>
        <w:numPr>
          <w:ilvl w:val="2"/>
          <w:numId w:val="3"/>
        </w:numPr>
        <w:ind w:left="1134" w:hanging="1134"/>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6A4317D5"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p>
    <w:p w14:paraId="6E07BA0E" w14:textId="39798B25" w:rsidR="00EB632F" w:rsidRDefault="00EB632F" w:rsidP="005C0F3A">
      <w:pPr>
        <w:spacing w:line="360" w:lineRule="auto"/>
        <w:rPr>
          <w:sz w:val="24"/>
          <w:szCs w:val="24"/>
        </w:rPr>
      </w:pPr>
    </w:p>
    <w:p w14:paraId="4D32503E" w14:textId="10663AB0" w:rsidR="007034E8" w:rsidRDefault="007034E8" w:rsidP="007034E8">
      <w:pPr>
        <w:pStyle w:val="Heading3"/>
        <w:numPr>
          <w:ilvl w:val="2"/>
          <w:numId w:val="3"/>
        </w:numPr>
        <w:ind w:left="1134" w:hanging="1134"/>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1D3CCB0D" w:rsidR="00C15D19" w:rsidRDefault="00C507B6" w:rsidP="00C507B6">
      <w:pPr>
        <w:pStyle w:val="Caption"/>
      </w:pPr>
      <w:r>
        <w:t xml:space="preserve">Figure </w:t>
      </w:r>
      <w:fldSimple w:instr=" STYLEREF 3 \s ">
        <w:r>
          <w:rPr>
            <w:noProof/>
          </w:rPr>
          <w:t>1.3.2</w:t>
        </w:r>
      </w:fldSimple>
      <w:r>
        <w:noBreakHyphen/>
      </w:r>
      <w:fldSimple w:instr=" SEQ Figure \* ARABIC \s 3 ">
        <w:r>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05F3441E"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 xml:space="preserve">Understanding how digital transformations are planned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support scalable software architectures</w:t>
      </w:r>
      <w:r w:rsidR="002C4504">
        <w:rPr>
          <w:sz w:val="24"/>
          <w:szCs w:val="24"/>
        </w:rPr>
        <w:t>.</w:t>
      </w:r>
    </w:p>
    <w:p w14:paraId="76B38461" w14:textId="05B9F148" w:rsidR="007034E8" w:rsidRPr="007034E8" w:rsidRDefault="007034E8" w:rsidP="00C862CA">
      <w:pPr>
        <w:pStyle w:val="Heading3"/>
        <w:numPr>
          <w:ilvl w:val="2"/>
          <w:numId w:val="3"/>
        </w:numPr>
        <w:ind w:left="1134" w:hanging="1134"/>
      </w:pPr>
      <w:bookmarkStart w:id="28" w:name="_Toc233796056"/>
      <w:r>
        <w:lastRenderedPageBreak/>
        <w:t>Domain Driven Enterprise</w:t>
      </w:r>
      <w:bookmarkEnd w:id="28"/>
      <w:r>
        <w:t xml:space="preserve"> </w:t>
      </w:r>
    </w:p>
    <w:p w14:paraId="570AB11F" w14:textId="579F964E" w:rsidR="00A806B5" w:rsidRPr="008E68F6"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26098551" w14:textId="6C9300E3" w:rsidR="00B24A0A" w:rsidRPr="008E68F6" w:rsidRDefault="00EE4C5B" w:rsidP="00B24A0A">
      <w:pPr>
        <w:pStyle w:val="Heading2"/>
        <w:numPr>
          <w:ilvl w:val="1"/>
          <w:numId w:val="3"/>
        </w:numPr>
        <w:ind w:left="851" w:hanging="851"/>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7034E8">
      <w:pPr>
        <w:pStyle w:val="Heading3"/>
        <w:numPr>
          <w:ilvl w:val="2"/>
          <w:numId w:val="3"/>
        </w:numPr>
        <w:ind w:left="1134" w:hanging="1134"/>
      </w:pPr>
      <w:bookmarkStart w:id="32" w:name="_Toc233796058"/>
      <w:r>
        <w:t>Monolithic Architecture</w:t>
      </w:r>
      <w:bookmarkEnd w:id="32"/>
    </w:p>
    <w:p w14:paraId="755AFDE3" w14:textId="04450173" w:rsidR="007034E8"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 xml:space="preserve">It is a traditional method to develop applications where a single application houses multiple functionalities which many aspects of the business may rely on including </w:t>
      </w:r>
      <w:r w:rsidR="00574590" w:rsidRPr="00CF3FE4">
        <w:rPr>
          <w:sz w:val="24"/>
          <w:szCs w:val="24"/>
        </w:rPr>
        <w:t xml:space="preserve">a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deployment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w:t>
      </w:r>
      <w:proofErr w:type="spellStart"/>
      <w:r w:rsidR="00FE6BCD" w:rsidRPr="00FE6BCD">
        <w:rPr>
          <w:rFonts w:ascii="Calibri" w:eastAsiaTheme="minorHAnsi" w:cs="Calibri"/>
          <w:sz w:val="24"/>
          <w:szCs w:val="24"/>
          <w:lang w:val="en-GB"/>
        </w:rPr>
        <w:t>Kiani</w:t>
      </w:r>
      <w:proofErr w:type="spellEnd"/>
      <w:r w:rsidR="00FE6BCD" w:rsidRPr="00FE6BCD">
        <w:rPr>
          <w:rFonts w:ascii="Calibri" w:eastAsiaTheme="minorHAnsi" w:cs="Calibri"/>
          <w:sz w:val="24"/>
          <w:szCs w:val="24"/>
          <w:lang w:val="en-GB"/>
        </w:rPr>
        <w:t xml:space="preserve">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r w:rsidR="00B65949">
        <w:rPr>
          <w:sz w:val="24"/>
          <w:szCs w:val="24"/>
        </w:rPr>
        <w:t>A monolithic can have advantages early in its lifetime when it has not become too complex since it requires less deployments and can be worked on centrally. However, this tend to change as</w:t>
      </w:r>
      <w:r w:rsidR="00FE6BCD">
        <w:rPr>
          <w:sz w:val="24"/>
          <w:szCs w:val="24"/>
        </w:rPr>
        <w:t xml:space="preserve"> </w:t>
      </w:r>
      <w:r w:rsidR="002C4F28">
        <w:rPr>
          <w:sz w:val="24"/>
          <w:szCs w:val="24"/>
        </w:rPr>
        <w:t xml:space="preserve">a large amount functionality is often accumulated organically over years </w:t>
      </w:r>
      <w:r w:rsidR="00B65949">
        <w:rPr>
          <w:sz w:val="24"/>
          <w:szCs w:val="24"/>
        </w:rPr>
        <w:t>via</w:t>
      </w:r>
      <w:r w:rsidR="002C4F28">
        <w:rPr>
          <w:sz w:val="24"/>
          <w:szCs w:val="24"/>
        </w:rPr>
        <w:t xml:space="preserve"> add-ons and </w:t>
      </w:r>
      <w:r w:rsidR="00B65949">
        <w:rPr>
          <w:sz w:val="24"/>
          <w:szCs w:val="24"/>
        </w:rPr>
        <w:t xml:space="preserve">unplanned </w:t>
      </w:r>
      <w:r w:rsidR="002C4F28">
        <w:rPr>
          <w:sz w:val="24"/>
          <w:szCs w:val="24"/>
        </w:rPr>
        <w:t>extensions</w:t>
      </w:r>
      <w:r w:rsidR="00B65949">
        <w:rPr>
          <w:sz w:val="24"/>
          <w:szCs w:val="24"/>
        </w:rPr>
        <w:t xml:space="preserve">. </w:t>
      </w:r>
      <w:r w:rsidR="002C4F28">
        <w:rPr>
          <w:sz w:val="24"/>
          <w:szCs w:val="24"/>
        </w:rPr>
        <w:t>Therefore the structure of a monolith tends to be</w:t>
      </w:r>
      <w:r w:rsidR="00B65949">
        <w:rPr>
          <w:sz w:val="24"/>
          <w:szCs w:val="24"/>
        </w:rPr>
        <w:t>come more</w:t>
      </w:r>
      <w:r w:rsidR="002C4F28">
        <w:rPr>
          <w:sz w:val="24"/>
          <w:szCs w:val="24"/>
        </w:rPr>
        <w:t xml:space="preserve"> </w:t>
      </w:r>
      <w:r w:rsidR="00B65949">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p>
    <w:p w14:paraId="0DD5EABE" w14:textId="4D9524A8" w:rsidR="00440F82" w:rsidRPr="00CF3FE4" w:rsidRDefault="00BC6665" w:rsidP="00CF3FE4">
      <w:pPr>
        <w:spacing w:line="360" w:lineRule="auto"/>
        <w:rPr>
          <w:sz w:val="24"/>
          <w:szCs w:val="24"/>
        </w:rPr>
      </w:pPr>
      <w:r>
        <w:rPr>
          <w:sz w:val="24"/>
          <w:szCs w:val="24"/>
        </w:rPr>
        <w:lastRenderedPageBreak/>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w:t>
      </w:r>
      <w:proofErr w:type="spellStart"/>
      <w:r w:rsidR="00261BA4" w:rsidRPr="00261BA4">
        <w:rPr>
          <w:rFonts w:ascii="Calibri" w:eastAsiaTheme="minorHAnsi" w:cs="Calibri"/>
          <w:sz w:val="24"/>
          <w:szCs w:val="24"/>
          <w:lang w:val="en-GB"/>
        </w:rPr>
        <w:t>Kiani</w:t>
      </w:r>
      <w:proofErr w:type="spellEnd"/>
      <w:r w:rsidR="00261BA4" w:rsidRPr="00261BA4">
        <w:rPr>
          <w:rFonts w:ascii="Calibri" w:eastAsiaTheme="minorHAnsi" w:cs="Calibri"/>
          <w:sz w:val="24"/>
          <w:szCs w:val="24"/>
          <w:lang w:val="en-GB"/>
        </w:rPr>
        <w:t xml:space="preserve">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p>
    <w:p w14:paraId="64562B3F" w14:textId="6E8314C5" w:rsidR="007034E8" w:rsidRDefault="007034E8" w:rsidP="007034E8">
      <w:pPr>
        <w:pStyle w:val="Heading3"/>
        <w:numPr>
          <w:ilvl w:val="2"/>
          <w:numId w:val="3"/>
        </w:numPr>
        <w:ind w:left="1134" w:hanging="1134"/>
      </w:pPr>
      <w:bookmarkStart w:id="33" w:name="_Toc233796059"/>
      <w:r>
        <w:t>Microservice</w:t>
      </w:r>
      <w:r w:rsidR="00DA2D56">
        <w:t>s</w:t>
      </w:r>
      <w:r>
        <w:t xml:space="preserve"> Architecture</w:t>
      </w:r>
      <w:bookmarkEnd w:id="33"/>
    </w:p>
    <w:p w14:paraId="294F3468" w14:textId="601009AC" w:rsidR="007034E8" w:rsidRPr="00DA2D56"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w:t>
      </w:r>
      <w:proofErr w:type="spellStart"/>
      <w:r w:rsidR="0098575C" w:rsidRPr="0098575C">
        <w:rPr>
          <w:rFonts w:ascii="Calibri" w:eastAsiaTheme="minorHAnsi" w:cs="Calibri"/>
          <w:sz w:val="24"/>
          <w:szCs w:val="24"/>
          <w:lang w:val="en-GB"/>
        </w:rPr>
        <w:t>Kiani</w:t>
      </w:r>
      <w:proofErr w:type="spellEnd"/>
      <w:r w:rsidR="0098575C" w:rsidRPr="0098575C">
        <w:rPr>
          <w:rFonts w:ascii="Calibri" w:eastAsiaTheme="minorHAnsi" w:cs="Calibri"/>
          <w:sz w:val="24"/>
          <w:szCs w:val="24"/>
          <w:lang w:val="en-GB"/>
        </w:rPr>
        <w:t xml:space="preserve">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They follow a core concept of the Unix operating system where each function does only one thing and does it well</w:t>
      </w:r>
      <w:r w:rsidR="007F3004">
        <w:rPr>
          <w:sz w:val="24"/>
          <w:szCs w:val="24"/>
        </w:rPr>
        <w:t xml:space="preserve"> </w:t>
      </w:r>
      <w:r w:rsidR="007F3004">
        <w:rPr>
          <w:sz w:val="24"/>
          <w:szCs w:val="24"/>
        </w:rPr>
        <w:fldChar w:fldCharType="begin"/>
      </w:r>
      <w:r w:rsidR="007F3004">
        <w:rPr>
          <w:sz w:val="24"/>
          <w:szCs w:val="24"/>
        </w:rPr>
        <w:instrText xml:space="preserve"> ADDIN ZOTERO_ITEM CSL_CITATION {"citationID":"fB4SpQJp","properties":{"unsorted":false,"formattedCitation":"(Ritchie and Thompson 1978)","plainCitation":"(Ritchie and Thompson 1978)","noteIndex":0},"citationItems":[{"id":222,"uris":["http://zotero.org/users/local/x6OJxADO/items/AQ2VN8I6"],"itemData":{"id":222,"type":"article-journal","container-title":"Bell System Technical Journal","DOI":"10.1002/j.1538-7305.1978.tb02136.x","ISSN":"00058580","issue":"6","language":"en","page":"1905-1929","source":"DOI.org (Crossref)","title":"The UNIX Time-Sharing System†","volume":"57","author":[{"family":"Ritchie","given":"D. M."},{"family":"Thompson","given":"K."}],"issued":{"date-parts":[["1978",7,8]]}}}],"schema":"https://github.com/citation-style-language/schema/raw/master/csl-citation.json"} </w:instrText>
      </w:r>
      <w:r w:rsidR="007F3004">
        <w:rPr>
          <w:sz w:val="24"/>
          <w:szCs w:val="24"/>
        </w:rPr>
        <w:fldChar w:fldCharType="separate"/>
      </w:r>
      <w:r w:rsidR="007F3004">
        <w:rPr>
          <w:noProof/>
          <w:sz w:val="24"/>
          <w:szCs w:val="24"/>
        </w:rPr>
        <w:t>(Ritchie and Thompson 1978)</w:t>
      </w:r>
      <w:r w:rsidR="007F3004">
        <w:rPr>
          <w:sz w:val="24"/>
          <w:szCs w:val="24"/>
        </w:rPr>
        <w:fldChar w:fldCharType="end"/>
      </w:r>
      <w:r w:rsidR="00FA5DCB">
        <w:rPr>
          <w:sz w:val="24"/>
          <w:szCs w:val="24"/>
        </w:rPr>
        <w:t xml:space="preserve">. </w:t>
      </w:r>
    </w:p>
    <w:p w14:paraId="2A5731B9" w14:textId="105F8EDE" w:rsidR="007034E8" w:rsidRDefault="007034E8" w:rsidP="007034E8">
      <w:pPr>
        <w:pStyle w:val="Heading3"/>
        <w:numPr>
          <w:ilvl w:val="2"/>
          <w:numId w:val="3"/>
        </w:numPr>
        <w:ind w:left="1134" w:hanging="1134"/>
      </w:pPr>
      <w:bookmarkStart w:id="34" w:name="_Toc233796060"/>
      <w:r>
        <w:t>Domain Driven Design with Microservices and System of Systems</w:t>
      </w:r>
      <w:bookmarkEnd w:id="34"/>
    </w:p>
    <w:p w14:paraId="3012ADBA" w14:textId="77777777" w:rsidR="00CD6DA3" w:rsidRPr="008E68F6" w:rsidRDefault="00CD6DA3" w:rsidP="00CD6DA3">
      <w:pPr>
        <w:spacing w:after="0" w:line="360" w:lineRule="auto"/>
        <w:jc w:val="both"/>
        <w:rPr>
          <w:sz w:val="24"/>
          <w:szCs w:val="24"/>
        </w:rPr>
      </w:pPr>
      <w:r>
        <w:rPr>
          <w:sz w:val="24"/>
          <w:szCs w:val="24"/>
        </w:rPr>
        <w:t>Each domain has its own set of applications that are ideally set up as microservices performing one core function each. The microservices can then communicate with other systems by consuming interfaces provided by other microservices including from other domains. If a domain is receiving data from another domain it is considered to be downstream. If it is writing data to another domain it is considered to upstream. A domain can be both upstream and downstream of other domains at the same time, depending on the nature of the data flow. These integrations can be implemented with synchronous technologies like Representational State Transfer (</w:t>
      </w:r>
      <w:proofErr w:type="spellStart"/>
      <w:r>
        <w:rPr>
          <w:sz w:val="24"/>
          <w:szCs w:val="24"/>
        </w:rPr>
        <w:t>ReST</w:t>
      </w:r>
      <w:proofErr w:type="spellEnd"/>
      <w:r>
        <w:rPr>
          <w:sz w:val="24"/>
          <w:szCs w:val="24"/>
        </w:rPr>
        <w:t xml:space="preserve">), but it is often more efficient to use asynchronous set ups following Event Driven Design (EDD) </w:t>
      </w:r>
      <w:r>
        <w:rPr>
          <w:sz w:val="24"/>
          <w:szCs w:val="24"/>
        </w:rPr>
        <w:fldChar w:fldCharType="begin"/>
      </w:r>
      <w:r>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F37793">
        <w:rPr>
          <w:rFonts w:ascii="Calibri" w:eastAsiaTheme="minorHAnsi" w:cs="Calibri"/>
          <w:sz w:val="24"/>
          <w:szCs w:val="24"/>
          <w:lang w:val="en-GB"/>
        </w:rPr>
        <w:t>(</w:t>
      </w:r>
      <w:proofErr w:type="spellStart"/>
      <w:r w:rsidRPr="00F37793">
        <w:rPr>
          <w:rFonts w:ascii="Calibri" w:eastAsiaTheme="minorHAnsi" w:cs="Calibri"/>
          <w:sz w:val="24"/>
          <w:szCs w:val="24"/>
          <w:lang w:val="en-GB"/>
        </w:rPr>
        <w:t>Myllynen</w:t>
      </w:r>
      <w:proofErr w:type="spellEnd"/>
      <w:r w:rsidRPr="00F37793">
        <w:rPr>
          <w:rFonts w:ascii="Calibri" w:eastAsiaTheme="minorHAnsi" w:cs="Calibri"/>
          <w:sz w:val="24"/>
          <w:szCs w:val="24"/>
          <w:lang w:val="en-GB"/>
        </w:rPr>
        <w:t xml:space="preserve"> </w:t>
      </w:r>
      <w:r w:rsidRPr="00F37793">
        <w:rPr>
          <w:rFonts w:ascii="Calibri" w:eastAsiaTheme="minorHAnsi" w:cs="Calibri"/>
          <w:i/>
          <w:iCs/>
          <w:sz w:val="24"/>
          <w:szCs w:val="24"/>
          <w:lang w:val="en-GB"/>
        </w:rPr>
        <w:t>et al.</w:t>
      </w:r>
      <w:r w:rsidRPr="00F37793">
        <w:rPr>
          <w:rFonts w:ascii="Calibri" w:eastAsiaTheme="minorHAnsi" w:cs="Calibri"/>
          <w:sz w:val="24"/>
          <w:szCs w:val="24"/>
          <w:lang w:val="en-GB"/>
        </w:rPr>
        <w:t xml:space="preserve"> 2023)</w:t>
      </w:r>
      <w:r>
        <w:rPr>
          <w:sz w:val="24"/>
          <w:szCs w:val="24"/>
        </w:rPr>
        <w:fldChar w:fldCharType="end"/>
      </w:r>
      <w:r>
        <w:rPr>
          <w:sz w:val="24"/>
          <w:szCs w:val="24"/>
        </w:rPr>
        <w:t xml:space="preserve">. 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w:t>
      </w:r>
      <w:proofErr w:type="spellStart"/>
      <w:r w:rsidRPr="008F380A">
        <w:rPr>
          <w:rFonts w:ascii="Calibri" w:eastAsiaTheme="minorHAnsi" w:cs="Calibri"/>
          <w:sz w:val="24"/>
          <w:szCs w:val="24"/>
          <w:lang w:val="en-GB"/>
        </w:rPr>
        <w:t>Myllynen</w:t>
      </w:r>
      <w:proofErr w:type="spellEnd"/>
      <w:r w:rsidRPr="008F380A">
        <w:rPr>
          <w:rFonts w:ascii="Calibri" w:eastAsiaTheme="minorHAnsi" w:cs="Calibri"/>
          <w:sz w:val="24"/>
          <w:szCs w:val="24"/>
          <w:lang w:val="en-GB"/>
        </w:rPr>
        <w:t xml:space="preserve">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towards </w:t>
      </w:r>
      <w:r>
        <w:rPr>
          <w:sz w:val="24"/>
          <w:szCs w:val="24"/>
        </w:rPr>
        <w:t xml:space="preserve">modern </w:t>
      </w:r>
      <w:r w:rsidRPr="008F0971">
        <w:rPr>
          <w:sz w:val="24"/>
          <w:szCs w:val="24"/>
        </w:rPr>
        <w:t>domain-driven microservice architectures.</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7034E8">
      <w:pPr>
        <w:pStyle w:val="Heading3"/>
        <w:numPr>
          <w:ilvl w:val="2"/>
          <w:numId w:val="3"/>
        </w:numPr>
        <w:ind w:left="1134" w:hanging="1134"/>
      </w:pPr>
      <w:bookmarkStart w:id="35" w:name="_Toc233796061"/>
      <w:r>
        <w:t>Migration Strategies</w:t>
      </w:r>
      <w:bookmarkEnd w:id="35"/>
    </w:p>
    <w:p w14:paraId="6715E0ED" w14:textId="2BA18738" w:rsidR="00EE4C5B" w:rsidRDefault="00CD6DA3" w:rsidP="00E9015F">
      <w:pPr>
        <w:spacing w:line="360" w:lineRule="auto"/>
        <w:rPr>
          <w:sz w:val="24"/>
          <w:szCs w:val="24"/>
        </w:rPr>
      </w:pPr>
      <w:r w:rsidRPr="00E9015F">
        <w:rPr>
          <w:sz w:val="24"/>
          <w:szCs w:val="24"/>
        </w:rPr>
        <w:t xml:space="preserve">Companies around the world are working to migrate from monolithic applications towards microservice based architecture in order to </w:t>
      </w:r>
      <w:r w:rsidR="002D3625" w:rsidRPr="00E9015F">
        <w:rPr>
          <w:sz w:val="24"/>
          <w:szCs w:val="24"/>
        </w:rPr>
        <w:t xml:space="preserve">the development easier and more scalable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p>
    <w:p w14:paraId="6ECD4762" w14:textId="543864D9" w:rsidR="008C3A24" w:rsidRDefault="008C3A24" w:rsidP="00E9015F">
      <w:pPr>
        <w:spacing w:line="360" w:lineRule="auto"/>
        <w:rPr>
          <w:sz w:val="24"/>
          <w:szCs w:val="24"/>
        </w:rPr>
      </w:pPr>
    </w:p>
    <w:p w14:paraId="1281C88E" w14:textId="6F7FAB7A" w:rsidR="008C3A24" w:rsidRPr="00E9015F" w:rsidRDefault="008C3A24" w:rsidP="00E9015F">
      <w:pPr>
        <w:spacing w:line="360" w:lineRule="auto"/>
        <w:rPr>
          <w:sz w:val="24"/>
          <w:szCs w:val="24"/>
        </w:rPr>
      </w:pPr>
      <w:r>
        <w:rPr>
          <w:sz w:val="24"/>
          <w:szCs w:val="24"/>
        </w:rPr>
        <w:t>Strangler fig tree pattern</w:t>
      </w:r>
    </w:p>
    <w:p w14:paraId="7F4FA969" w14:textId="61FC5A7B" w:rsidR="000F705B" w:rsidRPr="008E68F6" w:rsidRDefault="000F705B" w:rsidP="000F705B">
      <w:pPr>
        <w:pStyle w:val="Heading2"/>
        <w:numPr>
          <w:ilvl w:val="1"/>
          <w:numId w:val="3"/>
        </w:numPr>
        <w:ind w:left="851" w:hanging="851"/>
      </w:pPr>
      <w:bookmarkStart w:id="36" w:name="_Toc233796062"/>
      <w:r w:rsidRPr="008E68F6">
        <w:t xml:space="preserve">Event-Driven Architecture </w:t>
      </w:r>
      <w:r w:rsidR="000C4BCF" w:rsidRPr="008E68F6">
        <w:t>and Event Aggregation</w:t>
      </w:r>
      <w:bookmarkEnd w:id="36"/>
    </w:p>
    <w:p w14:paraId="2FA04004" w14:textId="6A3CBED9" w:rsidR="003D79BE" w:rsidRDefault="003D79BE" w:rsidP="003D79BE">
      <w:pPr>
        <w:pStyle w:val="Heading3"/>
        <w:numPr>
          <w:ilvl w:val="2"/>
          <w:numId w:val="3"/>
        </w:numPr>
        <w:ind w:left="1134" w:hanging="1134"/>
      </w:pPr>
      <w:bookmarkStart w:id="37" w:name="_Toc233796063"/>
      <w:r>
        <w:t>Event Driven Architecture</w:t>
      </w:r>
      <w:bookmarkEnd w:id="37"/>
    </w:p>
    <w:p w14:paraId="3772868A" w14:textId="77777777" w:rsidR="003D79BE" w:rsidRPr="003D79BE" w:rsidRDefault="003D79BE" w:rsidP="003D79BE"/>
    <w:p w14:paraId="5649A8E2" w14:textId="3FA031B4" w:rsidR="003D79BE" w:rsidRDefault="003D79BE" w:rsidP="003D79BE">
      <w:pPr>
        <w:pStyle w:val="Heading3"/>
        <w:numPr>
          <w:ilvl w:val="2"/>
          <w:numId w:val="3"/>
        </w:numPr>
        <w:ind w:left="1134" w:hanging="1134"/>
      </w:pPr>
      <w:bookmarkStart w:id="38" w:name="_Toc233796064"/>
      <w:r>
        <w:t>Event Streaming Systems and fault tolerance</w:t>
      </w:r>
      <w:bookmarkEnd w:id="38"/>
    </w:p>
    <w:p w14:paraId="7F9F8A7F" w14:textId="77777777" w:rsidR="003D79BE" w:rsidRPr="003D79BE" w:rsidRDefault="003D79BE" w:rsidP="003D79BE"/>
    <w:p w14:paraId="478EAC9D" w14:textId="1D33E09E" w:rsidR="003D79BE" w:rsidRDefault="003D79BE" w:rsidP="003D79BE">
      <w:pPr>
        <w:pStyle w:val="Heading3"/>
        <w:numPr>
          <w:ilvl w:val="2"/>
          <w:numId w:val="3"/>
        </w:numPr>
        <w:ind w:left="1134" w:hanging="1134"/>
      </w:pPr>
      <w:bookmarkStart w:id="39" w:name="_Toc233796065"/>
      <w:r>
        <w:t>Event Aggregation</w:t>
      </w:r>
      <w:bookmarkEnd w:id="39"/>
    </w:p>
    <w:p w14:paraId="2C315255" w14:textId="5DC41CB8" w:rsidR="00A806B5" w:rsidRPr="008E68F6" w:rsidRDefault="00A806B5" w:rsidP="00EE4C5B"/>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0F705B">
      <w:pPr>
        <w:pStyle w:val="Heading2"/>
        <w:numPr>
          <w:ilvl w:val="1"/>
          <w:numId w:val="3"/>
        </w:numPr>
        <w:ind w:left="851" w:hanging="851"/>
      </w:pPr>
      <w:bookmarkStart w:id="40" w:name="_Toc233796066"/>
      <w:r w:rsidRPr="008E68F6">
        <w:t xml:space="preserve">Patterns for Data access in </w:t>
      </w:r>
      <w:r w:rsidR="000C4BCF" w:rsidRPr="008E68F6">
        <w:t>Distributed Event Systems</w:t>
      </w:r>
      <w:bookmarkEnd w:id="40"/>
    </w:p>
    <w:p w14:paraId="5ABB2AC8" w14:textId="06FFD212" w:rsidR="00E50D2F" w:rsidRDefault="00E50D2F" w:rsidP="00E50D2F">
      <w:pPr>
        <w:pStyle w:val="Heading3"/>
        <w:numPr>
          <w:ilvl w:val="2"/>
          <w:numId w:val="3"/>
        </w:numPr>
        <w:ind w:left="1134" w:hanging="1134"/>
      </w:pPr>
      <w:bookmarkStart w:id="41" w:name="_Toc233796067"/>
      <w:r>
        <w:t>Challenges in data access in distributed systems of systems</w:t>
      </w:r>
      <w:bookmarkEnd w:id="41"/>
    </w:p>
    <w:p w14:paraId="1F2AB629" w14:textId="77777777" w:rsidR="00E50D2F" w:rsidRPr="00E50D2F" w:rsidRDefault="00E50D2F" w:rsidP="00E50D2F"/>
    <w:p w14:paraId="0AABC9DF" w14:textId="449B1085" w:rsidR="00E50D2F" w:rsidRDefault="00E50D2F" w:rsidP="00E50D2F">
      <w:pPr>
        <w:pStyle w:val="Heading3"/>
        <w:numPr>
          <w:ilvl w:val="2"/>
          <w:numId w:val="3"/>
        </w:numPr>
        <w:ind w:left="1134" w:hanging="1134"/>
      </w:pPr>
      <w:bookmarkStart w:id="42" w:name="_Toc233796068"/>
      <w:r>
        <w:t>Command Query Responsibility Segregation</w:t>
      </w:r>
      <w:bookmarkEnd w:id="42"/>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E50D2F">
      <w:pPr>
        <w:pStyle w:val="Heading3"/>
        <w:numPr>
          <w:ilvl w:val="2"/>
          <w:numId w:val="3"/>
        </w:numPr>
        <w:ind w:left="1134" w:hanging="1134"/>
      </w:pPr>
      <w:bookmarkStart w:id="43" w:name="_Toc233796069"/>
      <w:r>
        <w:t>Materialised View</w:t>
      </w:r>
      <w:bookmarkEnd w:id="43"/>
    </w:p>
    <w:p w14:paraId="41049A39" w14:textId="77777777" w:rsidR="00E50D2F" w:rsidRPr="00E50D2F" w:rsidRDefault="00E50D2F" w:rsidP="00E50D2F"/>
    <w:p w14:paraId="44F62E76" w14:textId="689D4709" w:rsidR="00E50D2F" w:rsidRDefault="00E50D2F" w:rsidP="00E50D2F">
      <w:pPr>
        <w:pStyle w:val="Heading3"/>
        <w:numPr>
          <w:ilvl w:val="2"/>
          <w:numId w:val="3"/>
        </w:numPr>
        <w:ind w:left="1134" w:hanging="1134"/>
      </w:pPr>
      <w:bookmarkStart w:id="44" w:name="_Toc233796070"/>
      <w:r>
        <w:t>Event replay and state reconstruction</w:t>
      </w:r>
      <w:bookmarkEnd w:id="44"/>
    </w:p>
    <w:p w14:paraId="74BB054C" w14:textId="77777777" w:rsidR="00E50D2F" w:rsidRPr="00E50D2F" w:rsidRDefault="00E50D2F" w:rsidP="00E50D2F"/>
    <w:p w14:paraId="00AD8E65" w14:textId="271BFA2D" w:rsidR="00E50D2F" w:rsidRDefault="00E50D2F" w:rsidP="00E50D2F">
      <w:pPr>
        <w:pStyle w:val="Heading3"/>
        <w:numPr>
          <w:ilvl w:val="2"/>
          <w:numId w:val="3"/>
        </w:numPr>
        <w:ind w:left="1134" w:hanging="1134"/>
      </w:pPr>
      <w:bookmarkStart w:id="45" w:name="_Toc233796071"/>
      <w:r>
        <w:t>Distributed Caching Techniques</w:t>
      </w:r>
      <w:bookmarkEnd w:id="45"/>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913B91">
      <w:pPr>
        <w:pStyle w:val="Heading2"/>
        <w:numPr>
          <w:ilvl w:val="1"/>
          <w:numId w:val="3"/>
        </w:numPr>
        <w:ind w:left="851" w:hanging="851"/>
      </w:pPr>
      <w:bookmarkStart w:id="46" w:name="_Toc233796072"/>
      <w:r w:rsidRPr="008E68F6">
        <w:lastRenderedPageBreak/>
        <w:t>Cloud-Native Resilience, High Availability and Disaster Recovery</w:t>
      </w:r>
      <w:bookmarkEnd w:id="46"/>
    </w:p>
    <w:p w14:paraId="1194913D" w14:textId="6C61D347" w:rsidR="00AB4FBF" w:rsidRDefault="00AB4FBF" w:rsidP="00AB4FBF">
      <w:pPr>
        <w:pStyle w:val="Heading3"/>
        <w:numPr>
          <w:ilvl w:val="2"/>
          <w:numId w:val="3"/>
        </w:numPr>
        <w:ind w:left="1134" w:hanging="1134"/>
      </w:pPr>
      <w:bookmarkStart w:id="47" w:name="_Toc233796073"/>
      <w:r>
        <w:t>Cloud Native Architecture</w:t>
      </w:r>
      <w:bookmarkEnd w:id="47"/>
    </w:p>
    <w:p w14:paraId="6F25433F" w14:textId="6ACE3C5E" w:rsidR="00AB4FBF" w:rsidRDefault="00AB4FBF" w:rsidP="00AB4FBF">
      <w:pPr>
        <w:pStyle w:val="Heading3"/>
        <w:numPr>
          <w:ilvl w:val="2"/>
          <w:numId w:val="3"/>
        </w:numPr>
        <w:ind w:left="1134" w:hanging="1134"/>
      </w:pPr>
      <w:bookmarkStart w:id="48" w:name="_Toc233796074"/>
      <w:r>
        <w:t>High Availability and Resilience</w:t>
      </w:r>
      <w:bookmarkEnd w:id="48"/>
    </w:p>
    <w:p w14:paraId="1A919D36" w14:textId="09136367" w:rsidR="00AB4FBF" w:rsidRDefault="00AB4FBF" w:rsidP="00AB4FBF">
      <w:pPr>
        <w:pStyle w:val="Heading3"/>
        <w:numPr>
          <w:ilvl w:val="2"/>
          <w:numId w:val="3"/>
        </w:numPr>
        <w:ind w:left="1134" w:hanging="1134"/>
      </w:pPr>
      <w:bookmarkStart w:id="49" w:name="_Toc233796075"/>
      <w:r>
        <w:t>Disaster Recovery Strategies</w:t>
      </w:r>
      <w:bookmarkEnd w:id="49"/>
    </w:p>
    <w:p w14:paraId="22C5C6B2" w14:textId="76CB0152" w:rsidR="00B32679" w:rsidRDefault="00B32679" w:rsidP="00B32679">
      <w:pPr>
        <w:pStyle w:val="Heading3"/>
        <w:numPr>
          <w:ilvl w:val="2"/>
          <w:numId w:val="3"/>
        </w:numPr>
        <w:ind w:left="1134" w:hanging="1134"/>
      </w:pPr>
      <w:bookmarkStart w:id="50" w:name="_Toc233796076"/>
      <w:r>
        <w:t>Cloud Resilience with Kubernetes</w:t>
      </w:r>
      <w:bookmarkEnd w:id="50"/>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913B91">
      <w:pPr>
        <w:pStyle w:val="Heading3"/>
        <w:numPr>
          <w:ilvl w:val="2"/>
          <w:numId w:val="3"/>
        </w:numPr>
        <w:ind w:left="1134" w:hanging="1134"/>
      </w:pPr>
      <w:bookmarkStart w:id="51" w:name="_Toc233796077"/>
      <w:r>
        <w:t>Cloud Portability and sovereignty</w:t>
      </w:r>
      <w:bookmarkEnd w:id="51"/>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B24A0A">
      <w:pPr>
        <w:pStyle w:val="Heading2"/>
        <w:numPr>
          <w:ilvl w:val="1"/>
          <w:numId w:val="3"/>
        </w:numPr>
        <w:ind w:left="851" w:hanging="851"/>
      </w:pPr>
      <w:bookmarkStart w:id="52" w:name="_Toc233796078"/>
      <w:r w:rsidRPr="008E68F6">
        <w:t>Software Quality standards</w:t>
      </w:r>
      <w:bookmarkEnd w:id="52"/>
    </w:p>
    <w:p w14:paraId="35D33ECD" w14:textId="1E1D5BC2" w:rsidR="00A51058" w:rsidRDefault="00A51058" w:rsidP="00A51058">
      <w:pPr>
        <w:pStyle w:val="Heading3"/>
        <w:numPr>
          <w:ilvl w:val="2"/>
          <w:numId w:val="3"/>
        </w:numPr>
        <w:ind w:left="1134" w:hanging="1134"/>
      </w:pPr>
      <w:bookmarkStart w:id="53" w:name="_Toc233796079"/>
      <w:r>
        <w:t>Software Quality standards</w:t>
      </w:r>
      <w:r w:rsidR="00DD3BB8">
        <w:t xml:space="preserve"> and measurement</w:t>
      </w:r>
      <w:bookmarkEnd w:id="53"/>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A51058">
      <w:pPr>
        <w:pStyle w:val="Heading3"/>
        <w:numPr>
          <w:ilvl w:val="2"/>
          <w:numId w:val="3"/>
        </w:numPr>
        <w:ind w:left="1134" w:hanging="1134"/>
      </w:pPr>
      <w:bookmarkStart w:id="54" w:name="_Toc233796080"/>
      <w:r>
        <w:t>Reliability</w:t>
      </w:r>
      <w:bookmarkEnd w:id="54"/>
    </w:p>
    <w:p w14:paraId="68C68B73" w14:textId="7C30665B" w:rsidR="00A51058" w:rsidRDefault="00A51058" w:rsidP="00A51058"/>
    <w:p w14:paraId="40131FC7" w14:textId="40ED29DE" w:rsidR="00A51058" w:rsidRDefault="00A51058" w:rsidP="00A51058">
      <w:pPr>
        <w:pStyle w:val="Heading3"/>
        <w:numPr>
          <w:ilvl w:val="2"/>
          <w:numId w:val="3"/>
        </w:numPr>
        <w:ind w:left="1134" w:hanging="1134"/>
      </w:pPr>
      <w:bookmarkStart w:id="55" w:name="_Toc233796081"/>
      <w:r>
        <w:t>Availability</w:t>
      </w:r>
      <w:bookmarkEnd w:id="55"/>
    </w:p>
    <w:p w14:paraId="67D3B6A7" w14:textId="77777777" w:rsidR="00A51058" w:rsidRPr="00A51058" w:rsidRDefault="00A51058" w:rsidP="00A51058"/>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E430F0">
      <w:pPr>
        <w:pStyle w:val="Heading2"/>
        <w:numPr>
          <w:ilvl w:val="1"/>
          <w:numId w:val="3"/>
        </w:numPr>
        <w:ind w:hanging="792"/>
      </w:pPr>
      <w:bookmarkStart w:id="56" w:name="_Toc233796082"/>
      <w:r w:rsidRPr="008E68F6">
        <w:t>Research Gap and Conclusion</w:t>
      </w:r>
      <w:bookmarkEnd w:id="56"/>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507629">
      <w:pPr>
        <w:pStyle w:val="Heading2"/>
        <w:numPr>
          <w:ilvl w:val="0"/>
          <w:numId w:val="3"/>
        </w:numPr>
      </w:pPr>
      <w:bookmarkStart w:id="57" w:name="_Toc233796083"/>
      <w:r>
        <w:t>Design</w:t>
      </w:r>
      <w:bookmarkEnd w:id="57"/>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w:t>
      </w:r>
      <w:proofErr w:type="spellStart"/>
      <w:r w:rsidRPr="008E68F6">
        <w:rPr>
          <w:sz w:val="24"/>
        </w:rPr>
        <w:t>GraphQL</w:t>
      </w:r>
      <w:proofErr w:type="spellEnd"/>
      <w:r w:rsidRPr="008E68F6">
        <w:rPr>
          <w:sz w:val="24"/>
        </w:rPr>
        <w:t xml:space="preserve">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lastRenderedPageBreak/>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58" w:name="_Toc233796084"/>
      <w:r w:rsidRPr="008E68F6">
        <w:lastRenderedPageBreak/>
        <w:t>References</w:t>
      </w:r>
      <w:bookmarkEnd w:id="58"/>
    </w:p>
    <w:p w14:paraId="07D0926D" w14:textId="49324D0C" w:rsidR="00BF2AD7" w:rsidRPr="008E68F6" w:rsidRDefault="000A738C" w:rsidP="00D35DDF">
      <w:pPr>
        <w:ind w:left="1701" w:hanging="1701"/>
      </w:pPr>
    </w:p>
    <w:p w14:paraId="62274D1F" w14:textId="77777777" w:rsidR="007F3004" w:rsidRPr="007F3004" w:rsidRDefault="00D849BA" w:rsidP="007F3004">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proofErr w:type="spellStart"/>
      <w:r w:rsidR="007F3004" w:rsidRPr="007F3004">
        <w:rPr>
          <w:rFonts w:ascii="Calibri" w:eastAsiaTheme="minorHAnsi" w:cs="Calibri"/>
          <w:lang w:val="en-GB"/>
        </w:rPr>
        <w:t>Alyahya</w:t>
      </w:r>
      <w:proofErr w:type="spellEnd"/>
      <w:r w:rsidR="007F3004" w:rsidRPr="007F3004">
        <w:rPr>
          <w:rFonts w:ascii="Calibri" w:eastAsiaTheme="minorHAnsi" w:cs="Calibri"/>
          <w:lang w:val="en-GB"/>
        </w:rPr>
        <w:t xml:space="preserve">, A., Tipper, D., and </w:t>
      </w:r>
      <w:proofErr w:type="spellStart"/>
      <w:r w:rsidR="007F3004" w:rsidRPr="007F3004">
        <w:rPr>
          <w:rFonts w:ascii="Calibri" w:eastAsiaTheme="minorHAnsi" w:cs="Calibri"/>
          <w:lang w:val="en-GB"/>
        </w:rPr>
        <w:t>Babay</w:t>
      </w:r>
      <w:proofErr w:type="spellEnd"/>
      <w:r w:rsidR="007F3004" w:rsidRPr="007F3004">
        <w:rPr>
          <w:rFonts w:ascii="Calibri" w:eastAsiaTheme="minorHAnsi" w:cs="Calibri"/>
          <w:lang w:val="en-GB"/>
        </w:rPr>
        <w:t xml:space="preserve">, A. (2025) ‘Availability and Cost Analysis of Network-Attack-Resilient Byzantine Fault Tolerant Systems’, </w:t>
      </w:r>
      <w:r w:rsidR="007F3004" w:rsidRPr="007F3004">
        <w:rPr>
          <w:rFonts w:ascii="Calibri" w:eastAsiaTheme="minorHAnsi" w:cs="Calibri"/>
          <w:i/>
          <w:iCs/>
          <w:lang w:val="en-GB"/>
        </w:rPr>
        <w:t>IEEE Transactions on Network and Service Management</w:t>
      </w:r>
      <w:r w:rsidR="007F3004" w:rsidRPr="007F3004">
        <w:rPr>
          <w:rFonts w:ascii="Calibri" w:eastAsiaTheme="minorHAnsi" w:cs="Calibri"/>
          <w:lang w:val="en-GB"/>
        </w:rPr>
        <w:t>, 22(5), 3895–3908, available: https://doi.org/10.1109/TNSM.2025.3589936.</w:t>
      </w:r>
    </w:p>
    <w:p w14:paraId="18C68E35"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Angela Dawn Lawson (2020) </w:t>
      </w:r>
      <w:r w:rsidRPr="007F3004">
        <w:rPr>
          <w:rFonts w:ascii="Calibri" w:eastAsiaTheme="minorHAnsi" w:cs="Calibri"/>
          <w:i/>
          <w:iCs/>
          <w:lang w:val="en-GB"/>
        </w:rPr>
        <w:t>Deploying the Right Technology- a Framework for Digital Strategy and Selection at the United States Postal Service to Shape the Future of Work</w:t>
      </w:r>
      <w:r w:rsidRPr="007F3004">
        <w:rPr>
          <w:rFonts w:ascii="Calibri" w:eastAsiaTheme="minorHAnsi" w:cs="Calibri"/>
          <w:lang w:val="en-GB"/>
        </w:rPr>
        <w:t>, Thesis.</w:t>
      </w:r>
    </w:p>
    <w:p w14:paraId="144A48F8"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00DE110A"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Costa, A.B. and Brito, M.A. (2022) ‘Enterprise Architecture Management : Constant maintenance and updating of the Enterprise Architecture’, in </w:t>
      </w:r>
      <w:r w:rsidRPr="007F3004">
        <w:rPr>
          <w:rFonts w:ascii="Calibri" w:eastAsiaTheme="minorHAnsi" w:cs="Calibri"/>
          <w:i/>
          <w:iCs/>
          <w:lang w:val="en-GB"/>
        </w:rPr>
        <w:t>2022 17th Iberian Conference on Information Systems and Technologies (CISTI)</w:t>
      </w:r>
      <w:r w:rsidRPr="007F3004">
        <w:rPr>
          <w:rFonts w:ascii="Calibri" w:eastAsiaTheme="minorHAnsi" w:cs="Calibri"/>
          <w:lang w:val="en-GB"/>
        </w:rPr>
        <w:t>, Presented at the 2022 17th Iberian Conference on Information Systems and Technologies (CISTI), Madrid, Spain: IEEE, 1–5, available: https://doi.org/10.23919/CISTI54924.2022.9820068.</w:t>
      </w:r>
    </w:p>
    <w:p w14:paraId="62404FEC"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Florian Springer and Christoph </w:t>
      </w:r>
      <w:proofErr w:type="spellStart"/>
      <w:r w:rsidRPr="007F3004">
        <w:rPr>
          <w:rFonts w:ascii="Calibri" w:eastAsiaTheme="minorHAnsi" w:cs="Calibri"/>
          <w:lang w:val="en-GB"/>
        </w:rPr>
        <w:t>Emmersberger</w:t>
      </w:r>
      <w:proofErr w:type="spellEnd"/>
      <w:r w:rsidRPr="007F3004">
        <w:rPr>
          <w:rFonts w:ascii="Calibri" w:eastAsiaTheme="minorHAnsi" w:cs="Calibri"/>
          <w:lang w:val="en-GB"/>
        </w:rPr>
        <w:t xml:space="preserve"> (2008) </w:t>
      </w:r>
      <w:r w:rsidRPr="007F3004">
        <w:rPr>
          <w:rFonts w:ascii="Calibri" w:eastAsiaTheme="minorHAnsi" w:cs="Calibri"/>
          <w:i/>
          <w:iCs/>
          <w:lang w:val="en-GB"/>
        </w:rPr>
        <w:t>Event Driven Business Process Management Taking the Example of Deutsche Post AG: An Evaluation of the Approach of Oracle and the SOPERA Open Source SOA Framework</w:t>
      </w:r>
      <w:r w:rsidRPr="007F3004">
        <w:rPr>
          <w:rFonts w:ascii="Calibri" w:eastAsiaTheme="minorHAnsi" w:cs="Calibri"/>
          <w:lang w:val="en-GB"/>
        </w:rPr>
        <w:t>, Diploma Thesis.</w:t>
      </w:r>
    </w:p>
    <w:p w14:paraId="5846FFC7"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Ghosh, A. (2025) ‘Transforming Enterprise Systems through Event-Driven Architecture: Implementation, Benefits, and Future Trends’, </w:t>
      </w:r>
      <w:r w:rsidRPr="007F3004">
        <w:rPr>
          <w:rFonts w:ascii="Calibri" w:eastAsiaTheme="minorHAnsi" w:cs="Calibri"/>
          <w:i/>
          <w:iCs/>
          <w:lang w:val="en-GB"/>
        </w:rPr>
        <w:t>International Journal of Scientific Research in Computer Science, Engineering and Information Technology</w:t>
      </w:r>
      <w:r w:rsidRPr="007F3004">
        <w:rPr>
          <w:rFonts w:ascii="Calibri" w:eastAsiaTheme="minorHAnsi" w:cs="Calibri"/>
          <w:lang w:val="en-GB"/>
        </w:rPr>
        <w:t>, 11(1), 3507–3514, available: https://doi.org/10.32628/CSEIT251112347.</w:t>
      </w:r>
    </w:p>
    <w:p w14:paraId="36CF61F1"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Hassel, A. and </w:t>
      </w:r>
      <w:proofErr w:type="spellStart"/>
      <w:r w:rsidRPr="007F3004">
        <w:rPr>
          <w:rFonts w:ascii="Calibri" w:eastAsiaTheme="minorHAnsi" w:cs="Calibri"/>
          <w:lang w:val="en-GB"/>
        </w:rPr>
        <w:t>Sieker</w:t>
      </w:r>
      <w:proofErr w:type="spellEnd"/>
      <w:r w:rsidRPr="007F3004">
        <w:rPr>
          <w:rFonts w:ascii="Calibri" w:eastAsiaTheme="minorHAnsi" w:cs="Calibri"/>
          <w:lang w:val="en-GB"/>
        </w:rPr>
        <w:t xml:space="preserve">, F. (2022) ‘The platform effect: How Amazon changed work in logistics in Germany, the United States and the United Kingdom’, </w:t>
      </w:r>
      <w:r w:rsidRPr="007F3004">
        <w:rPr>
          <w:rFonts w:ascii="Calibri" w:eastAsiaTheme="minorHAnsi" w:cs="Calibri"/>
          <w:i/>
          <w:iCs/>
          <w:lang w:val="en-GB"/>
        </w:rPr>
        <w:t>European Journal of Industrial Relations</w:t>
      </w:r>
      <w:r w:rsidRPr="007F3004">
        <w:rPr>
          <w:rFonts w:ascii="Calibri" w:eastAsiaTheme="minorHAnsi" w:cs="Calibri"/>
          <w:lang w:val="en-GB"/>
        </w:rPr>
        <w:t>, 28(3), 363–382, available: https://doi.org/10.1177/09596801221082456.</w:t>
      </w:r>
    </w:p>
    <w:p w14:paraId="4CED1C90"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Ilieva</w:t>
      </w:r>
      <w:proofErr w:type="spellEnd"/>
      <w:r w:rsidRPr="007F3004">
        <w:rPr>
          <w:rFonts w:ascii="Calibri" w:eastAsiaTheme="minorHAnsi" w:cs="Calibri"/>
          <w:lang w:val="en-GB"/>
        </w:rPr>
        <w:t xml:space="preserve">, D., Kolev, D., and </w:t>
      </w:r>
      <w:proofErr w:type="spellStart"/>
      <w:r w:rsidRPr="007F3004">
        <w:rPr>
          <w:rFonts w:ascii="Calibri" w:eastAsiaTheme="minorHAnsi" w:cs="Calibri"/>
          <w:lang w:val="en-GB"/>
        </w:rPr>
        <w:t>Gladchenko</w:t>
      </w:r>
      <w:proofErr w:type="spellEnd"/>
      <w:r w:rsidRPr="007F3004">
        <w:rPr>
          <w:rFonts w:ascii="Calibri" w:eastAsiaTheme="minorHAnsi" w:cs="Calibri"/>
          <w:lang w:val="en-GB"/>
        </w:rPr>
        <w:t xml:space="preserve">, V. (2024) ‘Investigation of the Impact of Artificial Intelligence and Automation in the Postal Services Sector Labour Market’, in </w:t>
      </w:r>
      <w:r w:rsidRPr="007F3004">
        <w:rPr>
          <w:rFonts w:ascii="Calibri" w:eastAsiaTheme="minorHAnsi" w:cs="Calibri"/>
          <w:i/>
          <w:iCs/>
          <w:lang w:val="en-GB"/>
        </w:rPr>
        <w:t>2024 5th International Conference on Communications, Information, Electronic and Energy Systems (CIEES)</w:t>
      </w:r>
      <w:r w:rsidRPr="007F3004">
        <w:rPr>
          <w:rFonts w:ascii="Calibri" w:eastAsiaTheme="minorHAnsi" w:cs="Calibri"/>
          <w:lang w:val="en-GB"/>
        </w:rPr>
        <w:t xml:space="preserve">, Presented at the 2024 5th International Conference on Communications, Information, Electronic and Energy Systems (CIEES), </w:t>
      </w:r>
      <w:proofErr w:type="spellStart"/>
      <w:r w:rsidRPr="007F3004">
        <w:rPr>
          <w:rFonts w:ascii="Calibri" w:eastAsiaTheme="minorHAnsi" w:cs="Calibri"/>
          <w:lang w:val="en-GB"/>
        </w:rPr>
        <w:t>Veliko</w:t>
      </w:r>
      <w:proofErr w:type="spellEnd"/>
      <w:r w:rsidRPr="007F3004">
        <w:rPr>
          <w:rFonts w:ascii="Calibri" w:eastAsiaTheme="minorHAnsi" w:cs="Calibri"/>
          <w:lang w:val="en-GB"/>
        </w:rPr>
        <w:t xml:space="preserve"> </w:t>
      </w:r>
      <w:proofErr w:type="spellStart"/>
      <w:r w:rsidRPr="007F3004">
        <w:rPr>
          <w:rFonts w:ascii="Calibri" w:eastAsiaTheme="minorHAnsi" w:cs="Calibri"/>
          <w:lang w:val="en-GB"/>
        </w:rPr>
        <w:t>Tarnovo</w:t>
      </w:r>
      <w:proofErr w:type="spellEnd"/>
      <w:r w:rsidRPr="007F3004">
        <w:rPr>
          <w:rFonts w:ascii="Calibri" w:eastAsiaTheme="minorHAnsi" w:cs="Calibri"/>
          <w:lang w:val="en-GB"/>
        </w:rPr>
        <w:t>, Bulgaria: IEEE, 1–7, available: https://doi.org/10.1109/CIEES62939.2024.10811359.</w:t>
      </w:r>
    </w:p>
    <w:p w14:paraId="3F6D9B20"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Jovanović, B., </w:t>
      </w:r>
      <w:proofErr w:type="spellStart"/>
      <w:r w:rsidRPr="007F3004">
        <w:rPr>
          <w:rFonts w:ascii="Calibri" w:eastAsiaTheme="minorHAnsi" w:cs="Calibri"/>
          <w:lang w:val="en-GB"/>
        </w:rPr>
        <w:t>Šarac</w:t>
      </w:r>
      <w:proofErr w:type="spellEnd"/>
      <w:r w:rsidRPr="007F3004">
        <w:rPr>
          <w:rFonts w:ascii="Calibri" w:eastAsiaTheme="minorHAnsi" w:cs="Calibri"/>
          <w:lang w:val="en-GB"/>
        </w:rPr>
        <w:t xml:space="preserve">, D., and </w:t>
      </w:r>
      <w:proofErr w:type="spellStart"/>
      <w:r w:rsidRPr="007F3004">
        <w:rPr>
          <w:rFonts w:ascii="Calibri" w:eastAsiaTheme="minorHAnsi" w:cs="Calibri"/>
          <w:lang w:val="en-GB"/>
        </w:rPr>
        <w:t>Čačić</w:t>
      </w:r>
      <w:proofErr w:type="spellEnd"/>
      <w:r w:rsidRPr="007F3004">
        <w:rPr>
          <w:rFonts w:ascii="Calibri" w:eastAsiaTheme="minorHAnsi" w:cs="Calibri"/>
          <w:lang w:val="en-GB"/>
        </w:rPr>
        <w:t xml:space="preserve">, N. (2025) ‘Delphi and fuzzy TOPSIS approach for redefining the scope of postal universal service obligation’, </w:t>
      </w:r>
      <w:r w:rsidRPr="007F3004">
        <w:rPr>
          <w:rFonts w:ascii="Calibri" w:eastAsiaTheme="minorHAnsi" w:cs="Calibri"/>
          <w:i/>
          <w:iCs/>
          <w:lang w:val="en-GB"/>
        </w:rPr>
        <w:t>Journal of Regulatory Economics</w:t>
      </w:r>
      <w:r w:rsidRPr="007F3004">
        <w:rPr>
          <w:rFonts w:ascii="Calibri" w:eastAsiaTheme="minorHAnsi" w:cs="Calibri"/>
          <w:lang w:val="en-GB"/>
        </w:rPr>
        <w:t>, 68(1), 38–52, available: https://doi.org/10.1007/s11149-025-09489-6.</w:t>
      </w:r>
    </w:p>
    <w:p w14:paraId="6AE4FA28"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Kalske</w:t>
      </w:r>
      <w:proofErr w:type="spellEnd"/>
      <w:r w:rsidRPr="007F3004">
        <w:rPr>
          <w:rFonts w:ascii="Calibri" w:eastAsiaTheme="minorHAnsi" w:cs="Calibri"/>
          <w:lang w:val="en-GB"/>
        </w:rPr>
        <w:t xml:space="preserve">, M., </w:t>
      </w:r>
      <w:proofErr w:type="spellStart"/>
      <w:r w:rsidRPr="007F3004">
        <w:rPr>
          <w:rFonts w:ascii="Calibri" w:eastAsiaTheme="minorHAnsi" w:cs="Calibri"/>
          <w:lang w:val="en-GB"/>
        </w:rPr>
        <w:t>Mäkitalo</w:t>
      </w:r>
      <w:proofErr w:type="spellEnd"/>
      <w:r w:rsidRPr="007F3004">
        <w:rPr>
          <w:rFonts w:ascii="Calibri" w:eastAsiaTheme="minorHAnsi" w:cs="Calibri"/>
          <w:lang w:val="en-GB"/>
        </w:rPr>
        <w:t xml:space="preserve">, N., and </w:t>
      </w:r>
      <w:proofErr w:type="spellStart"/>
      <w:r w:rsidRPr="007F3004">
        <w:rPr>
          <w:rFonts w:ascii="Calibri" w:eastAsiaTheme="minorHAnsi" w:cs="Calibri"/>
          <w:lang w:val="en-GB"/>
        </w:rPr>
        <w:t>Mikkonen</w:t>
      </w:r>
      <w:proofErr w:type="spellEnd"/>
      <w:r w:rsidRPr="007F3004">
        <w:rPr>
          <w:rFonts w:ascii="Calibri" w:eastAsiaTheme="minorHAnsi" w:cs="Calibri"/>
          <w:lang w:val="en-GB"/>
        </w:rPr>
        <w:t xml:space="preserve">, T. (2018) ‘Challenges When Moving from Monolith to Microservice Architecture’, in </w:t>
      </w:r>
      <w:proofErr w:type="spellStart"/>
      <w:r w:rsidRPr="007F3004">
        <w:rPr>
          <w:rFonts w:ascii="Calibri" w:eastAsiaTheme="minorHAnsi" w:cs="Calibri"/>
          <w:lang w:val="en-GB"/>
        </w:rPr>
        <w:t>Garrigós</w:t>
      </w:r>
      <w:proofErr w:type="spellEnd"/>
      <w:r w:rsidRPr="007F3004">
        <w:rPr>
          <w:rFonts w:ascii="Calibri" w:eastAsiaTheme="minorHAnsi" w:cs="Calibri"/>
          <w:lang w:val="en-GB"/>
        </w:rPr>
        <w:t xml:space="preserve">, I. and </w:t>
      </w:r>
      <w:proofErr w:type="spellStart"/>
      <w:r w:rsidRPr="007F3004">
        <w:rPr>
          <w:rFonts w:ascii="Calibri" w:eastAsiaTheme="minorHAnsi" w:cs="Calibri"/>
          <w:lang w:val="en-GB"/>
        </w:rPr>
        <w:t>Wimmer</w:t>
      </w:r>
      <w:proofErr w:type="spellEnd"/>
      <w:r w:rsidRPr="007F3004">
        <w:rPr>
          <w:rFonts w:ascii="Calibri" w:eastAsiaTheme="minorHAnsi" w:cs="Calibri"/>
          <w:lang w:val="en-GB"/>
        </w:rPr>
        <w:t xml:space="preserve">, M., eds, </w:t>
      </w:r>
      <w:r w:rsidRPr="007F3004">
        <w:rPr>
          <w:rFonts w:ascii="Calibri" w:eastAsiaTheme="minorHAnsi" w:cs="Calibri"/>
          <w:i/>
          <w:iCs/>
          <w:lang w:val="en-GB"/>
        </w:rPr>
        <w:t>Current Trends in Web Engineering</w:t>
      </w:r>
      <w:r w:rsidRPr="007F3004">
        <w:rPr>
          <w:rFonts w:ascii="Calibri" w:eastAsiaTheme="minorHAnsi" w:cs="Calibri"/>
          <w:lang w:val="en-GB"/>
        </w:rPr>
        <w:t>, Lecture Notes in Computer Science, Cham: Springer International Publishing, 32–47, available: https://doi.org/10.1007/978-3-319-74433-9_3.</w:t>
      </w:r>
    </w:p>
    <w:p w14:paraId="6D5DC112"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Kasaram</w:t>
      </w:r>
      <w:proofErr w:type="spellEnd"/>
      <w:r w:rsidRPr="007F3004">
        <w:rPr>
          <w:rFonts w:ascii="Calibri" w:eastAsiaTheme="minorHAnsi" w:cs="Calibri"/>
          <w:lang w:val="en-GB"/>
        </w:rPr>
        <w:t xml:space="preserve">, C.R. (2023) ‘Harnessing Asynchronous Patterns with Event Driven Kafka and Microservices Architectures’, </w:t>
      </w:r>
      <w:r w:rsidRPr="007F3004">
        <w:rPr>
          <w:rFonts w:ascii="Calibri" w:eastAsiaTheme="minorHAnsi" w:cs="Calibri"/>
          <w:i/>
          <w:iCs/>
          <w:lang w:val="en-GB"/>
        </w:rPr>
        <w:t>Journal of Artificial Intelligence &amp; Cloud Computing</w:t>
      </w:r>
      <w:r w:rsidRPr="007F3004">
        <w:rPr>
          <w:rFonts w:ascii="Calibri" w:eastAsiaTheme="minorHAnsi" w:cs="Calibri"/>
          <w:lang w:val="en-GB"/>
        </w:rPr>
        <w:t>, 2(4), 1, available: https://doi.org/10.47363/JAICC/2023(2)502.</w:t>
      </w:r>
    </w:p>
    <w:p w14:paraId="40C4C926"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Kiani</w:t>
      </w:r>
      <w:proofErr w:type="spellEnd"/>
      <w:r w:rsidRPr="007F3004">
        <w:rPr>
          <w:rFonts w:ascii="Calibri" w:eastAsiaTheme="minorHAnsi" w:cs="Calibri"/>
          <w:lang w:val="en-GB"/>
        </w:rPr>
        <w:t xml:space="preserve">, A.A., Sarwar, A., Arshad, H., Bibi, A., Ahmad, F.B., and Ahmed, W. (2024) ‘Catalysing Monolithic to </w:t>
      </w:r>
      <w:proofErr w:type="spellStart"/>
      <w:r w:rsidRPr="007F3004">
        <w:rPr>
          <w:rFonts w:ascii="Calibri" w:eastAsiaTheme="minorHAnsi" w:cs="Calibri"/>
          <w:lang w:val="en-GB"/>
        </w:rPr>
        <w:t>Microsevices</w:t>
      </w:r>
      <w:proofErr w:type="spellEnd"/>
      <w:r w:rsidRPr="007F3004">
        <w:rPr>
          <w:rFonts w:ascii="Calibri" w:eastAsiaTheme="minorHAnsi" w:cs="Calibri"/>
          <w:lang w:val="en-GB"/>
        </w:rPr>
        <w:t xml:space="preserve"> Migration: A Strategic Approach Using Refactoring and Pilot Projects’, in </w:t>
      </w:r>
      <w:r w:rsidRPr="007F3004">
        <w:rPr>
          <w:rFonts w:ascii="Calibri" w:eastAsiaTheme="minorHAnsi" w:cs="Calibri"/>
          <w:i/>
          <w:iCs/>
          <w:lang w:val="en-GB"/>
        </w:rPr>
        <w:t>2024 International Conference on Engineering &amp;amp; Computing Technologies (ICECT)</w:t>
      </w:r>
      <w:r w:rsidRPr="007F3004">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58658926"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Mishra, R., Jaiswal, N., Prakash, R., and </w:t>
      </w:r>
      <w:proofErr w:type="spellStart"/>
      <w:r w:rsidRPr="007F3004">
        <w:rPr>
          <w:rFonts w:ascii="Calibri" w:eastAsiaTheme="minorHAnsi" w:cs="Calibri"/>
          <w:lang w:val="en-GB"/>
        </w:rPr>
        <w:t>Barwal</w:t>
      </w:r>
      <w:proofErr w:type="spellEnd"/>
      <w:r w:rsidRPr="007F3004">
        <w:rPr>
          <w:rFonts w:ascii="Calibri" w:eastAsiaTheme="minorHAnsi" w:cs="Calibri"/>
          <w:lang w:val="en-GB"/>
        </w:rPr>
        <w:t xml:space="preserve">, P.N. (2022) ‘Transition from Monolithic to Microservices Architecture: Need and proposed pipeline’, in </w:t>
      </w:r>
      <w:r w:rsidRPr="007F3004">
        <w:rPr>
          <w:rFonts w:ascii="Calibri" w:eastAsiaTheme="minorHAnsi" w:cs="Calibri"/>
          <w:i/>
          <w:iCs/>
          <w:lang w:val="en-GB"/>
        </w:rPr>
        <w:t xml:space="preserve">2022 International Conference </w:t>
      </w:r>
      <w:r w:rsidRPr="007F3004">
        <w:rPr>
          <w:rFonts w:ascii="Calibri" w:eastAsiaTheme="minorHAnsi" w:cs="Calibri"/>
          <w:i/>
          <w:iCs/>
          <w:lang w:val="en-GB"/>
        </w:rPr>
        <w:lastRenderedPageBreak/>
        <w:t>on Futuristic Technologies (INCOFT)</w:t>
      </w:r>
      <w:r w:rsidRPr="007F3004">
        <w:rPr>
          <w:rFonts w:ascii="Calibri" w:eastAsiaTheme="minorHAnsi" w:cs="Calibri"/>
          <w:lang w:val="en-GB"/>
        </w:rPr>
        <w:t>, Presented at the 2022 International Conference on Futuristic Technologies (INCOFT), Belgaum, India: IEEE, 1–6, available: https://doi.org/10.1109/INCOFT55651.2022.10094556.</w:t>
      </w:r>
    </w:p>
    <w:p w14:paraId="4A4B688C"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Miyachi, C. (2021) ‘The Rise of Kubernetes’, in </w:t>
      </w:r>
      <w:r w:rsidRPr="007F3004">
        <w:rPr>
          <w:rFonts w:ascii="Calibri" w:eastAsiaTheme="minorHAnsi" w:cs="Calibri"/>
          <w:i/>
          <w:iCs/>
          <w:lang w:val="en-GB"/>
        </w:rPr>
        <w:t>2021 Cloud Continuum</w:t>
      </w:r>
      <w:r w:rsidRPr="007F3004">
        <w:rPr>
          <w:rFonts w:ascii="Calibri" w:eastAsiaTheme="minorHAnsi" w:cs="Calibri"/>
          <w:lang w:val="en-GB"/>
        </w:rPr>
        <w:t>, Presented at the 2021 Cloud Continuum, Los Alamitos, CA, USA: IEEE, 1–5, available: https://doi.org/10.1109/CloudContinuum54760.2021.00002.</w:t>
      </w:r>
    </w:p>
    <w:p w14:paraId="49F6925C"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Myllynen</w:t>
      </w:r>
      <w:proofErr w:type="spellEnd"/>
      <w:r w:rsidRPr="007F3004">
        <w:rPr>
          <w:rFonts w:ascii="Calibri" w:eastAsiaTheme="minorHAnsi" w:cs="Calibri"/>
          <w:lang w:val="en-GB"/>
        </w:rPr>
        <w:t xml:space="preserve">, T., Kamau, E., Mustapha, S.D., Babatunde, G.O., and Alabi, A.A. (2023) ‘Developing a Conceptual Model for Cross-Domain Microservices Using Event-Driven and Domain-Driven Design’, </w:t>
      </w:r>
      <w:r w:rsidRPr="007F3004">
        <w:rPr>
          <w:rFonts w:ascii="Calibri" w:eastAsiaTheme="minorHAnsi" w:cs="Calibri"/>
          <w:i/>
          <w:iCs/>
          <w:lang w:val="en-GB"/>
        </w:rPr>
        <w:t>International Journal of Multidisciplinary Research and Growth Evaluation</w:t>
      </w:r>
      <w:r w:rsidRPr="007F3004">
        <w:rPr>
          <w:rFonts w:ascii="Calibri" w:eastAsiaTheme="minorHAnsi" w:cs="Calibri"/>
          <w:lang w:val="en-GB"/>
        </w:rPr>
        <w:t>, 4(1), 635–638, available: https://doi.org/10.54660/.IJMRGE.2023.4.1.635-638.</w:t>
      </w:r>
    </w:p>
    <w:p w14:paraId="1359A28D"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Otsetova</w:t>
      </w:r>
      <w:proofErr w:type="spellEnd"/>
      <w:r w:rsidRPr="007F3004">
        <w:rPr>
          <w:rFonts w:ascii="Calibri" w:eastAsiaTheme="minorHAnsi" w:cs="Calibri"/>
          <w:lang w:val="en-GB"/>
        </w:rPr>
        <w:t xml:space="preserve">, A. (2019) ‘Postal Sector Transformation in Digital Economy’, </w:t>
      </w:r>
      <w:r w:rsidRPr="007F3004">
        <w:rPr>
          <w:rFonts w:ascii="Calibri" w:eastAsiaTheme="minorHAnsi" w:cs="Calibri"/>
          <w:i/>
          <w:iCs/>
          <w:lang w:val="en-GB"/>
        </w:rPr>
        <w:t>International Journal</w:t>
      </w:r>
      <w:r w:rsidRPr="007F3004">
        <w:rPr>
          <w:rFonts w:ascii="Calibri" w:eastAsiaTheme="minorHAnsi" w:cs="Calibri"/>
          <w:lang w:val="en-GB"/>
        </w:rPr>
        <w:t>, 8(2).</w:t>
      </w:r>
    </w:p>
    <w:p w14:paraId="70BDA781"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Oumoussa</w:t>
      </w:r>
      <w:proofErr w:type="spellEnd"/>
      <w:r w:rsidRPr="007F3004">
        <w:rPr>
          <w:rFonts w:ascii="Calibri" w:eastAsiaTheme="minorHAnsi" w:cs="Calibri"/>
          <w:lang w:val="en-GB"/>
        </w:rPr>
        <w:t xml:space="preserve">, I. and </w:t>
      </w:r>
      <w:proofErr w:type="spellStart"/>
      <w:r w:rsidRPr="007F3004">
        <w:rPr>
          <w:rFonts w:ascii="Calibri" w:eastAsiaTheme="minorHAnsi" w:cs="Calibri"/>
          <w:lang w:val="en-GB"/>
        </w:rPr>
        <w:t>Saidi</w:t>
      </w:r>
      <w:proofErr w:type="spellEnd"/>
      <w:r w:rsidRPr="007F3004">
        <w:rPr>
          <w:rFonts w:ascii="Calibri" w:eastAsiaTheme="minorHAnsi" w:cs="Calibri"/>
          <w:lang w:val="en-GB"/>
        </w:rPr>
        <w:t xml:space="preserve">, R. (2024) ‘Evolution of Microservices Identification in Monolith Decomposition: A Systematic Review’, </w:t>
      </w:r>
      <w:r w:rsidRPr="007F3004">
        <w:rPr>
          <w:rFonts w:ascii="Calibri" w:eastAsiaTheme="minorHAnsi" w:cs="Calibri"/>
          <w:i/>
          <w:iCs/>
          <w:lang w:val="en-GB"/>
        </w:rPr>
        <w:t>IEEE Access</w:t>
      </w:r>
      <w:r w:rsidRPr="007F3004">
        <w:rPr>
          <w:rFonts w:ascii="Calibri" w:eastAsiaTheme="minorHAnsi" w:cs="Calibri"/>
          <w:lang w:val="en-GB"/>
        </w:rPr>
        <w:t>, 12, 23389–23405, available: https://doi.org/10.1109/ACCESS.2024.3365079.</w:t>
      </w:r>
    </w:p>
    <w:p w14:paraId="36CFE71E"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Pallempati</w:t>
      </w:r>
      <w:proofErr w:type="spellEnd"/>
      <w:r w:rsidRPr="007F3004">
        <w:rPr>
          <w:rFonts w:ascii="Calibri" w:eastAsiaTheme="minorHAnsi" w:cs="Calibri"/>
          <w:lang w:val="en-GB"/>
        </w:rPr>
        <w:t xml:space="preserve">, I., Lakshmi, D.V., and Das, M.S. (2024) ‘Handwritten Character Recognition and Vehicle Number Recognition using OCR Method’, in </w:t>
      </w:r>
      <w:r w:rsidRPr="007F3004">
        <w:rPr>
          <w:rFonts w:ascii="Calibri" w:eastAsiaTheme="minorHAnsi" w:cs="Calibri"/>
          <w:i/>
          <w:iCs/>
          <w:lang w:val="en-GB"/>
        </w:rPr>
        <w:t>2024 Third International Conference on Trends in Electrical, Electronics, and Computer Engineering (TEECCON)</w:t>
      </w:r>
      <w:r w:rsidRPr="007F3004">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60E22910"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Platunina</w:t>
      </w:r>
      <w:proofErr w:type="spellEnd"/>
      <w:r w:rsidRPr="007F3004">
        <w:rPr>
          <w:rFonts w:ascii="Calibri" w:eastAsiaTheme="minorHAnsi" w:cs="Calibri"/>
          <w:lang w:val="en-GB"/>
        </w:rPr>
        <w:t xml:space="preserve">, G.P., </w:t>
      </w:r>
      <w:proofErr w:type="spellStart"/>
      <w:r w:rsidRPr="007F3004">
        <w:rPr>
          <w:rFonts w:ascii="Calibri" w:eastAsiaTheme="minorHAnsi" w:cs="Calibri"/>
          <w:lang w:val="en-GB"/>
        </w:rPr>
        <w:t>Salutina</w:t>
      </w:r>
      <w:proofErr w:type="spellEnd"/>
      <w:r w:rsidRPr="007F3004">
        <w:rPr>
          <w:rFonts w:ascii="Calibri" w:eastAsiaTheme="minorHAnsi" w:cs="Calibri"/>
          <w:lang w:val="en-GB"/>
        </w:rPr>
        <w:t xml:space="preserve">, T.Y., </w:t>
      </w:r>
      <w:proofErr w:type="spellStart"/>
      <w:r w:rsidRPr="007F3004">
        <w:rPr>
          <w:rFonts w:ascii="Calibri" w:eastAsiaTheme="minorHAnsi" w:cs="Calibri"/>
          <w:lang w:val="en-GB"/>
        </w:rPr>
        <w:t>Gnezdova</w:t>
      </w:r>
      <w:proofErr w:type="spellEnd"/>
      <w:r w:rsidRPr="007F3004">
        <w:rPr>
          <w:rFonts w:ascii="Calibri" w:eastAsiaTheme="minorHAnsi" w:cs="Calibri"/>
          <w:lang w:val="en-GB"/>
        </w:rPr>
        <w:t xml:space="preserve">, Y.V., and Frank, I.A. (2025) ‘Technological controlling: digital transformation of management decisions’, in </w:t>
      </w:r>
      <w:r w:rsidRPr="007F3004">
        <w:rPr>
          <w:rFonts w:ascii="Calibri" w:eastAsiaTheme="minorHAnsi" w:cs="Calibri"/>
          <w:i/>
          <w:iCs/>
          <w:lang w:val="en-GB"/>
        </w:rPr>
        <w:t>2025 International Conference on Engineering Management of Communication and Technology (EMCTECH)</w:t>
      </w:r>
      <w:r w:rsidRPr="007F3004">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5F4E295F"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Qi, J., Li, S., Wang, H., Yuan, S., Li, P., Qian, H., Liu, Z., and He, X. (2023) ‘Critical System Design Based on High Availability Cluster Technology’, in </w:t>
      </w:r>
      <w:r w:rsidRPr="007F3004">
        <w:rPr>
          <w:rFonts w:ascii="Calibri" w:eastAsiaTheme="minorHAnsi" w:cs="Calibri"/>
          <w:i/>
          <w:iCs/>
          <w:lang w:val="en-GB"/>
        </w:rPr>
        <w:t>2023 4th International Conference on Big Data &amp; Artificial Intelligence &amp; Software Engineering (ICBASE)</w:t>
      </w:r>
      <w:r w:rsidRPr="007F3004">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54960431"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Ritchie, D.M. and Thompson, K. (1978) ‘The UNIX Time-Sharing System†’, </w:t>
      </w:r>
      <w:r w:rsidRPr="007F3004">
        <w:rPr>
          <w:rFonts w:ascii="Calibri" w:eastAsiaTheme="minorHAnsi" w:cs="Calibri"/>
          <w:i/>
          <w:iCs/>
          <w:lang w:val="en-GB"/>
        </w:rPr>
        <w:t>Bell System Technical Journal</w:t>
      </w:r>
      <w:r w:rsidRPr="007F3004">
        <w:rPr>
          <w:rFonts w:ascii="Calibri" w:eastAsiaTheme="minorHAnsi" w:cs="Calibri"/>
          <w:lang w:val="en-GB"/>
        </w:rPr>
        <w:t>, 57(6), 1905–1929, available: https://doi.org/10.1002/j.1538-7305.1978.tb02136.x.</w:t>
      </w:r>
    </w:p>
    <w:p w14:paraId="1A2BAE1C"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Samambet</w:t>
      </w:r>
      <w:proofErr w:type="spellEnd"/>
      <w:r w:rsidRPr="007F3004">
        <w:rPr>
          <w:rFonts w:ascii="Calibri" w:eastAsiaTheme="minorHAnsi" w:cs="Calibri"/>
          <w:lang w:val="en-GB"/>
        </w:rPr>
        <w:t xml:space="preserve">, M. and </w:t>
      </w:r>
      <w:proofErr w:type="spellStart"/>
      <w:r w:rsidRPr="007F3004">
        <w:rPr>
          <w:rFonts w:ascii="Calibri" w:eastAsiaTheme="minorHAnsi" w:cs="Calibri"/>
          <w:lang w:val="en-GB"/>
        </w:rPr>
        <w:t>Khouangvichit</w:t>
      </w:r>
      <w:proofErr w:type="spellEnd"/>
      <w:r w:rsidRPr="007F3004">
        <w:rPr>
          <w:rFonts w:ascii="Calibri" w:eastAsiaTheme="minorHAnsi" w:cs="Calibri"/>
          <w:lang w:val="en-GB"/>
        </w:rPr>
        <w:t xml:space="preserve">, C. (2025) ‘OUTSMARTING THE HURDLES TO DIGITALIZING THE POSTAL SECTOR: THE CASE OF DEUTSCHE POST, POSTE ITALIANE, AND ROYAL MAIL’, </w:t>
      </w:r>
      <w:r w:rsidRPr="007F3004">
        <w:rPr>
          <w:rFonts w:ascii="Calibri" w:eastAsiaTheme="minorHAnsi" w:cs="Calibri"/>
          <w:i/>
          <w:iCs/>
          <w:lang w:val="en-GB"/>
        </w:rPr>
        <w:t>International Journal of Professional Business Review</w:t>
      </w:r>
      <w:r w:rsidRPr="007F3004">
        <w:rPr>
          <w:rFonts w:ascii="Calibri" w:eastAsiaTheme="minorHAnsi" w:cs="Calibri"/>
          <w:lang w:val="en-GB"/>
        </w:rPr>
        <w:t>, 10(3), e05355, available: https://doi.org/10.26668/businessreview/2025.v10i3.5355.</w:t>
      </w:r>
    </w:p>
    <w:p w14:paraId="18C327A4"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Sharavova</w:t>
      </w:r>
      <w:proofErr w:type="spellEnd"/>
      <w:r w:rsidRPr="007F3004">
        <w:rPr>
          <w:rFonts w:ascii="Calibri" w:eastAsiaTheme="minorHAnsi" w:cs="Calibri"/>
          <w:lang w:val="en-GB"/>
        </w:rPr>
        <w:t xml:space="preserve">, O.I., </w:t>
      </w:r>
      <w:proofErr w:type="spellStart"/>
      <w:r w:rsidRPr="007F3004">
        <w:rPr>
          <w:rFonts w:ascii="Calibri" w:eastAsiaTheme="minorHAnsi" w:cs="Calibri"/>
          <w:lang w:val="en-GB"/>
        </w:rPr>
        <w:t>Sharavova</w:t>
      </w:r>
      <w:proofErr w:type="spellEnd"/>
      <w:r w:rsidRPr="007F3004">
        <w:rPr>
          <w:rFonts w:ascii="Calibri" w:eastAsiaTheme="minorHAnsi" w:cs="Calibri"/>
          <w:lang w:val="en-GB"/>
        </w:rPr>
        <w:t xml:space="preserve">, M.M., </w:t>
      </w:r>
      <w:proofErr w:type="spellStart"/>
      <w:r w:rsidRPr="007F3004">
        <w:rPr>
          <w:rFonts w:ascii="Calibri" w:eastAsiaTheme="minorHAnsi" w:cs="Calibri"/>
          <w:lang w:val="en-GB"/>
        </w:rPr>
        <w:t>Kuzovkova</w:t>
      </w:r>
      <w:proofErr w:type="spellEnd"/>
      <w:r w:rsidRPr="007F3004">
        <w:rPr>
          <w:rFonts w:ascii="Calibri" w:eastAsiaTheme="minorHAnsi" w:cs="Calibri"/>
          <w:lang w:val="en-GB"/>
        </w:rPr>
        <w:t xml:space="preserve">, T.A., and </w:t>
      </w:r>
      <w:proofErr w:type="spellStart"/>
      <w:r w:rsidRPr="007F3004">
        <w:rPr>
          <w:rFonts w:ascii="Calibri" w:eastAsiaTheme="minorHAnsi" w:cs="Calibri"/>
          <w:lang w:val="en-GB"/>
        </w:rPr>
        <w:t>Zholtikova</w:t>
      </w:r>
      <w:proofErr w:type="spellEnd"/>
      <w:r w:rsidRPr="007F3004">
        <w:rPr>
          <w:rFonts w:ascii="Calibri" w:eastAsiaTheme="minorHAnsi" w:cs="Calibri"/>
          <w:lang w:val="en-GB"/>
        </w:rPr>
        <w:t xml:space="preserve">, P.A. (2025) ‘Digital Transformation and the Evolution of its Socio-Economic Consequences’, in </w:t>
      </w:r>
      <w:r w:rsidRPr="007F3004">
        <w:rPr>
          <w:rFonts w:ascii="Calibri" w:eastAsiaTheme="minorHAnsi" w:cs="Calibri"/>
          <w:i/>
          <w:iCs/>
          <w:lang w:val="en-GB"/>
        </w:rPr>
        <w:t>2025 International Conference on Engineering Management of Communication and Technology (EMCTECH)</w:t>
      </w:r>
      <w:r w:rsidRPr="007F3004">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11D46C4A"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Solanki, J.M. (2026) ‘AI Driven Multi Cloud Strategies for Financial Services: Ensuring High Availability with AWS and Kubernetes’, in </w:t>
      </w:r>
      <w:r w:rsidRPr="007F3004">
        <w:rPr>
          <w:rFonts w:ascii="Calibri" w:eastAsiaTheme="minorHAnsi" w:cs="Calibri"/>
          <w:i/>
          <w:iCs/>
          <w:lang w:val="en-GB"/>
        </w:rPr>
        <w:t>2026 IEEE 5th International Conference on AI in Cybersecurity (ICAIC)</w:t>
      </w:r>
      <w:r w:rsidRPr="007F3004">
        <w:rPr>
          <w:rFonts w:ascii="Calibri" w:eastAsiaTheme="minorHAnsi" w:cs="Calibri"/>
          <w:lang w:val="en-GB"/>
        </w:rPr>
        <w:t>, Presented at the 2026 IEEE 5th International Conference on AI in Cybersecurity (ICAIC), Houston, TX, USA: IEEE, 1–5, available: https://doi.org/10.1109/ICAIC67076.2026.11395684.</w:t>
      </w:r>
    </w:p>
    <w:p w14:paraId="1D4AFEB8"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Tcukanova</w:t>
      </w:r>
      <w:proofErr w:type="spellEnd"/>
      <w:r w:rsidRPr="007F3004">
        <w:rPr>
          <w:rFonts w:ascii="Calibri" w:eastAsiaTheme="minorHAnsi" w:cs="Calibri"/>
          <w:lang w:val="en-GB"/>
        </w:rPr>
        <w:t xml:space="preserve">, O.A., Torosyan, E.K., </w:t>
      </w:r>
      <w:proofErr w:type="spellStart"/>
      <w:r w:rsidRPr="007F3004">
        <w:rPr>
          <w:rFonts w:ascii="Calibri" w:eastAsiaTheme="minorHAnsi" w:cs="Calibri"/>
          <w:lang w:val="en-GB"/>
        </w:rPr>
        <w:t>Kiykova</w:t>
      </w:r>
      <w:proofErr w:type="spellEnd"/>
      <w:r w:rsidRPr="007F3004">
        <w:rPr>
          <w:rFonts w:ascii="Calibri" w:eastAsiaTheme="minorHAnsi" w:cs="Calibri"/>
          <w:lang w:val="en-GB"/>
        </w:rPr>
        <w:t xml:space="preserve">, D.A., and </w:t>
      </w:r>
      <w:proofErr w:type="spellStart"/>
      <w:r w:rsidRPr="007F3004">
        <w:rPr>
          <w:rFonts w:ascii="Calibri" w:eastAsiaTheme="minorHAnsi" w:cs="Calibri"/>
          <w:lang w:val="en-GB"/>
        </w:rPr>
        <w:t>Panteleev</w:t>
      </w:r>
      <w:proofErr w:type="spellEnd"/>
      <w:r w:rsidRPr="007F3004">
        <w:rPr>
          <w:rFonts w:ascii="Calibri" w:eastAsiaTheme="minorHAnsi" w:cs="Calibri"/>
          <w:lang w:val="en-GB"/>
        </w:rPr>
        <w:t xml:space="preserve">, M.V. (2022) ‘Features of Managing the Digital Transformation of Medical Institutions’, in </w:t>
      </w:r>
      <w:r w:rsidRPr="007F3004">
        <w:rPr>
          <w:rFonts w:ascii="Calibri" w:eastAsiaTheme="minorHAnsi" w:cs="Calibri"/>
          <w:i/>
          <w:iCs/>
          <w:lang w:val="en-GB"/>
        </w:rPr>
        <w:t xml:space="preserve">2022 International Conference on Quality </w:t>
      </w:r>
      <w:r w:rsidRPr="007F3004">
        <w:rPr>
          <w:rFonts w:ascii="Calibri" w:eastAsiaTheme="minorHAnsi" w:cs="Calibri"/>
          <w:i/>
          <w:iCs/>
          <w:lang w:val="en-GB"/>
        </w:rPr>
        <w:lastRenderedPageBreak/>
        <w:t>Management, Transport and Information Security, Information Technologies (IT&amp;QM&amp;IS)</w:t>
      </w:r>
      <w:r w:rsidRPr="007F3004">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611A9649"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The Open Group (2022a) </w:t>
      </w:r>
      <w:r w:rsidRPr="007F3004">
        <w:rPr>
          <w:rFonts w:ascii="Calibri" w:eastAsiaTheme="minorHAnsi" w:cs="Calibri"/>
          <w:i/>
          <w:iCs/>
          <w:lang w:val="en-GB"/>
        </w:rPr>
        <w:t>TOGAF® Standard – Introduction and Core Concepts</w:t>
      </w:r>
      <w:r w:rsidRPr="007F3004">
        <w:rPr>
          <w:rFonts w:ascii="Calibri" w:eastAsiaTheme="minorHAnsi" w:cs="Calibri"/>
          <w:lang w:val="en-GB"/>
        </w:rPr>
        <w:t xml:space="preserve">, 10th </w:t>
      </w:r>
      <w:proofErr w:type="spellStart"/>
      <w:r w:rsidRPr="007F3004">
        <w:rPr>
          <w:rFonts w:ascii="Calibri" w:eastAsiaTheme="minorHAnsi" w:cs="Calibri"/>
          <w:lang w:val="en-GB"/>
        </w:rPr>
        <w:t>edn</w:t>
      </w:r>
      <w:proofErr w:type="spellEnd"/>
      <w:r w:rsidRPr="007F3004">
        <w:rPr>
          <w:rFonts w:ascii="Calibri" w:eastAsiaTheme="minorHAnsi" w:cs="Calibri"/>
          <w:lang w:val="en-GB"/>
        </w:rPr>
        <w:t>.</w:t>
      </w:r>
    </w:p>
    <w:p w14:paraId="54044642"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The Open Group (2022b) </w:t>
      </w:r>
      <w:r w:rsidRPr="007F3004">
        <w:rPr>
          <w:rFonts w:ascii="Calibri" w:eastAsiaTheme="minorHAnsi" w:cs="Calibri"/>
          <w:i/>
          <w:iCs/>
          <w:lang w:val="en-GB"/>
        </w:rPr>
        <w:t>TOGAF® Standard — Architecture Development Method</w:t>
      </w:r>
      <w:r w:rsidRPr="007F3004">
        <w:rPr>
          <w:rFonts w:ascii="Calibri" w:eastAsiaTheme="minorHAnsi" w:cs="Calibri"/>
          <w:lang w:val="en-GB"/>
        </w:rPr>
        <w:t xml:space="preserve">, 10th </w:t>
      </w:r>
      <w:proofErr w:type="spellStart"/>
      <w:r w:rsidRPr="007F3004">
        <w:rPr>
          <w:rFonts w:ascii="Calibri" w:eastAsiaTheme="minorHAnsi" w:cs="Calibri"/>
          <w:lang w:val="en-GB"/>
        </w:rPr>
        <w:t>edn</w:t>
      </w:r>
      <w:proofErr w:type="spellEnd"/>
      <w:r w:rsidRPr="007F3004">
        <w:rPr>
          <w:rFonts w:ascii="Calibri" w:eastAsiaTheme="minorHAnsi" w:cs="Calibri"/>
          <w:lang w:val="en-GB"/>
        </w:rPr>
        <w:t>.</w:t>
      </w:r>
    </w:p>
    <w:p w14:paraId="430846B7" w14:textId="77777777" w:rsidR="007F3004" w:rsidRPr="007F3004" w:rsidRDefault="007F3004" w:rsidP="007F3004">
      <w:pPr>
        <w:pStyle w:val="Bibliography"/>
        <w:rPr>
          <w:rFonts w:ascii="Calibri" w:eastAsiaTheme="minorHAnsi" w:cs="Calibri"/>
          <w:lang w:val="en-GB"/>
        </w:rPr>
      </w:pPr>
      <w:proofErr w:type="spellStart"/>
      <w:r w:rsidRPr="007F3004">
        <w:rPr>
          <w:rFonts w:ascii="Calibri" w:eastAsiaTheme="minorHAnsi" w:cs="Calibri"/>
          <w:lang w:val="en-GB"/>
        </w:rPr>
        <w:t>Vural</w:t>
      </w:r>
      <w:proofErr w:type="spellEnd"/>
      <w:r w:rsidRPr="007F3004">
        <w:rPr>
          <w:rFonts w:ascii="Calibri" w:eastAsiaTheme="minorHAnsi" w:cs="Calibri"/>
          <w:lang w:val="en-GB"/>
        </w:rPr>
        <w:t xml:space="preserve">, H. and </w:t>
      </w:r>
      <w:proofErr w:type="spellStart"/>
      <w:r w:rsidRPr="007F3004">
        <w:rPr>
          <w:rFonts w:ascii="Calibri" w:eastAsiaTheme="minorHAnsi" w:cs="Calibri"/>
          <w:lang w:val="en-GB"/>
        </w:rPr>
        <w:t>Koyuncu</w:t>
      </w:r>
      <w:proofErr w:type="spellEnd"/>
      <w:r w:rsidRPr="007F3004">
        <w:rPr>
          <w:rFonts w:ascii="Calibri" w:eastAsiaTheme="minorHAnsi" w:cs="Calibri"/>
          <w:lang w:val="en-GB"/>
        </w:rPr>
        <w:t xml:space="preserve">, M. (2021) ‘Does Domain-Driven Design Lead to Finding the Optimal Modularity of a Microservice?’, </w:t>
      </w:r>
      <w:r w:rsidRPr="007F3004">
        <w:rPr>
          <w:rFonts w:ascii="Calibri" w:eastAsiaTheme="minorHAnsi" w:cs="Calibri"/>
          <w:i/>
          <w:iCs/>
          <w:lang w:val="en-GB"/>
        </w:rPr>
        <w:t>IEEE Access</w:t>
      </w:r>
      <w:r w:rsidRPr="007F3004">
        <w:rPr>
          <w:rFonts w:ascii="Calibri" w:eastAsiaTheme="minorHAnsi" w:cs="Calibri"/>
          <w:lang w:val="en-GB"/>
        </w:rPr>
        <w:t>, 9, 32721–32733, available: https://doi.org/10.1109/ACCESS.2021.3060895.</w:t>
      </w:r>
    </w:p>
    <w:p w14:paraId="2F8DB42C"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Xu, Y. and Villiers, C. (2025) ‘The takeover of Royal Mail: lessons for the new owners from past corporate governance and trust failures’, </w:t>
      </w:r>
      <w:r w:rsidRPr="007F3004">
        <w:rPr>
          <w:rFonts w:ascii="Calibri" w:eastAsiaTheme="minorHAnsi" w:cs="Calibri"/>
          <w:i/>
          <w:iCs/>
          <w:lang w:val="en-GB"/>
        </w:rPr>
        <w:t>Journal of Corporate Law Studies</w:t>
      </w:r>
      <w:r w:rsidRPr="007F3004">
        <w:rPr>
          <w:rFonts w:ascii="Calibri" w:eastAsiaTheme="minorHAnsi" w:cs="Calibri"/>
          <w:lang w:val="en-GB"/>
        </w:rPr>
        <w:t>, 1–40, available: https://doi.org/10.1080/14735970.2025.2553430.</w:t>
      </w:r>
    </w:p>
    <w:p w14:paraId="6A45BFB8" w14:textId="77777777" w:rsidR="007F3004" w:rsidRPr="007F3004" w:rsidRDefault="007F3004" w:rsidP="007F3004">
      <w:pPr>
        <w:pStyle w:val="Bibliography"/>
        <w:rPr>
          <w:rFonts w:ascii="Calibri" w:eastAsiaTheme="minorHAnsi" w:cs="Calibri"/>
          <w:lang w:val="en-GB"/>
        </w:rPr>
      </w:pPr>
      <w:r w:rsidRPr="007F3004">
        <w:rPr>
          <w:rFonts w:ascii="Calibri" w:eastAsiaTheme="minorHAnsi" w:cs="Calibri"/>
          <w:lang w:val="en-GB"/>
        </w:rPr>
        <w:t xml:space="preserve">Zhong, C., Li, S., Huang, H., Liu, X., Chen, Z., Zhang, Y., and Zhang, H. (2024) ‘Domain-Driven Design for Microservices: An Evidence-Based Investigation’, </w:t>
      </w:r>
      <w:r w:rsidRPr="007F3004">
        <w:rPr>
          <w:rFonts w:ascii="Calibri" w:eastAsiaTheme="minorHAnsi" w:cs="Calibri"/>
          <w:i/>
          <w:iCs/>
          <w:lang w:val="en-GB"/>
        </w:rPr>
        <w:t>IEEE Transactions on Software Engineering</w:t>
      </w:r>
      <w:r w:rsidRPr="007F3004">
        <w:rPr>
          <w:rFonts w:ascii="Calibri" w:eastAsiaTheme="minorHAnsi" w:cs="Calibri"/>
          <w:lang w:val="en-GB"/>
        </w:rPr>
        <w:t>, 50(6), 1425–1449, available: https://doi.org/10.1109/TSE.2024.3385835.</w:t>
      </w:r>
    </w:p>
    <w:p w14:paraId="29C2A1BF" w14:textId="10D8D77B" w:rsidR="00D849BA" w:rsidRPr="008E68F6" w:rsidRDefault="00D849BA" w:rsidP="007F3004">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59" w:name="_Toc233796085"/>
      <w:r w:rsidRPr="008E68F6">
        <w:lastRenderedPageBreak/>
        <w:t>Appendices</w:t>
      </w:r>
      <w:bookmarkEnd w:id="59"/>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0" w:name="_Toc233796086"/>
      <w:r w:rsidRPr="008E68F6">
        <w:lastRenderedPageBreak/>
        <w:t xml:space="preserve">Appendix </w:t>
      </w:r>
      <w:r w:rsidR="00917E79" w:rsidRPr="008E68F6">
        <w:t>A</w:t>
      </w:r>
      <w:r w:rsidRPr="008E68F6">
        <w:t>:  Code Listing</w:t>
      </w:r>
      <w:bookmarkEnd w:id="60"/>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F5280B" w14:textId="77777777" w:rsidR="000A738C" w:rsidRDefault="000A738C">
      <w:pPr>
        <w:spacing w:after="0" w:line="240" w:lineRule="auto"/>
      </w:pPr>
      <w:r>
        <w:separator/>
      </w:r>
    </w:p>
  </w:endnote>
  <w:endnote w:type="continuationSeparator" w:id="0">
    <w:p w14:paraId="36D0F41B" w14:textId="77777777" w:rsidR="000A738C" w:rsidRDefault="000A7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0A7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5DDBB4" w14:textId="77777777" w:rsidR="000A738C" w:rsidRDefault="000A738C">
      <w:pPr>
        <w:spacing w:after="0" w:line="240" w:lineRule="auto"/>
      </w:pPr>
      <w:r>
        <w:separator/>
      </w:r>
    </w:p>
  </w:footnote>
  <w:footnote w:type="continuationSeparator" w:id="0">
    <w:p w14:paraId="1DFD5198" w14:textId="77777777" w:rsidR="000A738C" w:rsidRDefault="000A73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B14F14"/>
    <w:multiLevelType w:val="multilevel"/>
    <w:tmpl w:val="0809001F"/>
    <w:numStyleLink w:val="111111"/>
  </w:abstractNum>
  <w:abstractNum w:abstractNumId="26"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0"/>
  </w:num>
  <w:num w:numId="4">
    <w:abstractNumId w:val="24"/>
  </w:num>
  <w:num w:numId="5">
    <w:abstractNumId w:val="21"/>
  </w:num>
  <w:num w:numId="6">
    <w:abstractNumId w:val="19"/>
  </w:num>
  <w:num w:numId="7">
    <w:abstractNumId w:val="28"/>
  </w:num>
  <w:num w:numId="8">
    <w:abstractNumId w:val="8"/>
  </w:num>
  <w:num w:numId="9">
    <w:abstractNumId w:val="4"/>
  </w:num>
  <w:num w:numId="10">
    <w:abstractNumId w:val="27"/>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6"/>
  </w:num>
  <w:num w:numId="18">
    <w:abstractNumId w:val="23"/>
  </w:num>
  <w:num w:numId="19">
    <w:abstractNumId w:val="29"/>
  </w:num>
  <w:num w:numId="20">
    <w:abstractNumId w:val="22"/>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5114A"/>
    <w:rsid w:val="000653C1"/>
    <w:rsid w:val="0007499D"/>
    <w:rsid w:val="00091587"/>
    <w:rsid w:val="000A04A2"/>
    <w:rsid w:val="000A508F"/>
    <w:rsid w:val="000A738C"/>
    <w:rsid w:val="000B5477"/>
    <w:rsid w:val="000C1093"/>
    <w:rsid w:val="000C1F01"/>
    <w:rsid w:val="000C4BCF"/>
    <w:rsid w:val="000C7AE3"/>
    <w:rsid w:val="000D1527"/>
    <w:rsid w:val="000D2C9F"/>
    <w:rsid w:val="000D58CB"/>
    <w:rsid w:val="000E2FB1"/>
    <w:rsid w:val="000E4B89"/>
    <w:rsid w:val="000E5D7E"/>
    <w:rsid w:val="000F1A21"/>
    <w:rsid w:val="000F4DD4"/>
    <w:rsid w:val="000F5453"/>
    <w:rsid w:val="000F705B"/>
    <w:rsid w:val="001146FE"/>
    <w:rsid w:val="00121193"/>
    <w:rsid w:val="001335F4"/>
    <w:rsid w:val="00142668"/>
    <w:rsid w:val="001562DE"/>
    <w:rsid w:val="00161B20"/>
    <w:rsid w:val="001677DE"/>
    <w:rsid w:val="00174696"/>
    <w:rsid w:val="001754EC"/>
    <w:rsid w:val="0017584F"/>
    <w:rsid w:val="00177EF0"/>
    <w:rsid w:val="001838E2"/>
    <w:rsid w:val="00192E25"/>
    <w:rsid w:val="00195F73"/>
    <w:rsid w:val="00196A68"/>
    <w:rsid w:val="001A5E83"/>
    <w:rsid w:val="001A6BF5"/>
    <w:rsid w:val="001D4633"/>
    <w:rsid w:val="00201C8C"/>
    <w:rsid w:val="00202819"/>
    <w:rsid w:val="00220298"/>
    <w:rsid w:val="00226E22"/>
    <w:rsid w:val="002330CE"/>
    <w:rsid w:val="00253C1B"/>
    <w:rsid w:val="00261BA4"/>
    <w:rsid w:val="00262980"/>
    <w:rsid w:val="00274AE3"/>
    <w:rsid w:val="00277E00"/>
    <w:rsid w:val="0029079D"/>
    <w:rsid w:val="002A169D"/>
    <w:rsid w:val="002A29F5"/>
    <w:rsid w:val="002A2DF8"/>
    <w:rsid w:val="002A5824"/>
    <w:rsid w:val="002B0709"/>
    <w:rsid w:val="002C4504"/>
    <w:rsid w:val="002C4F28"/>
    <w:rsid w:val="002D3625"/>
    <w:rsid w:val="002E0A36"/>
    <w:rsid w:val="002E632B"/>
    <w:rsid w:val="00300979"/>
    <w:rsid w:val="0030275E"/>
    <w:rsid w:val="0031154C"/>
    <w:rsid w:val="00320D6B"/>
    <w:rsid w:val="0032134B"/>
    <w:rsid w:val="00334295"/>
    <w:rsid w:val="00351870"/>
    <w:rsid w:val="003661B7"/>
    <w:rsid w:val="00382251"/>
    <w:rsid w:val="00382595"/>
    <w:rsid w:val="00387E86"/>
    <w:rsid w:val="00387FCC"/>
    <w:rsid w:val="0039265E"/>
    <w:rsid w:val="003936E1"/>
    <w:rsid w:val="00394FCA"/>
    <w:rsid w:val="00396500"/>
    <w:rsid w:val="00396B54"/>
    <w:rsid w:val="003A67BF"/>
    <w:rsid w:val="003C3387"/>
    <w:rsid w:val="003D1C46"/>
    <w:rsid w:val="003D600C"/>
    <w:rsid w:val="003D79BE"/>
    <w:rsid w:val="003E2040"/>
    <w:rsid w:val="003E50BB"/>
    <w:rsid w:val="003E54DD"/>
    <w:rsid w:val="003F1597"/>
    <w:rsid w:val="00402446"/>
    <w:rsid w:val="00411ED7"/>
    <w:rsid w:val="00432EF0"/>
    <w:rsid w:val="00440194"/>
    <w:rsid w:val="00440F82"/>
    <w:rsid w:val="00450D4B"/>
    <w:rsid w:val="004656B7"/>
    <w:rsid w:val="0046727C"/>
    <w:rsid w:val="00475FA3"/>
    <w:rsid w:val="00477F2F"/>
    <w:rsid w:val="004827A4"/>
    <w:rsid w:val="00487385"/>
    <w:rsid w:val="00493927"/>
    <w:rsid w:val="004A0BFA"/>
    <w:rsid w:val="004C6411"/>
    <w:rsid w:val="004C691A"/>
    <w:rsid w:val="004C7C7C"/>
    <w:rsid w:val="004D5BF7"/>
    <w:rsid w:val="004D72FF"/>
    <w:rsid w:val="004E3F9B"/>
    <w:rsid w:val="004E7204"/>
    <w:rsid w:val="004F204D"/>
    <w:rsid w:val="004F5137"/>
    <w:rsid w:val="004F5E66"/>
    <w:rsid w:val="004F6FA7"/>
    <w:rsid w:val="00500082"/>
    <w:rsid w:val="00507629"/>
    <w:rsid w:val="0051345B"/>
    <w:rsid w:val="00515391"/>
    <w:rsid w:val="0052612D"/>
    <w:rsid w:val="00526DD9"/>
    <w:rsid w:val="00532F66"/>
    <w:rsid w:val="0054017A"/>
    <w:rsid w:val="00551E48"/>
    <w:rsid w:val="00555DF3"/>
    <w:rsid w:val="005726FA"/>
    <w:rsid w:val="0057360A"/>
    <w:rsid w:val="00574590"/>
    <w:rsid w:val="00576CF1"/>
    <w:rsid w:val="005819F1"/>
    <w:rsid w:val="00582B11"/>
    <w:rsid w:val="00584FE2"/>
    <w:rsid w:val="00596056"/>
    <w:rsid w:val="005A1F48"/>
    <w:rsid w:val="005A694B"/>
    <w:rsid w:val="005B0EE9"/>
    <w:rsid w:val="005B1B2A"/>
    <w:rsid w:val="005B7D4E"/>
    <w:rsid w:val="005C0F3A"/>
    <w:rsid w:val="005E470D"/>
    <w:rsid w:val="005F25E6"/>
    <w:rsid w:val="005F41E1"/>
    <w:rsid w:val="005F7AA0"/>
    <w:rsid w:val="00634A9E"/>
    <w:rsid w:val="0065055F"/>
    <w:rsid w:val="006565C2"/>
    <w:rsid w:val="00661D17"/>
    <w:rsid w:val="0066622B"/>
    <w:rsid w:val="00673648"/>
    <w:rsid w:val="006769DA"/>
    <w:rsid w:val="006879D3"/>
    <w:rsid w:val="00696FB8"/>
    <w:rsid w:val="006B0526"/>
    <w:rsid w:val="006D6A0E"/>
    <w:rsid w:val="006E4CDE"/>
    <w:rsid w:val="006F2E37"/>
    <w:rsid w:val="00700E24"/>
    <w:rsid w:val="007034E8"/>
    <w:rsid w:val="007056E1"/>
    <w:rsid w:val="00705757"/>
    <w:rsid w:val="00705E2C"/>
    <w:rsid w:val="00707095"/>
    <w:rsid w:val="00707B59"/>
    <w:rsid w:val="007139A5"/>
    <w:rsid w:val="00717FF7"/>
    <w:rsid w:val="007247B7"/>
    <w:rsid w:val="00730649"/>
    <w:rsid w:val="00734AFD"/>
    <w:rsid w:val="00741666"/>
    <w:rsid w:val="007572C7"/>
    <w:rsid w:val="00760BAB"/>
    <w:rsid w:val="00771527"/>
    <w:rsid w:val="007767DF"/>
    <w:rsid w:val="007815B3"/>
    <w:rsid w:val="0078715A"/>
    <w:rsid w:val="007B1D15"/>
    <w:rsid w:val="007C171A"/>
    <w:rsid w:val="007C26CA"/>
    <w:rsid w:val="007C31FE"/>
    <w:rsid w:val="007D3584"/>
    <w:rsid w:val="007E6C38"/>
    <w:rsid w:val="007F3004"/>
    <w:rsid w:val="007F3C7B"/>
    <w:rsid w:val="007F78D6"/>
    <w:rsid w:val="00801CEF"/>
    <w:rsid w:val="0080273D"/>
    <w:rsid w:val="0081191F"/>
    <w:rsid w:val="0081363A"/>
    <w:rsid w:val="00835534"/>
    <w:rsid w:val="0083675A"/>
    <w:rsid w:val="00855EA7"/>
    <w:rsid w:val="0085757D"/>
    <w:rsid w:val="0086100F"/>
    <w:rsid w:val="00863140"/>
    <w:rsid w:val="00863D61"/>
    <w:rsid w:val="008653F7"/>
    <w:rsid w:val="00873CCB"/>
    <w:rsid w:val="0089746A"/>
    <w:rsid w:val="008A4365"/>
    <w:rsid w:val="008A4A49"/>
    <w:rsid w:val="008B4476"/>
    <w:rsid w:val="008B7C81"/>
    <w:rsid w:val="008C0F6B"/>
    <w:rsid w:val="008C1231"/>
    <w:rsid w:val="008C3A24"/>
    <w:rsid w:val="008C4C3D"/>
    <w:rsid w:val="008C6B91"/>
    <w:rsid w:val="008D1D0E"/>
    <w:rsid w:val="008D27F0"/>
    <w:rsid w:val="008D7200"/>
    <w:rsid w:val="008E1ACA"/>
    <w:rsid w:val="008E2F14"/>
    <w:rsid w:val="008E68F6"/>
    <w:rsid w:val="008F0971"/>
    <w:rsid w:val="008F380A"/>
    <w:rsid w:val="008F7B12"/>
    <w:rsid w:val="00901CD0"/>
    <w:rsid w:val="009047D2"/>
    <w:rsid w:val="0090556F"/>
    <w:rsid w:val="00913B91"/>
    <w:rsid w:val="00917E79"/>
    <w:rsid w:val="0092104C"/>
    <w:rsid w:val="00927677"/>
    <w:rsid w:val="009277EB"/>
    <w:rsid w:val="00934336"/>
    <w:rsid w:val="0093739A"/>
    <w:rsid w:val="00942840"/>
    <w:rsid w:val="00942F99"/>
    <w:rsid w:val="009468A2"/>
    <w:rsid w:val="00961133"/>
    <w:rsid w:val="00964B5E"/>
    <w:rsid w:val="0096580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E58B2"/>
    <w:rsid w:val="009F061B"/>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B4418"/>
    <w:rsid w:val="00AB4FBF"/>
    <w:rsid w:val="00AB5E06"/>
    <w:rsid w:val="00AC58E2"/>
    <w:rsid w:val="00AD53B9"/>
    <w:rsid w:val="00AD6DBB"/>
    <w:rsid w:val="00AE08F8"/>
    <w:rsid w:val="00AE2458"/>
    <w:rsid w:val="00AE2771"/>
    <w:rsid w:val="00AE49B0"/>
    <w:rsid w:val="00AE49FA"/>
    <w:rsid w:val="00AE5383"/>
    <w:rsid w:val="00AE7626"/>
    <w:rsid w:val="00B04816"/>
    <w:rsid w:val="00B0582D"/>
    <w:rsid w:val="00B11FCB"/>
    <w:rsid w:val="00B14F02"/>
    <w:rsid w:val="00B2269B"/>
    <w:rsid w:val="00B24A0A"/>
    <w:rsid w:val="00B3051E"/>
    <w:rsid w:val="00B32679"/>
    <w:rsid w:val="00B37FAE"/>
    <w:rsid w:val="00B40755"/>
    <w:rsid w:val="00B457B0"/>
    <w:rsid w:val="00B51835"/>
    <w:rsid w:val="00B53132"/>
    <w:rsid w:val="00B5677B"/>
    <w:rsid w:val="00B64704"/>
    <w:rsid w:val="00B65949"/>
    <w:rsid w:val="00B77D21"/>
    <w:rsid w:val="00B8268B"/>
    <w:rsid w:val="00B8650D"/>
    <w:rsid w:val="00B9304E"/>
    <w:rsid w:val="00BA4DF7"/>
    <w:rsid w:val="00BC2DC7"/>
    <w:rsid w:val="00BC4372"/>
    <w:rsid w:val="00BC6665"/>
    <w:rsid w:val="00BC733D"/>
    <w:rsid w:val="00BC78E7"/>
    <w:rsid w:val="00BF5227"/>
    <w:rsid w:val="00C00B15"/>
    <w:rsid w:val="00C03328"/>
    <w:rsid w:val="00C06891"/>
    <w:rsid w:val="00C15B58"/>
    <w:rsid w:val="00C15D19"/>
    <w:rsid w:val="00C2235C"/>
    <w:rsid w:val="00C2256E"/>
    <w:rsid w:val="00C3483A"/>
    <w:rsid w:val="00C42EB1"/>
    <w:rsid w:val="00C507B6"/>
    <w:rsid w:val="00C61E03"/>
    <w:rsid w:val="00C76402"/>
    <w:rsid w:val="00CA108C"/>
    <w:rsid w:val="00CA44A4"/>
    <w:rsid w:val="00CD0789"/>
    <w:rsid w:val="00CD5B30"/>
    <w:rsid w:val="00CD6DA3"/>
    <w:rsid w:val="00CE7B6B"/>
    <w:rsid w:val="00CF3FE4"/>
    <w:rsid w:val="00CF6257"/>
    <w:rsid w:val="00D045F9"/>
    <w:rsid w:val="00D04ED9"/>
    <w:rsid w:val="00D213EE"/>
    <w:rsid w:val="00D35DDF"/>
    <w:rsid w:val="00D404C5"/>
    <w:rsid w:val="00D51AED"/>
    <w:rsid w:val="00D532D7"/>
    <w:rsid w:val="00D533EF"/>
    <w:rsid w:val="00D5388F"/>
    <w:rsid w:val="00D64916"/>
    <w:rsid w:val="00D754DD"/>
    <w:rsid w:val="00D849BA"/>
    <w:rsid w:val="00DA2D56"/>
    <w:rsid w:val="00DC1B20"/>
    <w:rsid w:val="00DC4469"/>
    <w:rsid w:val="00DD3BB8"/>
    <w:rsid w:val="00DD5B3F"/>
    <w:rsid w:val="00DE133F"/>
    <w:rsid w:val="00DF61DF"/>
    <w:rsid w:val="00E01A94"/>
    <w:rsid w:val="00E02448"/>
    <w:rsid w:val="00E027D8"/>
    <w:rsid w:val="00E0737D"/>
    <w:rsid w:val="00E1016D"/>
    <w:rsid w:val="00E272CC"/>
    <w:rsid w:val="00E430F0"/>
    <w:rsid w:val="00E50D2F"/>
    <w:rsid w:val="00E531E0"/>
    <w:rsid w:val="00E8200C"/>
    <w:rsid w:val="00E83183"/>
    <w:rsid w:val="00E9015F"/>
    <w:rsid w:val="00E901E0"/>
    <w:rsid w:val="00E90663"/>
    <w:rsid w:val="00E97260"/>
    <w:rsid w:val="00EB1DD2"/>
    <w:rsid w:val="00EB632F"/>
    <w:rsid w:val="00EC0E75"/>
    <w:rsid w:val="00EC6332"/>
    <w:rsid w:val="00EC6D7F"/>
    <w:rsid w:val="00EE4C5B"/>
    <w:rsid w:val="00EE5186"/>
    <w:rsid w:val="00EE69C3"/>
    <w:rsid w:val="00EF3A10"/>
    <w:rsid w:val="00EF3DCF"/>
    <w:rsid w:val="00F00CE1"/>
    <w:rsid w:val="00F0345E"/>
    <w:rsid w:val="00F05DD6"/>
    <w:rsid w:val="00F1009A"/>
    <w:rsid w:val="00F1511E"/>
    <w:rsid w:val="00F32B84"/>
    <w:rsid w:val="00F37793"/>
    <w:rsid w:val="00F41BC0"/>
    <w:rsid w:val="00F57544"/>
    <w:rsid w:val="00F578E1"/>
    <w:rsid w:val="00F77460"/>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9DA"/>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Normal"/>
    <w:qFormat/>
    <w:rsid w:val="00A806B5"/>
    <w:pPr>
      <w:numPr>
        <w:numId w:val="21"/>
      </w:numPr>
    </w:pPr>
  </w:style>
  <w:style w:type="paragraph" w:customStyle="1" w:styleId="Disslevel3">
    <w:name w:val="Diss level 3"/>
    <w:basedOn w:val="Normal"/>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6671</TotalTime>
  <Pages>37</Pages>
  <Words>22441</Words>
  <Characters>127917</Characters>
  <Application>Microsoft Office Word</Application>
  <DocSecurity>0</DocSecurity>
  <Lines>1065</Lines>
  <Paragraphs>300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150058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264</cp:revision>
  <dcterms:created xsi:type="dcterms:W3CDTF">2026-05-31T08:55:00Z</dcterms:created>
  <dcterms:modified xsi:type="dcterms:W3CDTF">2026-07-13T12:52:00Z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id="Tq0Sg34c"/&gt;&lt;style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