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0A2B0C4" w14:textId="195D74C9"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7F0EEC">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7F0EEC">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7F0EEC">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7F0EEC">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7F0EEC">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7F0EEC">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7F0EEC">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7F0EEC">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7F0EEC">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7F0EEC">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7F0EEC">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7F0EEC">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7F0EEC">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7F0EEC">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7F0EEC">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7F0EEC">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7F0EEC">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7F0EEC">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7F0EEC">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7F0EEC">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7F0EEC">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7F0EEC">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7F0EEC">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7F0EEC">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7F0EEC">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7F0EEC">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7F0EEC">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7F0EEC">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7F0EEC">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7F0EEC">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7F0EEC">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7F0EEC">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7F0EEC">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7F0EEC">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7F0EEC">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7F0EEC">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7F0EEC">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7F0EEC">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7F0EEC">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7F0EEC">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7F0EEC">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7F0EEC">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7F0EEC">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7F0EEC">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7F0EEC">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7F0EEC">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7F0EEC">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7F0EEC">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7F0EEC">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7F0EEC">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7F0EEC">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7F0EEC">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7F0EEC">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7F0EEC">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7F0EEC">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fldSimple w:instr=" STYLEREF 3 \s ">
        <w:r w:rsidR="00866111">
          <w:rPr>
            <w:noProof/>
          </w:rPr>
          <w:t>1.3.2</w:t>
        </w:r>
      </w:fldSimple>
      <w:r>
        <w:noBreakHyphen/>
      </w:r>
      <w:fldSimple w:instr=" SEQ Figure \* ARABIC \s 3 ">
        <w:r w:rsidR="00866111">
          <w:rPr>
            <w:noProof/>
          </w:rPr>
          <w:t>1</w:t>
        </w:r>
      </w:fldSimple>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37EEBE38" w14:textId="1016DB27" w:rsidR="00EF2C31" w:rsidRDefault="00DA0E43"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sidR="009148D4">
        <w:rPr>
          <w:rFonts w:asciiTheme="minorHAnsi" w:eastAsiaTheme="minorEastAsia" w:hAnsiTheme="minorHAnsi" w:cstheme="minorBidi"/>
          <w:color w:val="auto"/>
        </w:rPr>
        <w:t>.</w:t>
      </w:r>
      <w:r w:rsidR="00AF1B3B">
        <w:rPr>
          <w:rFonts w:asciiTheme="minorHAnsi" w:eastAsiaTheme="minorEastAsia" w:hAnsiTheme="minorHAnsi" w:cstheme="minorBidi"/>
          <w:color w:val="auto"/>
        </w:rPr>
        <w:t xml:space="preserve"> </w:t>
      </w:r>
      <w:r w:rsidR="009148D4">
        <w:rPr>
          <w:rFonts w:asciiTheme="minorHAnsi" w:eastAsiaTheme="minorEastAsia" w:hAnsiTheme="minorHAnsi" w:cstheme="minorBidi"/>
          <w:color w:val="auto"/>
        </w:rPr>
        <w:t>These</w:t>
      </w:r>
      <w:r w:rsidR="00AF1B3B">
        <w:rPr>
          <w:rFonts w:asciiTheme="minorHAnsi" w:eastAsiaTheme="minorEastAsia" w:hAnsiTheme="minorHAnsi" w:cstheme="minorBidi"/>
          <w:color w:val="auto"/>
        </w:rPr>
        <w:t xml:space="preserve"> follow a</w:t>
      </w:r>
      <w:r w:rsidR="009148D4">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traditional</w:t>
      </w:r>
      <w:r w:rsidR="00AF1B3B">
        <w:rPr>
          <w:rFonts w:asciiTheme="minorHAnsi" w:eastAsiaTheme="minorEastAsia" w:hAnsiTheme="minorHAnsi" w:cstheme="minorBidi"/>
          <w:color w:val="auto"/>
        </w:rPr>
        <w:t xml:space="preserve"> request</w:t>
      </w:r>
      <w:r w:rsidR="005D6BF9">
        <w:rPr>
          <w:rFonts w:asciiTheme="minorHAnsi" w:eastAsiaTheme="minorEastAsia" w:hAnsiTheme="minorHAnsi" w:cstheme="minorBidi"/>
          <w:color w:val="auto"/>
        </w:rPr>
        <w:t>-</w:t>
      </w:r>
      <w:r w:rsidR="00AF1B3B">
        <w:rPr>
          <w:rFonts w:asciiTheme="minorHAnsi" w:eastAsiaTheme="minorEastAsia" w:hAnsiTheme="minorHAnsi" w:cstheme="minorBidi"/>
          <w:color w:val="auto"/>
        </w:rPr>
        <w:t>response architecture</w:t>
      </w:r>
      <w:r w:rsidR="00A213BA">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and are typically implemented synchronously which force the sender and receiver to wait upon one another</w:t>
      </w:r>
      <w:r w:rsidR="00646EB7">
        <w:rPr>
          <w:rFonts w:asciiTheme="minorHAnsi" w:eastAsiaTheme="minorEastAsia" w:hAnsiTheme="minorHAnsi" w:cstheme="minorBidi"/>
          <w:color w:val="auto"/>
        </w:rPr>
        <w:t xml:space="preserve"> </w:t>
      </w:r>
      <w:r w:rsidR="00646EB7">
        <w:rPr>
          <w:rFonts w:asciiTheme="minorHAnsi" w:eastAsiaTheme="minorEastAsia" w:hAnsiTheme="minorHAnsi" w:cstheme="minorBidi"/>
          <w:color w:val="auto"/>
        </w:rPr>
        <w:fldChar w:fldCharType="begin"/>
      </w:r>
      <w:r w:rsidR="00646EB7">
        <w:rPr>
          <w:rFonts w:asciiTheme="minorHAnsi" w:eastAsiaTheme="minorEastAsia" w:hAnsiTheme="minorHAnsi" w:cstheme="minorBidi"/>
          <w:color w:val="auto"/>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Pr>
          <w:rFonts w:asciiTheme="minorHAnsi" w:eastAsiaTheme="minorEastAsia" w:hAnsiTheme="minorHAnsi" w:cstheme="minorBidi"/>
          <w:color w:val="auto"/>
        </w:rPr>
        <w:fldChar w:fldCharType="separate"/>
      </w:r>
      <w:r w:rsidR="00646EB7">
        <w:rPr>
          <w:rFonts w:asciiTheme="minorHAnsi" w:eastAsiaTheme="minorEastAsia" w:hAnsiTheme="minorHAnsi" w:cstheme="minorBidi"/>
          <w:color w:val="auto"/>
        </w:rPr>
        <w:t>(Choudhary 2025)</w:t>
      </w:r>
      <w:r w:rsidR="00646EB7">
        <w:rPr>
          <w:rFonts w:asciiTheme="minorHAnsi" w:eastAsiaTheme="minorEastAsia" w:hAnsiTheme="minorHAnsi" w:cstheme="minorBidi"/>
          <w:color w:val="auto"/>
        </w:rPr>
        <w:fldChar w:fldCharType="end"/>
      </w:r>
      <w:r w:rsidR="00A213BA">
        <w:rPr>
          <w:rFonts w:asciiTheme="minorHAnsi" w:eastAsiaTheme="minorEastAsia" w:hAnsiTheme="minorHAnsi" w:cstheme="minorBidi"/>
          <w:color w:val="auto"/>
        </w:rPr>
        <w:t>.</w:t>
      </w:r>
      <w:r w:rsidR="009148D4">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 xml:space="preserve">For large scale </w:t>
      </w:r>
      <w:r w:rsidR="002E40B8">
        <w:rPr>
          <w:rFonts w:asciiTheme="minorHAnsi" w:eastAsiaTheme="minorEastAsia" w:hAnsiTheme="minorHAnsi" w:cstheme="minorBidi"/>
          <w:color w:val="auto"/>
        </w:rPr>
        <w:t>domain driven enterprises there is a need for a more scalable</w:t>
      </w:r>
      <w:r w:rsidR="00B17053">
        <w:rPr>
          <w:rFonts w:asciiTheme="minorHAnsi" w:eastAsiaTheme="minorEastAsia" w:hAnsiTheme="minorHAnsi" w:cstheme="minorBidi"/>
          <w:color w:val="auto"/>
        </w:rPr>
        <w:t xml:space="preserve"> </w:t>
      </w:r>
      <w:r w:rsidR="00B91A80">
        <w:rPr>
          <w:rFonts w:asciiTheme="minorHAnsi" w:eastAsiaTheme="minorEastAsia" w:hAnsiTheme="minorHAnsi" w:cstheme="minorBidi"/>
          <w:color w:val="auto"/>
        </w:rPr>
        <w:t xml:space="preserve">option where the producer and consumer are not directly coupled </w:t>
      </w:r>
      <w:r w:rsidR="00DF66F5">
        <w:rPr>
          <w:rFonts w:asciiTheme="minorHAnsi" w:eastAsiaTheme="minorEastAsia" w:hAnsiTheme="minorHAnsi" w:cstheme="minorBidi"/>
          <w:color w:val="auto"/>
        </w:rPr>
        <w:fldChar w:fldCharType="begin"/>
      </w:r>
      <w:r w:rsidR="00DF66F5">
        <w:rPr>
          <w:rFonts w:asciiTheme="minorHAnsi" w:eastAsiaTheme="minorEastAsia" w:hAnsiTheme="minorHAnsi" w:cstheme="minorBidi"/>
          <w:color w:val="auto"/>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Pr>
          <w:rFonts w:asciiTheme="minorHAnsi" w:eastAsiaTheme="minorEastAsia" w:hAnsiTheme="minorHAnsi" w:cstheme="minorBidi"/>
          <w:color w:val="auto"/>
        </w:rPr>
        <w:fldChar w:fldCharType="separate"/>
      </w:r>
      <w:r w:rsidR="00DF66F5" w:rsidRPr="00F03B8F">
        <w:rPr>
          <w:rFonts w:asciiTheme="minorHAnsi" w:eastAsiaTheme="minorEastAsia" w:hAnsiTheme="minorHAnsi" w:cstheme="minorBidi"/>
          <w:color w:val="auto"/>
        </w:rPr>
        <w:t>(</w:t>
      </w:r>
      <w:proofErr w:type="spellStart"/>
      <w:r w:rsidR="00DF66F5" w:rsidRPr="00F03B8F">
        <w:rPr>
          <w:rFonts w:asciiTheme="minorHAnsi" w:eastAsiaTheme="minorEastAsia" w:hAnsiTheme="minorHAnsi" w:cstheme="minorBidi"/>
          <w:color w:val="auto"/>
        </w:rPr>
        <w:t>Laigner</w:t>
      </w:r>
      <w:proofErr w:type="spellEnd"/>
      <w:r w:rsidR="00DF66F5" w:rsidRPr="00F03B8F">
        <w:rPr>
          <w:rFonts w:asciiTheme="minorHAnsi" w:eastAsiaTheme="minorEastAsia" w:hAnsiTheme="minorHAnsi" w:cstheme="minorBidi"/>
          <w:color w:val="auto"/>
        </w:rPr>
        <w:t xml:space="preserve"> et al. 2024)</w:t>
      </w:r>
      <w:r w:rsidR="00DF66F5">
        <w:rPr>
          <w:rFonts w:asciiTheme="minorHAnsi" w:eastAsiaTheme="minorEastAsia" w:hAnsiTheme="minorHAnsi" w:cstheme="minorBidi"/>
          <w:color w:val="auto"/>
        </w:rPr>
        <w:fldChar w:fldCharType="end"/>
      </w:r>
      <w:r w:rsidR="002E40B8">
        <w:rPr>
          <w:rFonts w:asciiTheme="minorHAnsi" w:eastAsiaTheme="minorEastAsia" w:hAnsiTheme="minorHAnsi" w:cstheme="minorBidi"/>
          <w:color w:val="auto"/>
        </w:rPr>
        <w:t>.</w:t>
      </w:r>
      <w:r w:rsidR="0081706E">
        <w:rPr>
          <w:rFonts w:asciiTheme="minorHAnsi" w:eastAsiaTheme="minorEastAsia" w:hAnsiTheme="minorHAnsi" w:cstheme="minorBidi"/>
          <w:color w:val="auto"/>
        </w:rPr>
        <w:t xml:space="preserve"> Such an approach should positively influence the future development of the application as well reduce the spread of failures and increase the stability of the applications components </w:t>
      </w:r>
      <w:r w:rsidR="0081706E">
        <w:rPr>
          <w:rFonts w:asciiTheme="minorHAnsi" w:eastAsiaTheme="minorEastAsia" w:hAnsiTheme="minorHAnsi" w:cstheme="minorBidi"/>
          <w:color w:val="auto"/>
        </w:rPr>
        <w:fldChar w:fldCharType="begin"/>
      </w:r>
      <w:r w:rsidR="0081706E">
        <w:rPr>
          <w:rFonts w:asciiTheme="minorHAnsi" w:eastAsiaTheme="minorEastAsia" w:hAnsiTheme="minorHAnsi" w:cstheme="minorBidi"/>
          <w:color w:val="auto"/>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Pr>
          <w:rFonts w:asciiTheme="minorHAnsi" w:eastAsiaTheme="minorEastAsia" w:hAnsiTheme="minorHAnsi" w:cstheme="minorBidi"/>
          <w:color w:val="auto"/>
        </w:rPr>
        <w:fldChar w:fldCharType="separate"/>
      </w:r>
      <w:r w:rsidR="0081706E" w:rsidRPr="00F03B8F">
        <w:rPr>
          <w:rFonts w:asciiTheme="minorHAnsi" w:eastAsiaTheme="minorEastAsia" w:hAnsiTheme="minorHAnsi" w:cstheme="minorBidi"/>
          <w:color w:val="auto"/>
        </w:rPr>
        <w:t>(</w:t>
      </w:r>
      <w:proofErr w:type="spellStart"/>
      <w:r w:rsidR="0081706E" w:rsidRPr="00F03B8F">
        <w:rPr>
          <w:rFonts w:asciiTheme="minorHAnsi" w:eastAsiaTheme="minorEastAsia" w:hAnsiTheme="minorHAnsi" w:cstheme="minorBidi"/>
          <w:color w:val="auto"/>
        </w:rPr>
        <w:t>Laigner</w:t>
      </w:r>
      <w:proofErr w:type="spellEnd"/>
      <w:r w:rsidR="0081706E" w:rsidRPr="00F03B8F">
        <w:rPr>
          <w:rFonts w:asciiTheme="minorHAnsi" w:eastAsiaTheme="minorEastAsia" w:hAnsiTheme="minorHAnsi" w:cstheme="minorBidi"/>
          <w:color w:val="auto"/>
        </w:rPr>
        <w:t xml:space="preserve"> et al. 2024)</w:t>
      </w:r>
      <w:r w:rsidR="0081706E">
        <w:rPr>
          <w:rFonts w:asciiTheme="minorHAnsi" w:eastAsiaTheme="minorEastAsia" w:hAnsiTheme="minorHAnsi" w:cstheme="minorBidi"/>
          <w:color w:val="auto"/>
        </w:rPr>
        <w:fldChar w:fldCharType="end"/>
      </w:r>
      <w:r w:rsidR="0081706E">
        <w:rPr>
          <w:rFonts w:asciiTheme="minorHAnsi" w:eastAsiaTheme="minorEastAsia" w:hAnsiTheme="minorHAnsi" w:cstheme="minorBidi"/>
          <w:color w:val="auto"/>
        </w:rPr>
        <w:t>.</w:t>
      </w:r>
    </w:p>
    <w:p w14:paraId="3B146BB6" w14:textId="77777777" w:rsidR="00EF2C31" w:rsidRDefault="00EF2C31" w:rsidP="00F03B8F">
      <w:pPr>
        <w:pStyle w:val="Disslevel3"/>
        <w:numPr>
          <w:ilvl w:val="0"/>
          <w:numId w:val="0"/>
        </w:numPr>
        <w:spacing w:line="360" w:lineRule="auto"/>
        <w:rPr>
          <w:rFonts w:asciiTheme="minorHAnsi" w:eastAsiaTheme="minorEastAsia" w:hAnsiTheme="minorHAnsi" w:cstheme="minorBidi"/>
          <w:color w:val="auto"/>
        </w:rPr>
      </w:pPr>
    </w:p>
    <w:p w14:paraId="365E2BA4" w14:textId="75A71CB2" w:rsidR="00AC49B4" w:rsidRDefault="002E40B8"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Asynchronous</w:t>
      </w:r>
      <w:r w:rsidR="00D14D1D">
        <w:rPr>
          <w:rFonts w:asciiTheme="minorHAnsi" w:eastAsiaTheme="minorEastAsia" w:hAnsiTheme="minorHAnsi" w:cstheme="minorBidi"/>
          <w:color w:val="auto"/>
        </w:rPr>
        <w:t xml:space="preserve"> methods like Event Streaming </w:t>
      </w:r>
      <w:r w:rsidR="00B17053">
        <w:rPr>
          <w:rFonts w:asciiTheme="minorHAnsi" w:eastAsiaTheme="minorEastAsia" w:hAnsiTheme="minorHAnsi" w:cstheme="minorBidi"/>
          <w:color w:val="auto"/>
        </w:rPr>
        <w:t xml:space="preserve">provide the </w:t>
      </w:r>
      <w:r w:rsidR="005D7338">
        <w:rPr>
          <w:rFonts w:asciiTheme="minorHAnsi" w:eastAsiaTheme="minorEastAsia" w:hAnsiTheme="minorHAnsi" w:cstheme="minorBidi"/>
          <w:color w:val="auto"/>
        </w:rPr>
        <w:t>foundation</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w:t>
      </w:r>
      <w:r w:rsidR="001217D2">
        <w:rPr>
          <w:rFonts w:asciiTheme="minorHAnsi" w:eastAsiaTheme="minorEastAsia" w:hAnsiTheme="minorHAnsi" w:cstheme="minorBidi"/>
          <w:color w:val="auto"/>
        </w:rPr>
        <w:t xml:space="preserve"> into</w:t>
      </w:r>
      <w:r w:rsidR="009425A7">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t>p</w:t>
      </w:r>
      <w:r w:rsidR="00DD4F01">
        <w:rPr>
          <w:rFonts w:asciiTheme="minorHAnsi" w:eastAsiaTheme="minorEastAsia" w:hAnsiTheme="minorHAnsi" w:cstheme="minorBidi"/>
          <w:color w:val="auto"/>
        </w:rPr>
        <w:t>a</w:t>
      </w:r>
      <w:r w:rsidR="001217D2">
        <w:rPr>
          <w:rFonts w:asciiTheme="minorHAnsi" w:eastAsiaTheme="minorEastAsia" w:hAnsiTheme="minorHAnsi" w:cstheme="minorBidi"/>
          <w:color w:val="auto"/>
        </w:rPr>
        <w:t>rt</w:t>
      </w:r>
      <w:r w:rsidR="00DD4F01">
        <w:rPr>
          <w:rFonts w:asciiTheme="minorHAnsi" w:eastAsiaTheme="minorEastAsia" w:hAnsiTheme="minorHAnsi" w:cstheme="minorBidi"/>
          <w:color w:val="auto"/>
        </w:rPr>
        <w:t>itioned</w:t>
      </w:r>
      <w:r w:rsidR="001217D2">
        <w:rPr>
          <w:rFonts w:asciiTheme="minorHAnsi" w:eastAsiaTheme="minorEastAsia" w:hAnsiTheme="minorHAnsi" w:cstheme="minorBidi"/>
          <w:color w:val="auto"/>
        </w:rPr>
        <w:t xml:space="preserve"> logs called</w:t>
      </w:r>
      <w:r w:rsidR="009425A7">
        <w:rPr>
          <w:rFonts w:asciiTheme="minorHAnsi" w:eastAsiaTheme="minorEastAsia" w:hAnsiTheme="minorHAnsi" w:cstheme="minorBidi"/>
          <w:color w:val="auto"/>
        </w:rPr>
        <w:t xml:space="preserve"> topics</w:t>
      </w:r>
      <w:r w:rsidR="001217D2">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fldChar w:fldCharType="begin"/>
      </w:r>
      <w:r w:rsidR="001217D2">
        <w:rPr>
          <w:rFonts w:asciiTheme="minorHAnsi" w:eastAsiaTheme="minorEastAsia" w:hAnsiTheme="minorHAnsi" w:cstheme="minorBidi"/>
          <w:color w:val="auto"/>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Pr>
          <w:rFonts w:asciiTheme="minorHAnsi" w:eastAsiaTheme="minorEastAsia" w:hAnsiTheme="minorHAnsi" w:cstheme="minorBidi"/>
          <w:color w:val="auto"/>
        </w:rPr>
        <w:fldChar w:fldCharType="separate"/>
      </w:r>
      <w:r w:rsidR="001217D2">
        <w:rPr>
          <w:rFonts w:asciiTheme="minorHAnsi" w:eastAsiaTheme="minorEastAsia" w:hAnsiTheme="minorHAnsi" w:cstheme="minorBidi"/>
          <w:color w:val="auto"/>
        </w:rPr>
        <w:t>(Choudhary 2025)</w:t>
      </w:r>
      <w:r w:rsidR="001217D2">
        <w:rPr>
          <w:rFonts w:asciiTheme="minorHAnsi" w:eastAsiaTheme="minorEastAsia" w:hAnsiTheme="minorHAnsi" w:cstheme="minorBidi"/>
          <w:color w:val="auto"/>
        </w:rPr>
        <w:fldChar w:fldCharType="end"/>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communicate 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w:t>
      </w:r>
      <w:r w:rsidR="002B0DE0">
        <w:rPr>
          <w:rFonts w:asciiTheme="minorHAnsi" w:eastAsiaTheme="minorEastAsia" w:hAnsiTheme="minorHAnsi" w:cstheme="minorBidi"/>
          <w:color w:val="auto"/>
        </w:rPr>
        <w:t xml:space="preserve">precise </w:t>
      </w:r>
      <w:r w:rsidR="00EB51EC">
        <w:rPr>
          <w:rFonts w:asciiTheme="minorHAnsi" w:eastAsiaTheme="minorEastAsia" w:hAnsiTheme="minorHAnsi" w:cstheme="minorBidi"/>
          <w:color w:val="auto"/>
        </w:rPr>
        <w:t xml:space="preserve">timestamp </w:t>
      </w:r>
      <w:r w:rsidR="00BF4CDC">
        <w:rPr>
          <w:rFonts w:asciiTheme="minorHAnsi" w:eastAsiaTheme="minorEastAsia" w:hAnsiTheme="minorHAnsi" w:cstheme="minorBidi"/>
          <w:color w:val="auto"/>
        </w:rPr>
        <w:t>that</w:t>
      </w:r>
      <w:r w:rsidR="00EB51EC">
        <w:rPr>
          <w:rFonts w:asciiTheme="minorHAnsi" w:eastAsiaTheme="minorEastAsia" w:hAnsiTheme="minorHAnsi" w:cstheme="minorBidi"/>
          <w:color w:val="auto"/>
        </w:rPr>
        <w:t xml:space="preserve"> </w:t>
      </w:r>
      <w:r w:rsidR="00CC4CE2">
        <w:rPr>
          <w:rFonts w:asciiTheme="minorHAnsi" w:eastAsiaTheme="minorEastAsia" w:hAnsiTheme="minorHAnsi" w:cstheme="minorBidi"/>
          <w:color w:val="auto"/>
        </w:rPr>
        <w:t>record</w:t>
      </w:r>
      <w:r w:rsidR="00BF4CDC">
        <w:rPr>
          <w:rFonts w:asciiTheme="minorHAnsi" w:eastAsiaTheme="minorEastAsia" w:hAnsiTheme="minorHAnsi" w:cstheme="minorBidi"/>
          <w:color w:val="auto"/>
        </w:rPr>
        <w:t>s</w:t>
      </w:r>
      <w:r w:rsidR="00EB51EC">
        <w:rPr>
          <w:rFonts w:asciiTheme="minorHAnsi" w:eastAsiaTheme="minorEastAsia" w:hAnsiTheme="minorHAnsi" w:cstheme="minorBidi"/>
          <w:color w:val="auto"/>
        </w:rPr>
        <w:t xml:space="preserv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independent and </w:t>
      </w:r>
      <w:r w:rsidR="00B17053">
        <w:rPr>
          <w:rFonts w:asciiTheme="minorHAnsi" w:eastAsiaTheme="minorEastAsia" w:hAnsiTheme="minorHAnsi" w:cstheme="minorBidi"/>
          <w:color w:val="auto"/>
        </w:rPr>
        <w:t>communicate without direct knowledge of how the other systems are implemented</w:t>
      </w:r>
      <w:r w:rsidR="00126BD1">
        <w:rPr>
          <w:rFonts w:asciiTheme="minorHAnsi" w:eastAsiaTheme="minorEastAsia" w:hAnsiTheme="minorHAnsi" w:cstheme="minorBidi"/>
          <w:color w:val="auto"/>
        </w:rPr>
        <w:t>. Th</w:t>
      </w:r>
      <w:r w:rsidR="00B17053">
        <w:rPr>
          <w:rFonts w:asciiTheme="minorHAnsi" w:eastAsiaTheme="minorEastAsia" w:hAnsiTheme="minorHAnsi" w:cstheme="minorBidi"/>
          <w:color w:val="auto"/>
        </w:rPr>
        <w:t>is</w:t>
      </w:r>
      <w:r w:rsidR="003E0886">
        <w:rPr>
          <w:rFonts w:asciiTheme="minorHAnsi" w:eastAsiaTheme="minorEastAsia" w:hAnsiTheme="minorHAnsi" w:cstheme="minorBidi"/>
          <w:color w:val="auto"/>
        </w:rPr>
        <w:t xml:space="preserve"> decoupl</w:t>
      </w:r>
      <w:r w:rsidR="00B17053">
        <w:rPr>
          <w:rFonts w:asciiTheme="minorHAnsi" w:eastAsiaTheme="minorEastAsia" w:hAnsiTheme="minorHAnsi" w:cstheme="minorBidi"/>
          <w:color w:val="auto"/>
        </w:rPr>
        <w:t>ing</w:t>
      </w:r>
      <w:r w:rsidR="003E0886">
        <w:rPr>
          <w:rFonts w:asciiTheme="minorHAnsi" w:eastAsiaTheme="minorEastAsia" w:hAnsiTheme="minorHAnsi" w:cstheme="minorBidi"/>
          <w:color w:val="auto"/>
        </w:rPr>
        <w:t xml:space="preserve"> allows for </w:t>
      </w:r>
      <w:r w:rsidR="00703417">
        <w:rPr>
          <w:rFonts w:asciiTheme="minorHAnsi" w:eastAsiaTheme="minorEastAsia" w:hAnsiTheme="minorHAnsi" w:cstheme="minorBidi"/>
          <w:color w:val="auto"/>
        </w:rPr>
        <w:t xml:space="preserve">improved </w:t>
      </w:r>
      <w:r w:rsidR="003E0886">
        <w:rPr>
          <w:rFonts w:asciiTheme="minorHAnsi" w:eastAsiaTheme="minorEastAsia" w:hAnsiTheme="minorHAnsi" w:cstheme="minorBidi"/>
          <w:color w:val="auto"/>
        </w:rPr>
        <w:t>scalability of the system and</w:t>
      </w:r>
      <w:r w:rsidR="00703417">
        <w:rPr>
          <w:rFonts w:asciiTheme="minorHAnsi" w:eastAsiaTheme="minorEastAsia" w:hAnsiTheme="minorHAnsi" w:cstheme="minorBidi"/>
          <w:color w:val="auto"/>
        </w:rPr>
        <w:t xml:space="preserve"> increased</w:t>
      </w:r>
      <w:r w:rsidR="003E0886">
        <w:rPr>
          <w:rFonts w:asciiTheme="minorHAnsi" w:eastAsiaTheme="minorEastAsia" w:hAnsiTheme="minorHAnsi" w:cstheme="minorBidi"/>
          <w:color w:val="auto"/>
        </w:rPr>
        <w:t xml:space="preserve">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color w:val="auto"/>
        </w:rPr>
        <w:t xml:space="preserve">(Karthik Reddy </w:t>
      </w:r>
      <w:proofErr w:type="spellStart"/>
      <w:r w:rsidR="00E8719E">
        <w:rPr>
          <w:rFonts w:asciiTheme="minorHAnsi" w:eastAsiaTheme="minorEastAsia" w:hAnsiTheme="minorHAnsi" w:cstheme="minorBidi"/>
          <w:color w:val="auto"/>
        </w:rPr>
        <w:t>Thondalapally</w:t>
      </w:r>
      <w:proofErr w:type="spellEnd"/>
      <w:r w:rsidR="00E8719E">
        <w:rPr>
          <w:rFonts w:asciiTheme="minorHAnsi" w:eastAsiaTheme="minorEastAsia" w:hAnsiTheme="minorHAnsi" w:cstheme="minorBidi"/>
          <w:color w:val="auto"/>
        </w:rPr>
        <w:t xml:space="preserve">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4DA1186D" w14:textId="77777777" w:rsidR="00AC49B4" w:rsidRDefault="00AC49B4" w:rsidP="00F03B8F">
      <w:pPr>
        <w:pStyle w:val="Disslevel3"/>
        <w:numPr>
          <w:ilvl w:val="0"/>
          <w:numId w:val="0"/>
        </w:numPr>
        <w:spacing w:line="360" w:lineRule="auto"/>
        <w:rPr>
          <w:rFonts w:asciiTheme="minorHAnsi" w:eastAsiaTheme="minorEastAsia" w:hAnsiTheme="minorHAnsi" w:cstheme="minorBidi"/>
          <w:color w:val="auto"/>
        </w:rPr>
      </w:pPr>
    </w:p>
    <w:p w14:paraId="107A030B" w14:textId="5CECB1E2" w:rsidR="00961E91" w:rsidRDefault="00A1650F"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 xml:space="preserve">In comparison to more traditional request-response, where a sender communicates to a specific target, EDA systems typically implement a publish-subscribe pattern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This is achieved while guaranteeing delivery and maintaining ordering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w:t>
      </w:r>
      <w:r w:rsidR="00AC49B4">
        <w:rPr>
          <w:rFonts w:asciiTheme="minorHAnsi" w:eastAsiaTheme="minorEastAsia" w:hAnsiTheme="minorHAnsi" w:cstheme="minorBidi"/>
          <w:color w:val="auto"/>
        </w:rPr>
        <w:t xml:space="preserve">Producers publish into </w:t>
      </w:r>
      <w:r w:rsidR="00ED181F">
        <w:rPr>
          <w:rFonts w:asciiTheme="minorHAnsi" w:eastAsiaTheme="minorEastAsia" w:hAnsiTheme="minorHAnsi" w:cstheme="minorBidi"/>
          <w:color w:val="auto"/>
        </w:rPr>
        <w:t xml:space="preserve">immutable and </w:t>
      </w:r>
      <w:r w:rsidR="00F03B8F">
        <w:rPr>
          <w:rFonts w:asciiTheme="minorHAnsi" w:eastAsiaTheme="minorEastAsia" w:hAnsiTheme="minorHAnsi" w:cstheme="minorBidi"/>
          <w:color w:val="auto"/>
        </w:rPr>
        <w:t xml:space="preserve">centralised </w:t>
      </w:r>
      <w:r w:rsidR="00ED181F">
        <w:rPr>
          <w:rFonts w:asciiTheme="minorHAnsi" w:eastAsiaTheme="minorEastAsia" w:hAnsiTheme="minorHAnsi" w:cstheme="minorBidi"/>
          <w:color w:val="auto"/>
        </w:rPr>
        <w:t xml:space="preserve">streams </w:t>
      </w:r>
      <w:r w:rsidR="00AC49B4">
        <w:rPr>
          <w:rFonts w:asciiTheme="minorHAnsi" w:eastAsiaTheme="minorEastAsia" w:hAnsiTheme="minorHAnsi" w:cstheme="minorBidi"/>
          <w:color w:val="auto"/>
        </w:rPr>
        <w:t xml:space="preserve">that multiple consuming applications can </w:t>
      </w:r>
      <w:r w:rsidR="00BF4CDC">
        <w:rPr>
          <w:rFonts w:asciiTheme="minorHAnsi" w:eastAsiaTheme="minorEastAsia" w:hAnsiTheme="minorHAnsi" w:cstheme="minorBidi"/>
          <w:color w:val="auto"/>
        </w:rPr>
        <w:t>consume</w:t>
      </w:r>
      <w:r w:rsidR="001426B6">
        <w:rPr>
          <w:rFonts w:asciiTheme="minorHAnsi" w:eastAsiaTheme="minorEastAsia" w:hAnsiTheme="minorHAnsi" w:cstheme="minorBidi"/>
          <w:color w:val="auto"/>
        </w:rPr>
        <w:t xml:space="preserve"> in real time </w:t>
      </w:r>
      <w:r w:rsidR="001426B6">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Pr>
          <w:rFonts w:asciiTheme="minorHAnsi" w:eastAsiaTheme="minorEastAsia" w:hAnsiTheme="minorHAnsi" w:cstheme="minorBidi"/>
          <w:color w:val="auto"/>
        </w:rPr>
        <w:fldChar w:fldCharType="separate"/>
      </w:r>
      <w:r w:rsidR="00A02701">
        <w:rPr>
          <w:rFonts w:asciiTheme="minorHAnsi" w:eastAsiaTheme="minorEastAsia" w:hAnsiTheme="minorHAnsi" w:cstheme="minorBidi"/>
          <w:noProof/>
          <w:color w:val="auto"/>
        </w:rPr>
        <w:t>(Ijsrset and Dr. Susheel Kumar Tiwari 2024)</w:t>
      </w:r>
      <w:r w:rsidR="001426B6">
        <w:rPr>
          <w:rFonts w:asciiTheme="minorHAnsi" w:eastAsiaTheme="minorEastAsia" w:hAnsiTheme="minorHAnsi" w:cstheme="minorBidi"/>
          <w:color w:val="auto"/>
        </w:rPr>
        <w:fldChar w:fldCharType="end"/>
      </w:r>
      <w:r w:rsidR="00AC49B4">
        <w:rPr>
          <w:rFonts w:asciiTheme="minorHAnsi" w:eastAsiaTheme="minorEastAsia" w:hAnsiTheme="minorHAnsi" w:cstheme="minorBidi"/>
          <w:color w:val="auto"/>
        </w:rPr>
        <w:t>, without being directly connected to the producers. This means that more consumers can be added without any impact o</w:t>
      </w:r>
      <w:r w:rsidR="00B4157D">
        <w:rPr>
          <w:rFonts w:asciiTheme="minorHAnsi" w:eastAsiaTheme="minorEastAsia" w:hAnsiTheme="minorHAnsi" w:cstheme="minorBidi"/>
          <w:color w:val="auto"/>
        </w:rPr>
        <w:t>n</w:t>
      </w:r>
      <w:r w:rsidR="00AC49B4">
        <w:rPr>
          <w:rFonts w:asciiTheme="minorHAnsi" w:eastAsiaTheme="minorEastAsia" w:hAnsiTheme="minorHAnsi" w:cstheme="minorBidi"/>
          <w:color w:val="auto"/>
        </w:rPr>
        <w:t xml:space="preserve"> producers</w:t>
      </w:r>
      <w:r w:rsidR="00B4157D">
        <w:rPr>
          <w:rFonts w:asciiTheme="minorHAnsi" w:eastAsiaTheme="minorEastAsia" w:hAnsiTheme="minorHAnsi" w:cstheme="minorBidi"/>
          <w:color w:val="auto"/>
        </w:rPr>
        <w:t xml:space="preserve"> and thus avoiding extra development effort</w:t>
      </w:r>
      <w:r w:rsidR="00AC49B4">
        <w:rPr>
          <w:rFonts w:asciiTheme="minorHAnsi" w:eastAsiaTheme="minorEastAsia" w:hAnsiTheme="minorHAnsi" w:cstheme="minorBidi"/>
          <w:color w:val="auto"/>
        </w:rPr>
        <w:t xml:space="preserve">. </w:t>
      </w:r>
      <w:r w:rsidR="00ED181F">
        <w:rPr>
          <w:rFonts w:asciiTheme="minorHAnsi" w:eastAsiaTheme="minorEastAsia" w:hAnsiTheme="minorHAnsi" w:cstheme="minorBidi"/>
          <w:color w:val="auto"/>
        </w:rPr>
        <w:t xml:space="preserve">This makes EDA an attractive option when </w:t>
      </w:r>
      <w:r w:rsidR="005D6BF9">
        <w:rPr>
          <w:rFonts w:asciiTheme="minorHAnsi" w:eastAsiaTheme="minorEastAsia" w:hAnsiTheme="minorHAnsi" w:cstheme="minorBidi"/>
          <w:color w:val="auto"/>
        </w:rPr>
        <w:t>designing a modern, resilient and scalable enterprise architecture.</w:t>
      </w:r>
      <w:r w:rsidR="00ED181F">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r>
        <w:t>Event Streaming Systems and fault tolerance</w:t>
      </w:r>
      <w:bookmarkEnd w:id="40"/>
    </w:p>
    <w:p w14:paraId="53351745" w14:textId="77777777" w:rsidR="00F33DA8" w:rsidRDefault="00D142FF"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 xml:space="preserve">EDA can be setup to be fault tolerant. Specific implementations of Event Streaming, such as Apache Kafka, </w:t>
      </w:r>
      <w:r w:rsidR="005F35FB">
        <w:rPr>
          <w:rFonts w:asciiTheme="minorHAnsi" w:eastAsiaTheme="minorEastAsia" w:hAnsiTheme="minorHAnsi" w:cstheme="minorBidi"/>
          <w:color w:val="auto"/>
        </w:rPr>
        <w:t xml:space="preserve">are configured to store events in immutable topics. These topics are partitioned and replicate across brokers which in turn are hosted in redundant cloud instances. This configuration is increasingly becoming the backbone of modern postal </w:t>
      </w:r>
      <w:r w:rsidR="008A41F2">
        <w:rPr>
          <w:rFonts w:asciiTheme="minorHAnsi" w:eastAsiaTheme="minorEastAsia" w:hAnsiTheme="minorHAnsi" w:cstheme="minorBidi"/>
          <w:color w:val="auto"/>
        </w:rPr>
        <w:t xml:space="preserve">enterprise </w:t>
      </w:r>
      <w:r w:rsidR="005F35FB">
        <w:rPr>
          <w:rFonts w:asciiTheme="minorHAnsi" w:eastAsiaTheme="minorEastAsia" w:hAnsiTheme="minorHAnsi" w:cstheme="minorBidi"/>
          <w:color w:val="auto"/>
        </w:rPr>
        <w:t xml:space="preserve">event streaming setups. </w:t>
      </w:r>
      <w:r w:rsidR="008A41F2">
        <w:rPr>
          <w:rFonts w:asciiTheme="minorHAnsi" w:eastAsiaTheme="minorEastAsia" w:hAnsiTheme="minorHAnsi" w:cstheme="minorBidi"/>
          <w:color w:val="auto"/>
        </w:rPr>
        <w:t xml:space="preserve">Even if a node fails the data is available due to the replication feature. </w:t>
      </w:r>
      <w:r w:rsidR="00A415ED">
        <w:rPr>
          <w:rFonts w:asciiTheme="minorHAnsi" w:eastAsiaTheme="minorEastAsia" w:hAnsiTheme="minorHAnsi" w:cstheme="minorBidi"/>
          <w:color w:val="auto"/>
        </w:rPr>
        <w:t xml:space="preserve">The consuming applications use offsets to determine how much of the topic has been consumed. The events are persisted within the broker for a specific amount of time. This persistence can be configured to remain for months, depending on the needs of the enterprise. If a failure occurs, the data can continue to be processed from the offset once everything is online again. </w:t>
      </w:r>
    </w:p>
    <w:p w14:paraId="164BB397" w14:textId="77777777" w:rsidR="00F33DA8" w:rsidRDefault="00F33DA8" w:rsidP="00F33DA8">
      <w:pPr>
        <w:pStyle w:val="Disslevel3"/>
        <w:numPr>
          <w:ilvl w:val="0"/>
          <w:numId w:val="0"/>
        </w:numPr>
        <w:spacing w:line="360" w:lineRule="auto"/>
        <w:rPr>
          <w:rFonts w:asciiTheme="minorHAnsi" w:eastAsiaTheme="minorEastAsia" w:hAnsiTheme="minorHAnsi" w:cstheme="minorBidi"/>
          <w:color w:val="auto"/>
        </w:rPr>
      </w:pPr>
    </w:p>
    <w:p w14:paraId="029E9C37" w14:textId="7FB9ED22" w:rsidR="00D142FF" w:rsidRDefault="00E465B0"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If the whole data is lost at the consumer level, the history can be played back by simply reading the data from the earliest available record</w:t>
      </w:r>
      <w:r w:rsidR="00EB0724">
        <w:rPr>
          <w:rFonts w:asciiTheme="minorHAnsi" w:eastAsiaTheme="minorEastAsia" w:hAnsiTheme="minorHAnsi" w:cstheme="minorBidi"/>
          <w:color w:val="auto"/>
        </w:rPr>
        <w:t>, thus rebuilding the local state</w:t>
      </w:r>
      <w:r>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 xml:space="preserve">Being able to replay the data back into the consumer is efficient since the producing application that feeds the Kafka topic does not need to transmit historic data. Everything is already in place and ready to be consumed which enable quick recovery and improves resilience of the system. </w:t>
      </w:r>
      <w:r w:rsidR="004C59EF">
        <w:rPr>
          <w:rFonts w:asciiTheme="minorHAnsi" w:eastAsiaTheme="minorEastAsia" w:hAnsiTheme="minorHAnsi" w:cstheme="minorBidi"/>
          <w:color w:val="auto"/>
        </w:rPr>
        <w:t xml:space="preserve">The decoupled nature of Event Streaming means that a failure in one consumer does not affect other consumers since they are completely isolated from each other and are independently responsible for creating their own local states from the Events stored in the topic.  </w:t>
      </w:r>
      <w:r w:rsidR="002A2661">
        <w:rPr>
          <w:rFonts w:asciiTheme="minorHAnsi" w:eastAsiaTheme="minorEastAsia" w:hAnsiTheme="minorHAnsi" w:cstheme="minorBidi"/>
          <w:color w:val="auto"/>
        </w:rPr>
        <w:t>This improves the fault tolerance of a distributed microservice ecosystem and reduces impact and blast radius that an incident would have on other applications.</w:t>
      </w:r>
      <w:r w:rsidR="001A2B64">
        <w:rPr>
          <w:rFonts w:asciiTheme="minorHAnsi" w:eastAsiaTheme="minorEastAsia" w:hAnsiTheme="minorHAnsi" w:cstheme="minorBidi"/>
          <w:color w:val="auto"/>
        </w:rPr>
        <w:t xml:space="preserve"> Despite this approach being quite effective for reading data from a single topic, a problem does arise when downstream consumers require a consolidated view of events that originate from multiple topics. Thus, there is a need for events to be aggregated and presented in a searchable format to the consumers. </w:t>
      </w:r>
    </w:p>
    <w:p w14:paraId="1B9E6760" w14:textId="77777777" w:rsidR="00D142FF" w:rsidRDefault="00D142FF" w:rsidP="000B296E">
      <w:pPr>
        <w:pStyle w:val="Disslevel3"/>
        <w:numPr>
          <w:ilvl w:val="0"/>
          <w:numId w:val="0"/>
        </w:numPr>
        <w:rPr>
          <w:rFonts w:asciiTheme="minorHAnsi" w:eastAsiaTheme="minorEastAsia" w:hAnsiTheme="minorHAnsi" w:cstheme="minorBidi"/>
          <w:color w:val="auto"/>
        </w:rPr>
      </w:pPr>
    </w:p>
    <w:p w14:paraId="478EAC9D" w14:textId="1D33E09E" w:rsidR="003D79BE" w:rsidRDefault="003D79BE" w:rsidP="00573B17">
      <w:pPr>
        <w:pStyle w:val="Disslevel3"/>
      </w:pPr>
      <w:bookmarkStart w:id="41" w:name="_Toc233796065"/>
      <w:r>
        <w:t>Event Aggregation</w:t>
      </w:r>
      <w:bookmarkEnd w:id="41"/>
    </w:p>
    <w:p w14:paraId="2C315255" w14:textId="6A69605B" w:rsidR="00A806B5" w:rsidRPr="008E68F6" w:rsidRDefault="000B296E" w:rsidP="00EE4C5B">
      <w:r>
        <w:t>The</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290E4DC0" w:rsidR="00E50D2F" w:rsidRPr="00E50D2F" w:rsidRDefault="000B296E" w:rsidP="00E50D2F">
      <w:r>
        <w:t>The</w:t>
      </w:r>
    </w:p>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65EF34C7" w:rsidR="00E50D2F" w:rsidRPr="00E50D2F" w:rsidRDefault="000B296E" w:rsidP="00E50D2F">
      <w:r>
        <w:t>The</w:t>
      </w:r>
    </w:p>
    <w:p w14:paraId="44F62E76" w14:textId="689D4709" w:rsidR="00E50D2F" w:rsidRDefault="00E50D2F" w:rsidP="00573B17">
      <w:pPr>
        <w:pStyle w:val="Disslevel3"/>
      </w:pPr>
      <w:bookmarkStart w:id="46" w:name="_Toc233796070"/>
      <w:r>
        <w:t>Event replay and state reconstruction</w:t>
      </w:r>
      <w:bookmarkEnd w:id="46"/>
    </w:p>
    <w:p w14:paraId="74BB054C" w14:textId="2A48AC53" w:rsidR="00E50D2F" w:rsidRPr="00E50D2F" w:rsidRDefault="000B296E" w:rsidP="00E50D2F">
      <w:r>
        <w:t>The</w:t>
      </w:r>
    </w:p>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t>Cloud-Native Resilience, High Availability and Disaster Recovery</w:t>
      </w:r>
      <w:bookmarkEnd w:id="48"/>
    </w:p>
    <w:p w14:paraId="1194913D" w14:textId="612AE7FD" w:rsidR="00AB4FBF" w:rsidRDefault="00AB4FBF" w:rsidP="00573B17">
      <w:pPr>
        <w:pStyle w:val="Disslevel3"/>
      </w:pPr>
      <w:bookmarkStart w:id="49" w:name="_Toc233796073"/>
      <w:r>
        <w:t>Cloud Native Architecture</w:t>
      </w:r>
      <w:bookmarkEnd w:id="49"/>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0" w:name="_Toc233796074"/>
      <w:r>
        <w:t>High Availability and Resilience</w:t>
      </w:r>
      <w:bookmarkEnd w:id="50"/>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1" w:name="_Toc233796075"/>
      <w:r>
        <w:t>Disaster Recovery Strategies</w:t>
      </w:r>
      <w:bookmarkEnd w:id="51"/>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t>Reliability</w:t>
      </w:r>
      <w:bookmarkEnd w:id="56"/>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7" w:name="_Toc233796081"/>
      <w:r>
        <w:t>Availability</w:t>
      </w:r>
      <w:bookmarkEnd w:id="57"/>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7F0EEC" w:rsidP="00D35DDF">
      <w:pPr>
        <w:ind w:left="1701" w:hanging="1701"/>
      </w:pPr>
    </w:p>
    <w:p w14:paraId="6A0F4D12" w14:textId="77777777" w:rsidR="00A02701" w:rsidRPr="00A02701" w:rsidRDefault="00D849BA" w:rsidP="00A02701">
      <w:pPr>
        <w:pStyle w:val="Bibliography"/>
        <w:rPr>
          <w:rFonts w:ascii="Calibri" w:eastAsiaTheme="minorHAnsi" w:cs="Calibri"/>
          <w:lang w:val="en-GB"/>
        </w:rPr>
      </w:pPr>
      <w:r w:rsidRPr="008E68F6">
        <w:fldChar w:fldCharType="begin"/>
      </w:r>
      <w:r w:rsidR="00A02701">
        <w:instrText xml:space="preserve"> ADDIN ZOTERO_BIBL {"uncited":[],"omitted":[],"custom":[]} CSL_BIBLIOGRAPHY </w:instrText>
      </w:r>
      <w:r w:rsidRPr="008E68F6">
        <w:fldChar w:fldCharType="separate"/>
      </w:r>
      <w:proofErr w:type="spellStart"/>
      <w:r w:rsidR="00A02701" w:rsidRPr="00A02701">
        <w:rPr>
          <w:rFonts w:ascii="Calibri" w:eastAsiaTheme="minorHAnsi" w:cs="Calibri"/>
          <w:lang w:val="en-GB"/>
        </w:rPr>
        <w:t>Alyahya</w:t>
      </w:r>
      <w:proofErr w:type="spellEnd"/>
      <w:r w:rsidR="00A02701" w:rsidRPr="00A02701">
        <w:rPr>
          <w:rFonts w:ascii="Calibri" w:eastAsiaTheme="minorHAnsi" w:cs="Calibri"/>
          <w:lang w:val="en-GB"/>
        </w:rPr>
        <w:t xml:space="preserve">, A., Tipper, D., and </w:t>
      </w:r>
      <w:proofErr w:type="spellStart"/>
      <w:r w:rsidR="00A02701" w:rsidRPr="00A02701">
        <w:rPr>
          <w:rFonts w:ascii="Calibri" w:eastAsiaTheme="minorHAnsi" w:cs="Calibri"/>
          <w:lang w:val="en-GB"/>
        </w:rPr>
        <w:t>Babay</w:t>
      </w:r>
      <w:proofErr w:type="spellEnd"/>
      <w:r w:rsidR="00A02701" w:rsidRPr="00A02701">
        <w:rPr>
          <w:rFonts w:ascii="Calibri" w:eastAsiaTheme="minorHAnsi" w:cs="Calibri"/>
          <w:lang w:val="en-GB"/>
        </w:rPr>
        <w:t xml:space="preserve">, A. (2025) ‘Availability and Cost Analysis of Network-Attack-Resilient Byzantine Fault Tolerant Systems’, </w:t>
      </w:r>
      <w:r w:rsidR="00A02701" w:rsidRPr="00A02701">
        <w:rPr>
          <w:rFonts w:ascii="Calibri" w:eastAsiaTheme="minorHAnsi" w:cs="Calibri"/>
          <w:i/>
          <w:iCs/>
          <w:lang w:val="en-GB"/>
        </w:rPr>
        <w:t>IEEE Transactions on Network and Service Management</w:t>
      </w:r>
      <w:r w:rsidR="00A02701" w:rsidRPr="00A02701">
        <w:rPr>
          <w:rFonts w:ascii="Calibri" w:eastAsiaTheme="minorHAnsi" w:cs="Calibri"/>
          <w:lang w:val="en-GB"/>
        </w:rPr>
        <w:t>, 22(5), 3895–3908, available: https://doi.org/10.1109/TNSM.2025.3589936.</w:t>
      </w:r>
    </w:p>
    <w:p w14:paraId="680C9B8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Angela Dawn Lawson (2020) </w:t>
      </w:r>
      <w:r w:rsidRPr="00A02701">
        <w:rPr>
          <w:rFonts w:ascii="Calibri" w:eastAsiaTheme="minorHAnsi" w:cs="Calibri"/>
          <w:i/>
          <w:iCs/>
          <w:lang w:val="en-GB"/>
        </w:rPr>
        <w:t>Deploying the Right Technology- a Framework for Digital Strategy and Selection at the United States Postal Service to Shape the Future of Work</w:t>
      </w:r>
      <w:r w:rsidRPr="00A02701">
        <w:rPr>
          <w:rFonts w:ascii="Calibri" w:eastAsiaTheme="minorHAnsi" w:cs="Calibri"/>
          <w:lang w:val="en-GB"/>
        </w:rPr>
        <w:t>, Thesis.</w:t>
      </w:r>
    </w:p>
    <w:p w14:paraId="46B885A1"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2FEB52AC"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Choudhary, S.K. (2025) ‘IMPLEMENTING EVENT-DRIVEN ARCHITECTURE FOR REAL-TIME DATA INTEGRATION IN CLOUD ENVIRONMENTS’, </w:t>
      </w:r>
      <w:r w:rsidRPr="00A02701">
        <w:rPr>
          <w:rFonts w:ascii="Calibri" w:eastAsiaTheme="minorHAnsi" w:cs="Calibri"/>
          <w:i/>
          <w:iCs/>
          <w:lang w:val="en-GB"/>
        </w:rPr>
        <w:t>INTERNATIONAL JOURNAL OF COMPUTER ENGINEERING AND TECHNOLOGY</w:t>
      </w:r>
      <w:r w:rsidRPr="00A02701">
        <w:rPr>
          <w:rFonts w:ascii="Calibri" w:eastAsiaTheme="minorHAnsi" w:cs="Calibri"/>
          <w:lang w:val="en-GB"/>
        </w:rPr>
        <w:t>, 16(1), 1535–1552, available: https://doi.org/10.34218/IJCET_16_01_113.</w:t>
      </w:r>
    </w:p>
    <w:p w14:paraId="71CF5A83"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Costa, A.B. and Brito, M.A. (2022) ‘Enterprise Architecture Management : Constant maintenance and updating of the Enterprise Architecture’, in </w:t>
      </w:r>
      <w:r w:rsidRPr="00A02701">
        <w:rPr>
          <w:rFonts w:ascii="Calibri" w:eastAsiaTheme="minorHAnsi" w:cs="Calibri"/>
          <w:i/>
          <w:iCs/>
          <w:lang w:val="en-GB"/>
        </w:rPr>
        <w:t>2022 17th Iberian Conference on Information Systems and Technologies (CISTI)</w:t>
      </w:r>
      <w:r w:rsidRPr="00A02701">
        <w:rPr>
          <w:rFonts w:ascii="Calibri" w:eastAsiaTheme="minorHAnsi" w:cs="Calibri"/>
          <w:lang w:val="en-GB"/>
        </w:rPr>
        <w:t>, Presented at the 2022 17th Iberian Conference on Information Systems and Technologies (CISTI), Madrid, Spain: IEEE, 1–5, available: https://doi.org/10.23919/CISTI54924.2022.9820068.</w:t>
      </w:r>
    </w:p>
    <w:p w14:paraId="3AD03F1D"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Evans, E. (2004) </w:t>
      </w:r>
      <w:r w:rsidRPr="00A02701">
        <w:rPr>
          <w:rFonts w:ascii="Calibri" w:eastAsiaTheme="minorHAnsi" w:cs="Calibri"/>
          <w:i/>
          <w:iCs/>
          <w:lang w:val="en-GB"/>
        </w:rPr>
        <w:t>Domain-Driven Design: Tackling Complexity in the Heart of Software</w:t>
      </w:r>
      <w:r w:rsidRPr="00A02701">
        <w:rPr>
          <w:rFonts w:ascii="Calibri" w:eastAsiaTheme="minorHAnsi" w:cs="Calibri"/>
          <w:lang w:val="en-GB"/>
        </w:rPr>
        <w:t>, Boston: Addison-Wesley.</w:t>
      </w:r>
    </w:p>
    <w:p w14:paraId="6212082F"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Florian Springer and Christoph </w:t>
      </w:r>
      <w:proofErr w:type="spellStart"/>
      <w:r w:rsidRPr="00A02701">
        <w:rPr>
          <w:rFonts w:ascii="Calibri" w:eastAsiaTheme="minorHAnsi" w:cs="Calibri"/>
          <w:lang w:val="en-GB"/>
        </w:rPr>
        <w:t>Emmersberger</w:t>
      </w:r>
      <w:proofErr w:type="spellEnd"/>
      <w:r w:rsidRPr="00A02701">
        <w:rPr>
          <w:rFonts w:ascii="Calibri" w:eastAsiaTheme="minorHAnsi" w:cs="Calibri"/>
          <w:lang w:val="en-GB"/>
        </w:rPr>
        <w:t xml:space="preserve"> (2008) </w:t>
      </w:r>
      <w:r w:rsidRPr="00A02701">
        <w:rPr>
          <w:rFonts w:ascii="Calibri" w:eastAsiaTheme="minorHAnsi" w:cs="Calibri"/>
          <w:i/>
          <w:iCs/>
          <w:lang w:val="en-GB"/>
        </w:rPr>
        <w:t>Event Driven Business Process Management Taking the Example of Deutsche Post AG: An Evaluation of the Approach of Oracle and the SOPERA Open Source SOA Framework</w:t>
      </w:r>
      <w:r w:rsidRPr="00A02701">
        <w:rPr>
          <w:rFonts w:ascii="Calibri" w:eastAsiaTheme="minorHAnsi" w:cs="Calibri"/>
          <w:lang w:val="en-GB"/>
        </w:rPr>
        <w:t>, Diploma Thesis.</w:t>
      </w:r>
    </w:p>
    <w:p w14:paraId="68D0EC4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Ghosh, A. (2025) ‘Transforming Enterprise Systems through Event-Driven Architecture: Implementation, Benefits, and Future Trends’, </w:t>
      </w:r>
      <w:r w:rsidRPr="00A02701">
        <w:rPr>
          <w:rFonts w:ascii="Calibri" w:eastAsiaTheme="minorHAnsi" w:cs="Calibri"/>
          <w:i/>
          <w:iCs/>
          <w:lang w:val="en-GB"/>
        </w:rPr>
        <w:t>International Journal of Scientific Research in Computer Science, Engineering and Information Technology</w:t>
      </w:r>
      <w:r w:rsidRPr="00A02701">
        <w:rPr>
          <w:rFonts w:ascii="Calibri" w:eastAsiaTheme="minorHAnsi" w:cs="Calibri"/>
          <w:lang w:val="en-GB"/>
        </w:rPr>
        <w:t>, 11(1), 3507–3514, available: https://doi.org/10.32628/CSEIT251112347.</w:t>
      </w:r>
    </w:p>
    <w:p w14:paraId="3206687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Hassel, A. and </w:t>
      </w:r>
      <w:proofErr w:type="spellStart"/>
      <w:r w:rsidRPr="00A02701">
        <w:rPr>
          <w:rFonts w:ascii="Calibri" w:eastAsiaTheme="minorHAnsi" w:cs="Calibri"/>
          <w:lang w:val="en-GB"/>
        </w:rPr>
        <w:t>Sieker</w:t>
      </w:r>
      <w:proofErr w:type="spellEnd"/>
      <w:r w:rsidRPr="00A02701">
        <w:rPr>
          <w:rFonts w:ascii="Calibri" w:eastAsiaTheme="minorHAnsi" w:cs="Calibri"/>
          <w:lang w:val="en-GB"/>
        </w:rPr>
        <w:t xml:space="preserve">, F. (2022) ‘The platform effect: How Amazon changed work in logistics in Germany, the United States and the United Kingdom’, </w:t>
      </w:r>
      <w:r w:rsidRPr="00A02701">
        <w:rPr>
          <w:rFonts w:ascii="Calibri" w:eastAsiaTheme="minorHAnsi" w:cs="Calibri"/>
          <w:i/>
          <w:iCs/>
          <w:lang w:val="en-GB"/>
        </w:rPr>
        <w:t>European Journal of Industrial Relations</w:t>
      </w:r>
      <w:r w:rsidRPr="00A02701">
        <w:rPr>
          <w:rFonts w:ascii="Calibri" w:eastAsiaTheme="minorHAnsi" w:cs="Calibri"/>
          <w:lang w:val="en-GB"/>
        </w:rPr>
        <w:t>, 28(3), 363–382, available: https://doi.org/10.1177/09596801221082456.</w:t>
      </w:r>
    </w:p>
    <w:p w14:paraId="3AE382CA"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Hippchen</w:t>
      </w:r>
      <w:proofErr w:type="spellEnd"/>
      <w:r w:rsidRPr="00A02701">
        <w:rPr>
          <w:rFonts w:ascii="Calibri" w:eastAsiaTheme="minorHAnsi" w:cs="Calibri"/>
          <w:lang w:val="en-GB"/>
        </w:rPr>
        <w:t xml:space="preserve">, B., </w:t>
      </w:r>
      <w:proofErr w:type="spellStart"/>
      <w:r w:rsidRPr="00A02701">
        <w:rPr>
          <w:rFonts w:ascii="Calibri" w:eastAsiaTheme="minorHAnsi" w:cs="Calibri"/>
          <w:lang w:val="en-GB"/>
        </w:rPr>
        <w:t>Giessler</w:t>
      </w:r>
      <w:proofErr w:type="spellEnd"/>
      <w:r w:rsidRPr="00A02701">
        <w:rPr>
          <w:rFonts w:ascii="Calibri" w:eastAsiaTheme="minorHAnsi" w:cs="Calibri"/>
          <w:lang w:val="en-GB"/>
        </w:rPr>
        <w:t xml:space="preserve">, P., </w:t>
      </w:r>
      <w:proofErr w:type="spellStart"/>
      <w:r w:rsidRPr="00A02701">
        <w:rPr>
          <w:rFonts w:ascii="Calibri" w:eastAsiaTheme="minorHAnsi" w:cs="Calibri"/>
          <w:lang w:val="en-GB"/>
        </w:rPr>
        <w:t>Steinegger</w:t>
      </w:r>
      <w:proofErr w:type="spellEnd"/>
      <w:r w:rsidRPr="00A02701">
        <w:rPr>
          <w:rFonts w:ascii="Calibri" w:eastAsiaTheme="minorHAnsi" w:cs="Calibri"/>
          <w:lang w:val="en-GB"/>
        </w:rPr>
        <w:t xml:space="preserve">, R.H., Schneider, M., and </w:t>
      </w:r>
      <w:proofErr w:type="spellStart"/>
      <w:r w:rsidRPr="00A02701">
        <w:rPr>
          <w:rFonts w:ascii="Calibri" w:eastAsiaTheme="minorHAnsi" w:cs="Calibri"/>
          <w:lang w:val="en-GB"/>
        </w:rPr>
        <w:t>Abeck</w:t>
      </w:r>
      <w:proofErr w:type="spellEnd"/>
      <w:r w:rsidRPr="00A02701">
        <w:rPr>
          <w:rFonts w:ascii="Calibri" w:eastAsiaTheme="minorHAnsi" w:cs="Calibri"/>
          <w:lang w:val="en-GB"/>
        </w:rPr>
        <w:t>, S. (2017) ‘Designing Microservice-Based Applications by Using a Domain-Driven Design Approach’.</w:t>
      </w:r>
    </w:p>
    <w:p w14:paraId="451D512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Ijsrset</w:t>
      </w:r>
      <w:proofErr w:type="spellEnd"/>
      <w:r w:rsidRPr="00A02701">
        <w:rPr>
          <w:rFonts w:ascii="Calibri" w:eastAsiaTheme="minorHAnsi" w:cs="Calibri"/>
          <w:lang w:val="en-GB"/>
        </w:rPr>
        <w:t xml:space="preserve"> and </w:t>
      </w:r>
      <w:proofErr w:type="spellStart"/>
      <w:r w:rsidRPr="00A02701">
        <w:rPr>
          <w:rFonts w:ascii="Calibri" w:eastAsiaTheme="minorHAnsi" w:cs="Calibri"/>
          <w:lang w:val="en-GB"/>
        </w:rPr>
        <w:t>Dr.</w:t>
      </w:r>
      <w:proofErr w:type="spellEnd"/>
      <w:r w:rsidRPr="00A02701">
        <w:rPr>
          <w:rFonts w:ascii="Calibri" w:eastAsiaTheme="minorHAnsi" w:cs="Calibri"/>
          <w:lang w:val="en-GB"/>
        </w:rPr>
        <w:t xml:space="preserve"> </w:t>
      </w:r>
      <w:proofErr w:type="spellStart"/>
      <w:r w:rsidRPr="00A02701">
        <w:rPr>
          <w:rFonts w:ascii="Calibri" w:eastAsiaTheme="minorHAnsi" w:cs="Calibri"/>
          <w:lang w:val="en-GB"/>
        </w:rPr>
        <w:t>Susheel</w:t>
      </w:r>
      <w:proofErr w:type="spellEnd"/>
      <w:r w:rsidRPr="00A02701">
        <w:rPr>
          <w:rFonts w:ascii="Calibri" w:eastAsiaTheme="minorHAnsi" w:cs="Calibri"/>
          <w:lang w:val="en-GB"/>
        </w:rPr>
        <w:t xml:space="preserve"> Kumar Tiwari (2024) ‘International Journal of Scientific Research in Science, Engineering and Technology’, </w:t>
      </w:r>
      <w:r w:rsidRPr="00A02701">
        <w:rPr>
          <w:rFonts w:ascii="Calibri" w:eastAsiaTheme="minorHAnsi" w:cs="Calibri"/>
          <w:i/>
          <w:iCs/>
          <w:lang w:val="en-GB"/>
        </w:rPr>
        <w:t>International Journal of Scientific Research in Science Engineering and Technology</w:t>
      </w:r>
      <w:r w:rsidRPr="00A02701">
        <w:rPr>
          <w:rFonts w:ascii="Calibri" w:eastAsiaTheme="minorHAnsi" w:cs="Calibri"/>
          <w:lang w:val="en-GB"/>
        </w:rPr>
        <w:t>, 1(1), 1, available: https://doi.org/10.32628/IJSRSET.</w:t>
      </w:r>
    </w:p>
    <w:p w14:paraId="10BE3F59"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Ilieva</w:t>
      </w:r>
      <w:proofErr w:type="spellEnd"/>
      <w:r w:rsidRPr="00A02701">
        <w:rPr>
          <w:rFonts w:ascii="Calibri" w:eastAsiaTheme="minorHAnsi" w:cs="Calibri"/>
          <w:lang w:val="en-GB"/>
        </w:rPr>
        <w:t xml:space="preserve">, D., Kolev, D., and </w:t>
      </w:r>
      <w:proofErr w:type="spellStart"/>
      <w:r w:rsidRPr="00A02701">
        <w:rPr>
          <w:rFonts w:ascii="Calibri" w:eastAsiaTheme="minorHAnsi" w:cs="Calibri"/>
          <w:lang w:val="en-GB"/>
        </w:rPr>
        <w:t>Gladchenko</w:t>
      </w:r>
      <w:proofErr w:type="spellEnd"/>
      <w:r w:rsidRPr="00A02701">
        <w:rPr>
          <w:rFonts w:ascii="Calibri" w:eastAsiaTheme="minorHAnsi" w:cs="Calibri"/>
          <w:lang w:val="en-GB"/>
        </w:rPr>
        <w:t xml:space="preserve">, V. (2024) ‘Investigation of the Impact of Artificial Intelligence and Automation in the Postal Services Sector Labour Market’, in </w:t>
      </w:r>
      <w:r w:rsidRPr="00A02701">
        <w:rPr>
          <w:rFonts w:ascii="Calibri" w:eastAsiaTheme="minorHAnsi" w:cs="Calibri"/>
          <w:i/>
          <w:iCs/>
          <w:lang w:val="en-GB"/>
        </w:rPr>
        <w:t>2024 5th International Conference on Communications, Information, Electronic and Energy Systems (CIEES)</w:t>
      </w:r>
      <w:r w:rsidRPr="00A02701">
        <w:rPr>
          <w:rFonts w:ascii="Calibri" w:eastAsiaTheme="minorHAnsi" w:cs="Calibri"/>
          <w:lang w:val="en-GB"/>
        </w:rPr>
        <w:t xml:space="preserve">, Presented at the 2024 5th International Conference on Communications, Information, Electronic and Energy Systems (CIEES), </w:t>
      </w:r>
      <w:proofErr w:type="spellStart"/>
      <w:r w:rsidRPr="00A02701">
        <w:rPr>
          <w:rFonts w:ascii="Calibri" w:eastAsiaTheme="minorHAnsi" w:cs="Calibri"/>
          <w:lang w:val="en-GB"/>
        </w:rPr>
        <w:t>Veliko</w:t>
      </w:r>
      <w:proofErr w:type="spellEnd"/>
      <w:r w:rsidRPr="00A02701">
        <w:rPr>
          <w:rFonts w:ascii="Calibri" w:eastAsiaTheme="minorHAnsi" w:cs="Calibri"/>
          <w:lang w:val="en-GB"/>
        </w:rPr>
        <w:t xml:space="preserve"> </w:t>
      </w:r>
      <w:proofErr w:type="spellStart"/>
      <w:r w:rsidRPr="00A02701">
        <w:rPr>
          <w:rFonts w:ascii="Calibri" w:eastAsiaTheme="minorHAnsi" w:cs="Calibri"/>
          <w:lang w:val="en-GB"/>
        </w:rPr>
        <w:t>Tarnovo</w:t>
      </w:r>
      <w:proofErr w:type="spellEnd"/>
      <w:r w:rsidRPr="00A02701">
        <w:rPr>
          <w:rFonts w:ascii="Calibri" w:eastAsiaTheme="minorHAnsi" w:cs="Calibri"/>
          <w:lang w:val="en-GB"/>
        </w:rPr>
        <w:t>, Bulgaria: IEEE, 1–7, available: https://doi.org/10.1109/CIEES62939.2024.10811359.</w:t>
      </w:r>
    </w:p>
    <w:p w14:paraId="6D91036F"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Ivanov, N. and </w:t>
      </w:r>
      <w:proofErr w:type="spellStart"/>
      <w:r w:rsidRPr="00A02701">
        <w:rPr>
          <w:rFonts w:ascii="Calibri" w:eastAsiaTheme="minorHAnsi" w:cs="Calibri"/>
          <w:lang w:val="en-GB"/>
        </w:rPr>
        <w:t>Tasheva</w:t>
      </w:r>
      <w:proofErr w:type="spellEnd"/>
      <w:r w:rsidRPr="00A02701">
        <w:rPr>
          <w:rFonts w:ascii="Calibri" w:eastAsiaTheme="minorHAnsi" w:cs="Calibri"/>
          <w:lang w:val="en-GB"/>
        </w:rPr>
        <w:t xml:space="preserve">, A. (2021) ‘A Hot Decomposition Procedure: Operational Monolith System to Microservices’, in </w:t>
      </w:r>
      <w:r w:rsidRPr="00A02701">
        <w:rPr>
          <w:rFonts w:ascii="Calibri" w:eastAsiaTheme="minorHAnsi" w:cs="Calibri"/>
          <w:i/>
          <w:iCs/>
          <w:lang w:val="en-GB"/>
        </w:rPr>
        <w:t>2021 International Conference Automatics and Informatics (ICAI)</w:t>
      </w:r>
      <w:r w:rsidRPr="00A02701">
        <w:rPr>
          <w:rFonts w:ascii="Calibri" w:eastAsiaTheme="minorHAnsi" w:cs="Calibri"/>
          <w:lang w:val="en-GB"/>
        </w:rPr>
        <w:t>, Presented at the 2021 International Conference Automatics and Informatics (ICAI), Varna, Bulgaria: IEEE, 182–187, available: https://doi.org/10.1109/ICAI52893.2021.9639494.</w:t>
      </w:r>
    </w:p>
    <w:p w14:paraId="6F3DABD0"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Jovanović, B., </w:t>
      </w:r>
      <w:proofErr w:type="spellStart"/>
      <w:r w:rsidRPr="00A02701">
        <w:rPr>
          <w:rFonts w:ascii="Calibri" w:eastAsiaTheme="minorHAnsi" w:cs="Calibri"/>
          <w:lang w:val="en-GB"/>
        </w:rPr>
        <w:t>Šarac</w:t>
      </w:r>
      <w:proofErr w:type="spellEnd"/>
      <w:r w:rsidRPr="00A02701">
        <w:rPr>
          <w:rFonts w:ascii="Calibri" w:eastAsiaTheme="minorHAnsi" w:cs="Calibri"/>
          <w:lang w:val="en-GB"/>
        </w:rPr>
        <w:t xml:space="preserve">, D., and </w:t>
      </w:r>
      <w:proofErr w:type="spellStart"/>
      <w:r w:rsidRPr="00A02701">
        <w:rPr>
          <w:rFonts w:ascii="Calibri" w:eastAsiaTheme="minorHAnsi" w:cs="Calibri"/>
          <w:lang w:val="en-GB"/>
        </w:rPr>
        <w:t>Čačić</w:t>
      </w:r>
      <w:proofErr w:type="spellEnd"/>
      <w:r w:rsidRPr="00A02701">
        <w:rPr>
          <w:rFonts w:ascii="Calibri" w:eastAsiaTheme="minorHAnsi" w:cs="Calibri"/>
          <w:lang w:val="en-GB"/>
        </w:rPr>
        <w:t xml:space="preserve">, N. (2025) ‘Delphi and fuzzy TOPSIS approach for redefining the scope of postal universal service obligation’, </w:t>
      </w:r>
      <w:r w:rsidRPr="00A02701">
        <w:rPr>
          <w:rFonts w:ascii="Calibri" w:eastAsiaTheme="minorHAnsi" w:cs="Calibri"/>
          <w:i/>
          <w:iCs/>
          <w:lang w:val="en-GB"/>
        </w:rPr>
        <w:t>Journal of Regulatory Economics</w:t>
      </w:r>
      <w:r w:rsidRPr="00A02701">
        <w:rPr>
          <w:rFonts w:ascii="Calibri" w:eastAsiaTheme="minorHAnsi" w:cs="Calibri"/>
          <w:lang w:val="en-GB"/>
        </w:rPr>
        <w:t>, 68(1), 38–52, available: https://doi.org/10.1007/s11149-025-09489-6.</w:t>
      </w:r>
    </w:p>
    <w:p w14:paraId="2BF53962"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lastRenderedPageBreak/>
        <w:t>Kalske</w:t>
      </w:r>
      <w:proofErr w:type="spellEnd"/>
      <w:r w:rsidRPr="00A02701">
        <w:rPr>
          <w:rFonts w:ascii="Calibri" w:eastAsiaTheme="minorHAnsi" w:cs="Calibri"/>
          <w:lang w:val="en-GB"/>
        </w:rPr>
        <w:t xml:space="preserve">, M., </w:t>
      </w:r>
      <w:proofErr w:type="spellStart"/>
      <w:r w:rsidRPr="00A02701">
        <w:rPr>
          <w:rFonts w:ascii="Calibri" w:eastAsiaTheme="minorHAnsi" w:cs="Calibri"/>
          <w:lang w:val="en-GB"/>
        </w:rPr>
        <w:t>Mäkitalo</w:t>
      </w:r>
      <w:proofErr w:type="spellEnd"/>
      <w:r w:rsidRPr="00A02701">
        <w:rPr>
          <w:rFonts w:ascii="Calibri" w:eastAsiaTheme="minorHAnsi" w:cs="Calibri"/>
          <w:lang w:val="en-GB"/>
        </w:rPr>
        <w:t xml:space="preserve">, N., and </w:t>
      </w:r>
      <w:proofErr w:type="spellStart"/>
      <w:r w:rsidRPr="00A02701">
        <w:rPr>
          <w:rFonts w:ascii="Calibri" w:eastAsiaTheme="minorHAnsi" w:cs="Calibri"/>
          <w:lang w:val="en-GB"/>
        </w:rPr>
        <w:t>Mikkonen</w:t>
      </w:r>
      <w:proofErr w:type="spellEnd"/>
      <w:r w:rsidRPr="00A02701">
        <w:rPr>
          <w:rFonts w:ascii="Calibri" w:eastAsiaTheme="minorHAnsi" w:cs="Calibri"/>
          <w:lang w:val="en-GB"/>
        </w:rPr>
        <w:t xml:space="preserve">, T. (2018) ‘Challenges When Moving from Monolith to Microservice Architecture’, in </w:t>
      </w:r>
      <w:proofErr w:type="spellStart"/>
      <w:r w:rsidRPr="00A02701">
        <w:rPr>
          <w:rFonts w:ascii="Calibri" w:eastAsiaTheme="minorHAnsi" w:cs="Calibri"/>
          <w:lang w:val="en-GB"/>
        </w:rPr>
        <w:t>Garrigós</w:t>
      </w:r>
      <w:proofErr w:type="spellEnd"/>
      <w:r w:rsidRPr="00A02701">
        <w:rPr>
          <w:rFonts w:ascii="Calibri" w:eastAsiaTheme="minorHAnsi" w:cs="Calibri"/>
          <w:lang w:val="en-GB"/>
        </w:rPr>
        <w:t xml:space="preserve">, I. and </w:t>
      </w:r>
      <w:proofErr w:type="spellStart"/>
      <w:r w:rsidRPr="00A02701">
        <w:rPr>
          <w:rFonts w:ascii="Calibri" w:eastAsiaTheme="minorHAnsi" w:cs="Calibri"/>
          <w:lang w:val="en-GB"/>
        </w:rPr>
        <w:t>Wimmer</w:t>
      </w:r>
      <w:proofErr w:type="spellEnd"/>
      <w:r w:rsidRPr="00A02701">
        <w:rPr>
          <w:rFonts w:ascii="Calibri" w:eastAsiaTheme="minorHAnsi" w:cs="Calibri"/>
          <w:lang w:val="en-GB"/>
        </w:rPr>
        <w:t xml:space="preserve">, M., eds, </w:t>
      </w:r>
      <w:r w:rsidRPr="00A02701">
        <w:rPr>
          <w:rFonts w:ascii="Calibri" w:eastAsiaTheme="minorHAnsi" w:cs="Calibri"/>
          <w:i/>
          <w:iCs/>
          <w:lang w:val="en-GB"/>
        </w:rPr>
        <w:t>Current Trends in Web Engineering</w:t>
      </w:r>
      <w:r w:rsidRPr="00A02701">
        <w:rPr>
          <w:rFonts w:ascii="Calibri" w:eastAsiaTheme="minorHAnsi" w:cs="Calibri"/>
          <w:lang w:val="en-GB"/>
        </w:rPr>
        <w:t>, Lecture Notes in Computer Science, Cham: Springer International Publishing, 32–47, available: https://doi.org/10.1007/978-3-319-74433-9_3.</w:t>
      </w:r>
    </w:p>
    <w:p w14:paraId="79A730F3"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Karthik Reddy </w:t>
      </w:r>
      <w:proofErr w:type="spellStart"/>
      <w:r w:rsidRPr="00A02701">
        <w:rPr>
          <w:rFonts w:ascii="Calibri" w:eastAsiaTheme="minorHAnsi" w:cs="Calibri"/>
          <w:lang w:val="en-GB"/>
        </w:rPr>
        <w:t>Thondalapally</w:t>
      </w:r>
      <w:proofErr w:type="spellEnd"/>
      <w:r w:rsidRPr="00A02701">
        <w:rPr>
          <w:rFonts w:ascii="Calibri" w:eastAsiaTheme="minorHAnsi" w:cs="Calibri"/>
          <w:lang w:val="en-GB"/>
        </w:rPr>
        <w:t xml:space="preserve"> (2025) ‘Event-Driven Architectures: The Foundation of Modern Distributed Systems’, </w:t>
      </w:r>
      <w:r w:rsidRPr="00A02701">
        <w:rPr>
          <w:rFonts w:ascii="Calibri" w:eastAsiaTheme="minorHAnsi" w:cs="Calibri"/>
          <w:i/>
          <w:iCs/>
          <w:lang w:val="en-GB"/>
        </w:rPr>
        <w:t>International Journal on Science and Technology</w:t>
      </w:r>
      <w:r w:rsidRPr="00A02701">
        <w:rPr>
          <w:rFonts w:ascii="Calibri" w:eastAsiaTheme="minorHAnsi" w:cs="Calibri"/>
          <w:lang w:val="en-GB"/>
        </w:rPr>
        <w:t>, 16(1), 2907, available: https://doi.org/10.71097/IJSAT.v16.i1.2907.</w:t>
      </w:r>
    </w:p>
    <w:p w14:paraId="1E0DDE0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Kasaram</w:t>
      </w:r>
      <w:proofErr w:type="spellEnd"/>
      <w:r w:rsidRPr="00A02701">
        <w:rPr>
          <w:rFonts w:ascii="Calibri" w:eastAsiaTheme="minorHAnsi" w:cs="Calibri"/>
          <w:lang w:val="en-GB"/>
        </w:rPr>
        <w:t xml:space="preserve">, C.R. (2023) ‘Harnessing Asynchronous Patterns with Event Driven Kafka and Microservices Architectures’, </w:t>
      </w:r>
      <w:r w:rsidRPr="00A02701">
        <w:rPr>
          <w:rFonts w:ascii="Calibri" w:eastAsiaTheme="minorHAnsi" w:cs="Calibri"/>
          <w:i/>
          <w:iCs/>
          <w:lang w:val="en-GB"/>
        </w:rPr>
        <w:t>Journal of Artificial Intelligence &amp; Cloud Computing</w:t>
      </w:r>
      <w:r w:rsidRPr="00A02701">
        <w:rPr>
          <w:rFonts w:ascii="Calibri" w:eastAsiaTheme="minorHAnsi" w:cs="Calibri"/>
          <w:lang w:val="en-GB"/>
        </w:rPr>
        <w:t>, 2(4), 1, available: https://doi.org/10.47363/JAICC/2023(2)502.</w:t>
      </w:r>
    </w:p>
    <w:p w14:paraId="150A8C6E"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Kiani</w:t>
      </w:r>
      <w:proofErr w:type="spellEnd"/>
      <w:r w:rsidRPr="00A02701">
        <w:rPr>
          <w:rFonts w:ascii="Calibri" w:eastAsiaTheme="minorHAnsi" w:cs="Calibri"/>
          <w:lang w:val="en-GB"/>
        </w:rPr>
        <w:t xml:space="preserve">, A.A., Sarwar, A., Arshad, H., Bibi, A., Ahmad, F.B., and Ahmed, W. (2024) ‘Catalysing Monolithic to </w:t>
      </w:r>
      <w:proofErr w:type="spellStart"/>
      <w:r w:rsidRPr="00A02701">
        <w:rPr>
          <w:rFonts w:ascii="Calibri" w:eastAsiaTheme="minorHAnsi" w:cs="Calibri"/>
          <w:lang w:val="en-GB"/>
        </w:rPr>
        <w:t>Microsevices</w:t>
      </w:r>
      <w:proofErr w:type="spellEnd"/>
      <w:r w:rsidRPr="00A02701">
        <w:rPr>
          <w:rFonts w:ascii="Calibri" w:eastAsiaTheme="minorHAnsi" w:cs="Calibri"/>
          <w:lang w:val="en-GB"/>
        </w:rPr>
        <w:t xml:space="preserve"> Migration: A Strategic Approach Using Refactoring and Pilot Projects’, in </w:t>
      </w:r>
      <w:r w:rsidRPr="00A02701">
        <w:rPr>
          <w:rFonts w:ascii="Calibri" w:eastAsiaTheme="minorHAnsi" w:cs="Calibri"/>
          <w:i/>
          <w:iCs/>
          <w:lang w:val="en-GB"/>
        </w:rPr>
        <w:t>2024 International Conference on Engineering &amp;amp; Computing Technologies (ICECT)</w:t>
      </w:r>
      <w:r w:rsidRPr="00A02701">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50BA170D"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Laigner</w:t>
      </w:r>
      <w:proofErr w:type="spellEnd"/>
      <w:r w:rsidRPr="00A02701">
        <w:rPr>
          <w:rFonts w:ascii="Calibri" w:eastAsiaTheme="minorHAnsi" w:cs="Calibri"/>
          <w:lang w:val="en-GB"/>
        </w:rPr>
        <w:t xml:space="preserve">, R., Almeida, A.C., </w:t>
      </w:r>
      <w:proofErr w:type="spellStart"/>
      <w:r w:rsidRPr="00A02701">
        <w:rPr>
          <w:rFonts w:ascii="Calibri" w:eastAsiaTheme="minorHAnsi" w:cs="Calibri"/>
          <w:lang w:val="en-GB"/>
        </w:rPr>
        <w:t>Assunção</w:t>
      </w:r>
      <w:proofErr w:type="spellEnd"/>
      <w:r w:rsidRPr="00A02701">
        <w:rPr>
          <w:rFonts w:ascii="Calibri" w:eastAsiaTheme="minorHAnsi" w:cs="Calibri"/>
          <w:lang w:val="en-GB"/>
        </w:rPr>
        <w:t>, W.K.G., and Zhou, Y. (2024) ‘An Empirical Study on Challenges of Event Management in Microservice Architectures’, available: https://doi.org/10.48550/arXiv.2408.00440.</w:t>
      </w:r>
    </w:p>
    <w:p w14:paraId="0E13255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Macías</w:t>
      </w:r>
      <w:proofErr w:type="spellEnd"/>
      <w:r w:rsidRPr="00A02701">
        <w:rPr>
          <w:rFonts w:ascii="Calibri" w:eastAsiaTheme="minorHAnsi" w:cs="Calibri"/>
          <w:lang w:val="en-GB"/>
        </w:rPr>
        <w:t xml:space="preserve">, A., Navarro, E., Cuesta, C.E., and Zdun, U. (2023) ‘Architecting Digital Twins Using a Domain-Driven Design-Based Approach*’, in </w:t>
      </w:r>
      <w:r w:rsidRPr="00A02701">
        <w:rPr>
          <w:rFonts w:ascii="Calibri" w:eastAsiaTheme="minorHAnsi" w:cs="Calibri"/>
          <w:i/>
          <w:iCs/>
          <w:lang w:val="en-GB"/>
        </w:rPr>
        <w:t>2023 IEEE 20th International Conference on Software Architecture (ICSA)</w:t>
      </w:r>
      <w:r w:rsidRPr="00A02701">
        <w:rPr>
          <w:rFonts w:ascii="Calibri" w:eastAsiaTheme="minorHAnsi" w:cs="Calibri"/>
          <w:lang w:val="en-GB"/>
        </w:rPr>
        <w:t>, Presented at the 2023 IEEE 20th International Conference on Software Architecture (ICSA), L’Aquila, Italy: IEEE, 153–163, available: https://doi.org/10.1109/ICSA56044.2023.00022.</w:t>
      </w:r>
    </w:p>
    <w:p w14:paraId="0F8B54D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McIlroy, M.D., Pinson, E.N., and Tague, B.A. (1978) ‘UNIX Time-Sharing System: Foreword’, </w:t>
      </w:r>
      <w:r w:rsidRPr="00A02701">
        <w:rPr>
          <w:rFonts w:ascii="Calibri" w:eastAsiaTheme="minorHAnsi" w:cs="Calibri"/>
          <w:i/>
          <w:iCs/>
          <w:lang w:val="en-GB"/>
        </w:rPr>
        <w:t>Bell System Technical Journal</w:t>
      </w:r>
      <w:r w:rsidRPr="00A02701">
        <w:rPr>
          <w:rFonts w:ascii="Calibri" w:eastAsiaTheme="minorHAnsi" w:cs="Calibri"/>
          <w:lang w:val="en-GB"/>
        </w:rPr>
        <w:t>, 57(6), 1899–1904, available: https://doi.org/10.1002/j.1538-7305.1978.tb02135.x.</w:t>
      </w:r>
    </w:p>
    <w:p w14:paraId="6F438437"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Mishra, R., Jaiswal, N., Prakash, R., and </w:t>
      </w:r>
      <w:proofErr w:type="spellStart"/>
      <w:r w:rsidRPr="00A02701">
        <w:rPr>
          <w:rFonts w:ascii="Calibri" w:eastAsiaTheme="minorHAnsi" w:cs="Calibri"/>
          <w:lang w:val="en-GB"/>
        </w:rPr>
        <w:t>Barwal</w:t>
      </w:r>
      <w:proofErr w:type="spellEnd"/>
      <w:r w:rsidRPr="00A02701">
        <w:rPr>
          <w:rFonts w:ascii="Calibri" w:eastAsiaTheme="minorHAnsi" w:cs="Calibri"/>
          <w:lang w:val="en-GB"/>
        </w:rPr>
        <w:t xml:space="preserve">, P.N. (2022) ‘Transition from Monolithic to Microservices Architecture: Need and proposed pipeline’, in </w:t>
      </w:r>
      <w:r w:rsidRPr="00A02701">
        <w:rPr>
          <w:rFonts w:ascii="Calibri" w:eastAsiaTheme="minorHAnsi" w:cs="Calibri"/>
          <w:i/>
          <w:iCs/>
          <w:lang w:val="en-GB"/>
        </w:rPr>
        <w:t>2022 International Conference on Futuristic Technologies (INCOFT)</w:t>
      </w:r>
      <w:r w:rsidRPr="00A02701">
        <w:rPr>
          <w:rFonts w:ascii="Calibri" w:eastAsiaTheme="minorHAnsi" w:cs="Calibri"/>
          <w:lang w:val="en-GB"/>
        </w:rPr>
        <w:t>, Presented at the 2022 International Conference on Futuristic Technologies (INCOFT), Belgaum, India: IEEE, 1–6, available: https://doi.org/10.1109/INCOFT55651.2022.10094556.</w:t>
      </w:r>
    </w:p>
    <w:p w14:paraId="0C341B55"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Miyachi, C. (2021) ‘The Rise of Kubernetes’, in </w:t>
      </w:r>
      <w:r w:rsidRPr="00A02701">
        <w:rPr>
          <w:rFonts w:ascii="Calibri" w:eastAsiaTheme="minorHAnsi" w:cs="Calibri"/>
          <w:i/>
          <w:iCs/>
          <w:lang w:val="en-GB"/>
        </w:rPr>
        <w:t>2021 Cloud Continuum</w:t>
      </w:r>
      <w:r w:rsidRPr="00A02701">
        <w:rPr>
          <w:rFonts w:ascii="Calibri" w:eastAsiaTheme="minorHAnsi" w:cs="Calibri"/>
          <w:lang w:val="en-GB"/>
        </w:rPr>
        <w:t>, Presented at the 2021 Cloud Continuum, Los Alamitos, CA, USA: IEEE, 1–5, available: https://doi.org/10.1109/CloudContinuum54760.2021.00002.</w:t>
      </w:r>
    </w:p>
    <w:p w14:paraId="46094E57"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Myllynen</w:t>
      </w:r>
      <w:proofErr w:type="spellEnd"/>
      <w:r w:rsidRPr="00A02701">
        <w:rPr>
          <w:rFonts w:ascii="Calibri" w:eastAsiaTheme="minorHAnsi" w:cs="Calibri"/>
          <w:lang w:val="en-GB"/>
        </w:rPr>
        <w:t xml:space="preserve">, T., Kamau, E., Mustapha, S.D., Babatunde, G.O., and Alabi, A.A. (2023) ‘Developing a Conceptual Model for Cross-Domain Microservices Using Event-Driven and Domain-Driven Design’, </w:t>
      </w:r>
      <w:r w:rsidRPr="00A02701">
        <w:rPr>
          <w:rFonts w:ascii="Calibri" w:eastAsiaTheme="minorHAnsi" w:cs="Calibri"/>
          <w:i/>
          <w:iCs/>
          <w:lang w:val="en-GB"/>
        </w:rPr>
        <w:t>International Journal of Multidisciplinary Research and Growth Evaluation</w:t>
      </w:r>
      <w:r w:rsidRPr="00A02701">
        <w:rPr>
          <w:rFonts w:ascii="Calibri" w:eastAsiaTheme="minorHAnsi" w:cs="Calibri"/>
          <w:lang w:val="en-GB"/>
        </w:rPr>
        <w:t>, 4(1), 635–638, available: https://doi.org/10.54660/.IJMRGE.2023.4.1.635-638.</w:t>
      </w:r>
    </w:p>
    <w:p w14:paraId="6E0F3DDD"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Otsetova</w:t>
      </w:r>
      <w:proofErr w:type="spellEnd"/>
      <w:r w:rsidRPr="00A02701">
        <w:rPr>
          <w:rFonts w:ascii="Calibri" w:eastAsiaTheme="minorHAnsi" w:cs="Calibri"/>
          <w:lang w:val="en-GB"/>
        </w:rPr>
        <w:t xml:space="preserve">, A. (2019) ‘Postal Sector Transformation in Digital Economy’, </w:t>
      </w:r>
      <w:r w:rsidRPr="00A02701">
        <w:rPr>
          <w:rFonts w:ascii="Calibri" w:eastAsiaTheme="minorHAnsi" w:cs="Calibri"/>
          <w:i/>
          <w:iCs/>
          <w:lang w:val="en-GB"/>
        </w:rPr>
        <w:t>International Journal</w:t>
      </w:r>
      <w:r w:rsidRPr="00A02701">
        <w:rPr>
          <w:rFonts w:ascii="Calibri" w:eastAsiaTheme="minorHAnsi" w:cs="Calibri"/>
          <w:lang w:val="en-GB"/>
        </w:rPr>
        <w:t>, 8(2).</w:t>
      </w:r>
    </w:p>
    <w:p w14:paraId="59C53474"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Oumoussa</w:t>
      </w:r>
      <w:proofErr w:type="spellEnd"/>
      <w:r w:rsidRPr="00A02701">
        <w:rPr>
          <w:rFonts w:ascii="Calibri" w:eastAsiaTheme="minorHAnsi" w:cs="Calibri"/>
          <w:lang w:val="en-GB"/>
        </w:rPr>
        <w:t xml:space="preserve">, I. and </w:t>
      </w:r>
      <w:proofErr w:type="spellStart"/>
      <w:r w:rsidRPr="00A02701">
        <w:rPr>
          <w:rFonts w:ascii="Calibri" w:eastAsiaTheme="minorHAnsi" w:cs="Calibri"/>
          <w:lang w:val="en-GB"/>
        </w:rPr>
        <w:t>Saidi</w:t>
      </w:r>
      <w:proofErr w:type="spellEnd"/>
      <w:r w:rsidRPr="00A02701">
        <w:rPr>
          <w:rFonts w:ascii="Calibri" w:eastAsiaTheme="minorHAnsi" w:cs="Calibri"/>
          <w:lang w:val="en-GB"/>
        </w:rPr>
        <w:t xml:space="preserve">, R. (2024) ‘Evolution of Microservices Identification in Monolith Decomposition: A Systematic Review’, </w:t>
      </w:r>
      <w:r w:rsidRPr="00A02701">
        <w:rPr>
          <w:rFonts w:ascii="Calibri" w:eastAsiaTheme="minorHAnsi" w:cs="Calibri"/>
          <w:i/>
          <w:iCs/>
          <w:lang w:val="en-GB"/>
        </w:rPr>
        <w:t>IEEE Access</w:t>
      </w:r>
      <w:r w:rsidRPr="00A02701">
        <w:rPr>
          <w:rFonts w:ascii="Calibri" w:eastAsiaTheme="minorHAnsi" w:cs="Calibri"/>
          <w:lang w:val="en-GB"/>
        </w:rPr>
        <w:t>, 12, 23389–23405, available: https://doi.org/10.1109/ACCESS.2024.3365079.</w:t>
      </w:r>
    </w:p>
    <w:p w14:paraId="7D7A390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Pallempati</w:t>
      </w:r>
      <w:proofErr w:type="spellEnd"/>
      <w:r w:rsidRPr="00A02701">
        <w:rPr>
          <w:rFonts w:ascii="Calibri" w:eastAsiaTheme="minorHAnsi" w:cs="Calibri"/>
          <w:lang w:val="en-GB"/>
        </w:rPr>
        <w:t xml:space="preserve">, I., Lakshmi, D.V., and Das, M.S. (2024) ‘Handwritten Character Recognition and Vehicle Number Recognition using OCR Method’, in </w:t>
      </w:r>
      <w:r w:rsidRPr="00A02701">
        <w:rPr>
          <w:rFonts w:ascii="Calibri" w:eastAsiaTheme="minorHAnsi" w:cs="Calibri"/>
          <w:i/>
          <w:iCs/>
          <w:lang w:val="en-GB"/>
        </w:rPr>
        <w:t>2024 Third International Conference on Trends in Electrical, Electronics, and Computer Engineering (TEECCON)</w:t>
      </w:r>
      <w:r w:rsidRPr="00A02701">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54E9C6A9"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Platunina</w:t>
      </w:r>
      <w:proofErr w:type="spellEnd"/>
      <w:r w:rsidRPr="00A02701">
        <w:rPr>
          <w:rFonts w:ascii="Calibri" w:eastAsiaTheme="minorHAnsi" w:cs="Calibri"/>
          <w:lang w:val="en-GB"/>
        </w:rPr>
        <w:t xml:space="preserve">, G.P., </w:t>
      </w:r>
      <w:proofErr w:type="spellStart"/>
      <w:r w:rsidRPr="00A02701">
        <w:rPr>
          <w:rFonts w:ascii="Calibri" w:eastAsiaTheme="minorHAnsi" w:cs="Calibri"/>
          <w:lang w:val="en-GB"/>
        </w:rPr>
        <w:t>Salutina</w:t>
      </w:r>
      <w:proofErr w:type="spellEnd"/>
      <w:r w:rsidRPr="00A02701">
        <w:rPr>
          <w:rFonts w:ascii="Calibri" w:eastAsiaTheme="minorHAnsi" w:cs="Calibri"/>
          <w:lang w:val="en-GB"/>
        </w:rPr>
        <w:t xml:space="preserve">, T.Y., </w:t>
      </w:r>
      <w:proofErr w:type="spellStart"/>
      <w:r w:rsidRPr="00A02701">
        <w:rPr>
          <w:rFonts w:ascii="Calibri" w:eastAsiaTheme="minorHAnsi" w:cs="Calibri"/>
          <w:lang w:val="en-GB"/>
        </w:rPr>
        <w:t>Gnezdova</w:t>
      </w:r>
      <w:proofErr w:type="spellEnd"/>
      <w:r w:rsidRPr="00A02701">
        <w:rPr>
          <w:rFonts w:ascii="Calibri" w:eastAsiaTheme="minorHAnsi" w:cs="Calibri"/>
          <w:lang w:val="en-GB"/>
        </w:rPr>
        <w:t xml:space="preserve">, Y.V., and Frank, I.A. (2025) ‘Technological controlling: digital transformation of management decisions’, in </w:t>
      </w:r>
      <w:r w:rsidRPr="00A02701">
        <w:rPr>
          <w:rFonts w:ascii="Calibri" w:eastAsiaTheme="minorHAnsi" w:cs="Calibri"/>
          <w:i/>
          <w:iCs/>
          <w:lang w:val="en-GB"/>
        </w:rPr>
        <w:t xml:space="preserve">2025 International Conference on Engineering </w:t>
      </w:r>
      <w:r w:rsidRPr="00A02701">
        <w:rPr>
          <w:rFonts w:ascii="Calibri" w:eastAsiaTheme="minorHAnsi" w:cs="Calibri"/>
          <w:i/>
          <w:iCs/>
          <w:lang w:val="en-GB"/>
        </w:rPr>
        <w:lastRenderedPageBreak/>
        <w:t>Management of Communication and Technology (EMCTECH)</w:t>
      </w:r>
      <w:r w:rsidRPr="00A02701">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27771F6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Qi, J., Li, S., Wang, H., Yuan, S., Li, P., Qian, H., Liu, Z., and He, X. (2023) ‘Critical System Design Based on High Availability Cluster Technology’, in </w:t>
      </w:r>
      <w:r w:rsidRPr="00A02701">
        <w:rPr>
          <w:rFonts w:ascii="Calibri" w:eastAsiaTheme="minorHAnsi" w:cs="Calibri"/>
          <w:i/>
          <w:iCs/>
          <w:lang w:val="en-GB"/>
        </w:rPr>
        <w:t>2023 4th International Conference on Big Data &amp; Artificial Intelligence &amp; Software Engineering (ICBASE)</w:t>
      </w:r>
      <w:r w:rsidRPr="00A02701">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1FFD973B"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Samambet</w:t>
      </w:r>
      <w:proofErr w:type="spellEnd"/>
      <w:r w:rsidRPr="00A02701">
        <w:rPr>
          <w:rFonts w:ascii="Calibri" w:eastAsiaTheme="minorHAnsi" w:cs="Calibri"/>
          <w:lang w:val="en-GB"/>
        </w:rPr>
        <w:t xml:space="preserve">, M. and </w:t>
      </w:r>
      <w:proofErr w:type="spellStart"/>
      <w:r w:rsidRPr="00A02701">
        <w:rPr>
          <w:rFonts w:ascii="Calibri" w:eastAsiaTheme="minorHAnsi" w:cs="Calibri"/>
          <w:lang w:val="en-GB"/>
        </w:rPr>
        <w:t>Khouangvichit</w:t>
      </w:r>
      <w:proofErr w:type="spellEnd"/>
      <w:r w:rsidRPr="00A02701">
        <w:rPr>
          <w:rFonts w:ascii="Calibri" w:eastAsiaTheme="minorHAnsi" w:cs="Calibri"/>
          <w:lang w:val="en-GB"/>
        </w:rPr>
        <w:t xml:space="preserve">, C. (2025) ‘OUTSMARTING THE HURDLES TO DIGITALIZING THE POSTAL SECTOR: THE CASE OF DEUTSCHE POST, POSTE ITALIANE, AND ROYAL MAIL’, </w:t>
      </w:r>
      <w:r w:rsidRPr="00A02701">
        <w:rPr>
          <w:rFonts w:ascii="Calibri" w:eastAsiaTheme="minorHAnsi" w:cs="Calibri"/>
          <w:i/>
          <w:iCs/>
          <w:lang w:val="en-GB"/>
        </w:rPr>
        <w:t>International Journal of Professional Business Review</w:t>
      </w:r>
      <w:r w:rsidRPr="00A02701">
        <w:rPr>
          <w:rFonts w:ascii="Calibri" w:eastAsiaTheme="minorHAnsi" w:cs="Calibri"/>
          <w:lang w:val="en-GB"/>
        </w:rPr>
        <w:t>, 10(3), e05355, available: https://doi.org/10.26668/businessreview/2025.v10i3.5355.</w:t>
      </w:r>
    </w:p>
    <w:p w14:paraId="5E9F64DC"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Saxena, A., Singh, S., Prakash, S., Yang, T., and Rathore, R.S. (2024) ‘DevOps Automation Pipeline Deployment with </w:t>
      </w:r>
      <w:proofErr w:type="spellStart"/>
      <w:r w:rsidRPr="00A02701">
        <w:rPr>
          <w:rFonts w:ascii="Calibri" w:eastAsiaTheme="minorHAnsi" w:cs="Calibri"/>
          <w:lang w:val="en-GB"/>
        </w:rPr>
        <w:t>IaC</w:t>
      </w:r>
      <w:proofErr w:type="spellEnd"/>
      <w:r w:rsidRPr="00A02701">
        <w:rPr>
          <w:rFonts w:ascii="Calibri" w:eastAsiaTheme="minorHAnsi" w:cs="Calibri"/>
          <w:lang w:val="en-GB"/>
        </w:rPr>
        <w:t xml:space="preserve"> (Infrastructure as Code)’, in </w:t>
      </w:r>
      <w:r w:rsidRPr="00A02701">
        <w:rPr>
          <w:rFonts w:ascii="Calibri" w:eastAsiaTheme="minorHAnsi" w:cs="Calibri"/>
          <w:i/>
          <w:iCs/>
          <w:lang w:val="en-GB"/>
        </w:rPr>
        <w:t xml:space="preserve">2024 IEEE </w:t>
      </w:r>
      <w:proofErr w:type="spellStart"/>
      <w:r w:rsidRPr="00A02701">
        <w:rPr>
          <w:rFonts w:ascii="Calibri" w:eastAsiaTheme="minorHAnsi" w:cs="Calibri"/>
          <w:i/>
          <w:iCs/>
          <w:lang w:val="en-GB"/>
        </w:rPr>
        <w:t>Silchar</w:t>
      </w:r>
      <w:proofErr w:type="spellEnd"/>
      <w:r w:rsidRPr="00A02701">
        <w:rPr>
          <w:rFonts w:ascii="Calibri" w:eastAsiaTheme="minorHAnsi" w:cs="Calibri"/>
          <w:i/>
          <w:iCs/>
          <w:lang w:val="en-GB"/>
        </w:rPr>
        <w:t xml:space="preserve"> Subsection Conference (SILCON 2024)</w:t>
      </w:r>
      <w:r w:rsidRPr="00A02701">
        <w:rPr>
          <w:rFonts w:ascii="Calibri" w:eastAsiaTheme="minorHAnsi" w:cs="Calibri"/>
          <w:lang w:val="en-GB"/>
        </w:rPr>
        <w:t xml:space="preserve">, Presented at the 2024 IEEE </w:t>
      </w:r>
      <w:proofErr w:type="spellStart"/>
      <w:r w:rsidRPr="00A02701">
        <w:rPr>
          <w:rFonts w:ascii="Calibri" w:eastAsiaTheme="minorHAnsi" w:cs="Calibri"/>
          <w:lang w:val="en-GB"/>
        </w:rPr>
        <w:t>Silchar</w:t>
      </w:r>
      <w:proofErr w:type="spellEnd"/>
      <w:r w:rsidRPr="00A02701">
        <w:rPr>
          <w:rFonts w:ascii="Calibri" w:eastAsiaTheme="minorHAnsi" w:cs="Calibri"/>
          <w:lang w:val="en-GB"/>
        </w:rPr>
        <w:t xml:space="preserve"> Subsection Conference (SILCON), Agartala, India: IEEE, 1–6, available: https://doi.org/10.1109/SILCON63976.2024.10910699.</w:t>
      </w:r>
    </w:p>
    <w:p w14:paraId="23ED2F21"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Sharavova</w:t>
      </w:r>
      <w:proofErr w:type="spellEnd"/>
      <w:r w:rsidRPr="00A02701">
        <w:rPr>
          <w:rFonts w:ascii="Calibri" w:eastAsiaTheme="minorHAnsi" w:cs="Calibri"/>
          <w:lang w:val="en-GB"/>
        </w:rPr>
        <w:t xml:space="preserve">, O.I., </w:t>
      </w:r>
      <w:proofErr w:type="spellStart"/>
      <w:r w:rsidRPr="00A02701">
        <w:rPr>
          <w:rFonts w:ascii="Calibri" w:eastAsiaTheme="minorHAnsi" w:cs="Calibri"/>
          <w:lang w:val="en-GB"/>
        </w:rPr>
        <w:t>Sharavova</w:t>
      </w:r>
      <w:proofErr w:type="spellEnd"/>
      <w:r w:rsidRPr="00A02701">
        <w:rPr>
          <w:rFonts w:ascii="Calibri" w:eastAsiaTheme="minorHAnsi" w:cs="Calibri"/>
          <w:lang w:val="en-GB"/>
        </w:rPr>
        <w:t xml:space="preserve">, M.M., </w:t>
      </w:r>
      <w:proofErr w:type="spellStart"/>
      <w:r w:rsidRPr="00A02701">
        <w:rPr>
          <w:rFonts w:ascii="Calibri" w:eastAsiaTheme="minorHAnsi" w:cs="Calibri"/>
          <w:lang w:val="en-GB"/>
        </w:rPr>
        <w:t>Kuzovkova</w:t>
      </w:r>
      <w:proofErr w:type="spellEnd"/>
      <w:r w:rsidRPr="00A02701">
        <w:rPr>
          <w:rFonts w:ascii="Calibri" w:eastAsiaTheme="minorHAnsi" w:cs="Calibri"/>
          <w:lang w:val="en-GB"/>
        </w:rPr>
        <w:t xml:space="preserve">, T.A., and </w:t>
      </w:r>
      <w:proofErr w:type="spellStart"/>
      <w:r w:rsidRPr="00A02701">
        <w:rPr>
          <w:rFonts w:ascii="Calibri" w:eastAsiaTheme="minorHAnsi" w:cs="Calibri"/>
          <w:lang w:val="en-GB"/>
        </w:rPr>
        <w:t>Zholtikova</w:t>
      </w:r>
      <w:proofErr w:type="spellEnd"/>
      <w:r w:rsidRPr="00A02701">
        <w:rPr>
          <w:rFonts w:ascii="Calibri" w:eastAsiaTheme="minorHAnsi" w:cs="Calibri"/>
          <w:lang w:val="en-GB"/>
        </w:rPr>
        <w:t xml:space="preserve">, P.A. (2025) ‘Digital Transformation and the Evolution of its Socio-Economic Consequences’, in </w:t>
      </w:r>
      <w:r w:rsidRPr="00A02701">
        <w:rPr>
          <w:rFonts w:ascii="Calibri" w:eastAsiaTheme="minorHAnsi" w:cs="Calibri"/>
          <w:i/>
          <w:iCs/>
          <w:lang w:val="en-GB"/>
        </w:rPr>
        <w:t>2025 International Conference on Engineering Management of Communication and Technology (EMCTECH)</w:t>
      </w:r>
      <w:r w:rsidRPr="00A02701">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5D35CB58"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Solanki, J.M. (2026) ‘AI Driven Multi Cloud Strategies for Financial Services: Ensuring High Availability with AWS and Kubernetes’, in </w:t>
      </w:r>
      <w:r w:rsidRPr="00A02701">
        <w:rPr>
          <w:rFonts w:ascii="Calibri" w:eastAsiaTheme="minorHAnsi" w:cs="Calibri"/>
          <w:i/>
          <w:iCs/>
          <w:lang w:val="en-GB"/>
        </w:rPr>
        <w:t>2026 IEEE 5th International Conference on AI in Cybersecurity (ICAIC)</w:t>
      </w:r>
      <w:r w:rsidRPr="00A02701">
        <w:rPr>
          <w:rFonts w:ascii="Calibri" w:eastAsiaTheme="minorHAnsi" w:cs="Calibri"/>
          <w:lang w:val="en-GB"/>
        </w:rPr>
        <w:t>, Presented at the 2026 IEEE 5th International Conference on AI in Cybersecurity (ICAIC), Houston, TX, USA: IEEE, 1–5, available: https://doi.org/10.1109/ICAIC67076.2026.11395684.</w:t>
      </w:r>
    </w:p>
    <w:p w14:paraId="73C6DE4F"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Tcukanova</w:t>
      </w:r>
      <w:proofErr w:type="spellEnd"/>
      <w:r w:rsidRPr="00A02701">
        <w:rPr>
          <w:rFonts w:ascii="Calibri" w:eastAsiaTheme="minorHAnsi" w:cs="Calibri"/>
          <w:lang w:val="en-GB"/>
        </w:rPr>
        <w:t xml:space="preserve">, O.A., Torosyan, E.K., </w:t>
      </w:r>
      <w:proofErr w:type="spellStart"/>
      <w:r w:rsidRPr="00A02701">
        <w:rPr>
          <w:rFonts w:ascii="Calibri" w:eastAsiaTheme="minorHAnsi" w:cs="Calibri"/>
          <w:lang w:val="en-GB"/>
        </w:rPr>
        <w:t>Kiykova</w:t>
      </w:r>
      <w:proofErr w:type="spellEnd"/>
      <w:r w:rsidRPr="00A02701">
        <w:rPr>
          <w:rFonts w:ascii="Calibri" w:eastAsiaTheme="minorHAnsi" w:cs="Calibri"/>
          <w:lang w:val="en-GB"/>
        </w:rPr>
        <w:t xml:space="preserve">, D.A., and </w:t>
      </w:r>
      <w:proofErr w:type="spellStart"/>
      <w:r w:rsidRPr="00A02701">
        <w:rPr>
          <w:rFonts w:ascii="Calibri" w:eastAsiaTheme="minorHAnsi" w:cs="Calibri"/>
          <w:lang w:val="en-GB"/>
        </w:rPr>
        <w:t>Panteleev</w:t>
      </w:r>
      <w:proofErr w:type="spellEnd"/>
      <w:r w:rsidRPr="00A02701">
        <w:rPr>
          <w:rFonts w:ascii="Calibri" w:eastAsiaTheme="minorHAnsi" w:cs="Calibri"/>
          <w:lang w:val="en-GB"/>
        </w:rPr>
        <w:t xml:space="preserve">, M.V. (2022) ‘Features of Managing the Digital Transformation of Medical Institutions’, in </w:t>
      </w:r>
      <w:r w:rsidRPr="00A02701">
        <w:rPr>
          <w:rFonts w:ascii="Calibri" w:eastAsiaTheme="minorHAnsi" w:cs="Calibri"/>
          <w:i/>
          <w:iCs/>
          <w:lang w:val="en-GB"/>
        </w:rPr>
        <w:t>2022 International Conference on Quality Management, Transport and Information Security, Information Technologies (IT&amp;QM&amp;IS)</w:t>
      </w:r>
      <w:r w:rsidRPr="00A02701">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2F4B79C2"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The Open Group (2022a) </w:t>
      </w:r>
      <w:r w:rsidRPr="00A02701">
        <w:rPr>
          <w:rFonts w:ascii="Calibri" w:eastAsiaTheme="minorHAnsi" w:cs="Calibri"/>
          <w:i/>
          <w:iCs/>
          <w:lang w:val="en-GB"/>
        </w:rPr>
        <w:t>TOGAF® Standard – Introduction and Core Concepts</w:t>
      </w:r>
      <w:r w:rsidRPr="00A02701">
        <w:rPr>
          <w:rFonts w:ascii="Calibri" w:eastAsiaTheme="minorHAnsi" w:cs="Calibri"/>
          <w:lang w:val="en-GB"/>
        </w:rPr>
        <w:t xml:space="preserve">, 10th </w:t>
      </w:r>
      <w:proofErr w:type="spellStart"/>
      <w:r w:rsidRPr="00A02701">
        <w:rPr>
          <w:rFonts w:ascii="Calibri" w:eastAsiaTheme="minorHAnsi" w:cs="Calibri"/>
          <w:lang w:val="en-GB"/>
        </w:rPr>
        <w:t>edn</w:t>
      </w:r>
      <w:proofErr w:type="spellEnd"/>
      <w:r w:rsidRPr="00A02701">
        <w:rPr>
          <w:rFonts w:ascii="Calibri" w:eastAsiaTheme="minorHAnsi" w:cs="Calibri"/>
          <w:lang w:val="en-GB"/>
        </w:rPr>
        <w:t>.</w:t>
      </w:r>
    </w:p>
    <w:p w14:paraId="7D8AC118"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The Open Group (2022b) </w:t>
      </w:r>
      <w:r w:rsidRPr="00A02701">
        <w:rPr>
          <w:rFonts w:ascii="Calibri" w:eastAsiaTheme="minorHAnsi" w:cs="Calibri"/>
          <w:i/>
          <w:iCs/>
          <w:lang w:val="en-GB"/>
        </w:rPr>
        <w:t>TOGAF® Standard — Architecture Development Method</w:t>
      </w:r>
      <w:r w:rsidRPr="00A02701">
        <w:rPr>
          <w:rFonts w:ascii="Calibri" w:eastAsiaTheme="minorHAnsi" w:cs="Calibri"/>
          <w:lang w:val="en-GB"/>
        </w:rPr>
        <w:t xml:space="preserve">, 10th </w:t>
      </w:r>
      <w:proofErr w:type="spellStart"/>
      <w:r w:rsidRPr="00A02701">
        <w:rPr>
          <w:rFonts w:ascii="Calibri" w:eastAsiaTheme="minorHAnsi" w:cs="Calibri"/>
          <w:lang w:val="en-GB"/>
        </w:rPr>
        <w:t>edn</w:t>
      </w:r>
      <w:proofErr w:type="spellEnd"/>
      <w:r w:rsidRPr="00A02701">
        <w:rPr>
          <w:rFonts w:ascii="Calibri" w:eastAsiaTheme="minorHAnsi" w:cs="Calibri"/>
          <w:lang w:val="en-GB"/>
        </w:rPr>
        <w:t>.</w:t>
      </w:r>
    </w:p>
    <w:p w14:paraId="4F1EA9B5"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Vural</w:t>
      </w:r>
      <w:proofErr w:type="spellEnd"/>
      <w:r w:rsidRPr="00A02701">
        <w:rPr>
          <w:rFonts w:ascii="Calibri" w:eastAsiaTheme="minorHAnsi" w:cs="Calibri"/>
          <w:lang w:val="en-GB"/>
        </w:rPr>
        <w:t xml:space="preserve">, H. and </w:t>
      </w:r>
      <w:proofErr w:type="spellStart"/>
      <w:r w:rsidRPr="00A02701">
        <w:rPr>
          <w:rFonts w:ascii="Calibri" w:eastAsiaTheme="minorHAnsi" w:cs="Calibri"/>
          <w:lang w:val="en-GB"/>
        </w:rPr>
        <w:t>Koyuncu</w:t>
      </w:r>
      <w:proofErr w:type="spellEnd"/>
      <w:r w:rsidRPr="00A02701">
        <w:rPr>
          <w:rFonts w:ascii="Calibri" w:eastAsiaTheme="minorHAnsi" w:cs="Calibri"/>
          <w:lang w:val="en-GB"/>
        </w:rPr>
        <w:t xml:space="preserve">, M. (2021) ‘Does Domain-Driven Design Lead to Finding the Optimal Modularity of a Microservice?’, </w:t>
      </w:r>
      <w:r w:rsidRPr="00A02701">
        <w:rPr>
          <w:rFonts w:ascii="Calibri" w:eastAsiaTheme="minorHAnsi" w:cs="Calibri"/>
          <w:i/>
          <w:iCs/>
          <w:lang w:val="en-GB"/>
        </w:rPr>
        <w:t>IEEE Access</w:t>
      </w:r>
      <w:r w:rsidRPr="00A02701">
        <w:rPr>
          <w:rFonts w:ascii="Calibri" w:eastAsiaTheme="minorHAnsi" w:cs="Calibri"/>
          <w:lang w:val="en-GB"/>
        </w:rPr>
        <w:t>, 9, 32721–32733, available: https://doi.org/10.1109/ACCESS.2021.3060895.</w:t>
      </w:r>
    </w:p>
    <w:p w14:paraId="6661657C" w14:textId="77777777" w:rsidR="00A02701" w:rsidRPr="00A02701" w:rsidRDefault="00A02701" w:rsidP="00A02701">
      <w:pPr>
        <w:pStyle w:val="Bibliography"/>
        <w:rPr>
          <w:rFonts w:ascii="Calibri" w:eastAsiaTheme="minorHAnsi" w:cs="Calibri"/>
          <w:lang w:val="en-GB"/>
        </w:rPr>
      </w:pPr>
      <w:proofErr w:type="spellStart"/>
      <w:r w:rsidRPr="00A02701">
        <w:rPr>
          <w:rFonts w:ascii="Calibri" w:eastAsiaTheme="minorHAnsi" w:cs="Calibri"/>
          <w:lang w:val="en-GB"/>
        </w:rPr>
        <w:t>Wolfart</w:t>
      </w:r>
      <w:proofErr w:type="spellEnd"/>
      <w:r w:rsidRPr="00A02701">
        <w:rPr>
          <w:rFonts w:ascii="Calibri" w:eastAsiaTheme="minorHAnsi" w:cs="Calibri"/>
          <w:lang w:val="en-GB"/>
        </w:rPr>
        <w:t xml:space="preserve">, D., </w:t>
      </w:r>
      <w:proofErr w:type="spellStart"/>
      <w:r w:rsidRPr="00A02701">
        <w:rPr>
          <w:rFonts w:ascii="Calibri" w:eastAsiaTheme="minorHAnsi" w:cs="Calibri"/>
          <w:lang w:val="en-GB"/>
        </w:rPr>
        <w:t>Assunção</w:t>
      </w:r>
      <w:proofErr w:type="spellEnd"/>
      <w:r w:rsidRPr="00A02701">
        <w:rPr>
          <w:rFonts w:ascii="Calibri" w:eastAsiaTheme="minorHAnsi" w:cs="Calibri"/>
          <w:lang w:val="en-GB"/>
        </w:rPr>
        <w:t xml:space="preserve">, W.K.G., Da Silva, I.F., </w:t>
      </w:r>
      <w:proofErr w:type="spellStart"/>
      <w:r w:rsidRPr="00A02701">
        <w:rPr>
          <w:rFonts w:ascii="Calibri" w:eastAsiaTheme="minorHAnsi" w:cs="Calibri"/>
          <w:lang w:val="en-GB"/>
        </w:rPr>
        <w:t>Domingos</w:t>
      </w:r>
      <w:proofErr w:type="spellEnd"/>
      <w:r w:rsidRPr="00A02701">
        <w:rPr>
          <w:rFonts w:ascii="Calibri" w:eastAsiaTheme="minorHAnsi" w:cs="Calibri"/>
          <w:lang w:val="en-GB"/>
        </w:rPr>
        <w:t xml:space="preserve">, D.C.P., </w:t>
      </w:r>
      <w:proofErr w:type="spellStart"/>
      <w:r w:rsidRPr="00A02701">
        <w:rPr>
          <w:rFonts w:ascii="Calibri" w:eastAsiaTheme="minorHAnsi" w:cs="Calibri"/>
          <w:lang w:val="en-GB"/>
        </w:rPr>
        <w:t>Schmeing</w:t>
      </w:r>
      <w:proofErr w:type="spellEnd"/>
      <w:r w:rsidRPr="00A02701">
        <w:rPr>
          <w:rFonts w:ascii="Calibri" w:eastAsiaTheme="minorHAnsi" w:cs="Calibri"/>
          <w:lang w:val="en-GB"/>
        </w:rPr>
        <w:t xml:space="preserve">, E., </w:t>
      </w:r>
      <w:proofErr w:type="spellStart"/>
      <w:r w:rsidRPr="00A02701">
        <w:rPr>
          <w:rFonts w:ascii="Calibri" w:eastAsiaTheme="minorHAnsi" w:cs="Calibri"/>
          <w:lang w:val="en-GB"/>
        </w:rPr>
        <w:t>Villaca</w:t>
      </w:r>
      <w:proofErr w:type="spellEnd"/>
      <w:r w:rsidRPr="00A02701">
        <w:rPr>
          <w:rFonts w:ascii="Calibri" w:eastAsiaTheme="minorHAnsi" w:cs="Calibri"/>
          <w:lang w:val="en-GB"/>
        </w:rPr>
        <w:t xml:space="preserve">, G.L.D., and </w:t>
      </w:r>
      <w:proofErr w:type="spellStart"/>
      <w:r w:rsidRPr="00A02701">
        <w:rPr>
          <w:rFonts w:ascii="Calibri" w:eastAsiaTheme="minorHAnsi" w:cs="Calibri"/>
          <w:lang w:val="en-GB"/>
        </w:rPr>
        <w:t>Paza</w:t>
      </w:r>
      <w:proofErr w:type="spellEnd"/>
      <w:r w:rsidRPr="00A02701">
        <w:rPr>
          <w:rFonts w:ascii="Calibri" w:eastAsiaTheme="minorHAnsi" w:cs="Calibri"/>
          <w:lang w:val="en-GB"/>
        </w:rPr>
        <w:t xml:space="preserve">, D.D.N. (2021) ‘Modernizing Legacy Systems with Microservices: A Roadmap’, in </w:t>
      </w:r>
      <w:r w:rsidRPr="00A02701">
        <w:rPr>
          <w:rFonts w:ascii="Calibri" w:eastAsiaTheme="minorHAnsi" w:cs="Calibri"/>
          <w:i/>
          <w:iCs/>
          <w:lang w:val="en-GB"/>
        </w:rPr>
        <w:t>Evaluation and Assessment in Software Engineering</w:t>
      </w:r>
      <w:r w:rsidRPr="00A02701">
        <w:rPr>
          <w:rFonts w:ascii="Calibri" w:eastAsiaTheme="minorHAnsi" w:cs="Calibri"/>
          <w:lang w:val="en-GB"/>
        </w:rPr>
        <w:t>, Presented at the EASE 2021: Evaluation and Assessment in Software Engineering, Trondheim Norway: ACM, 149–159, available: https://doi.org/10.1145/3463274.3463334.</w:t>
      </w:r>
    </w:p>
    <w:p w14:paraId="417F32F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Xu, Y. and Villiers, C. (2025) ‘The takeover of Royal Mail: lessons for the new owners from past corporate governance and trust failures’, </w:t>
      </w:r>
      <w:r w:rsidRPr="00A02701">
        <w:rPr>
          <w:rFonts w:ascii="Calibri" w:eastAsiaTheme="minorHAnsi" w:cs="Calibri"/>
          <w:i/>
          <w:iCs/>
          <w:lang w:val="en-GB"/>
        </w:rPr>
        <w:t>Journal of Corporate Law Studies</w:t>
      </w:r>
      <w:r w:rsidRPr="00A02701">
        <w:rPr>
          <w:rFonts w:ascii="Calibri" w:eastAsiaTheme="minorHAnsi" w:cs="Calibri"/>
          <w:lang w:val="en-GB"/>
        </w:rPr>
        <w:t>, 1–40, available: https://doi.org/10.1080/14735970.2025.2553430.</w:t>
      </w:r>
    </w:p>
    <w:p w14:paraId="47D41829"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Yoder, J.W. and Merson, P. (2020) ‘Strangler Patterns’.</w:t>
      </w:r>
    </w:p>
    <w:p w14:paraId="2EAFA73A"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Zeng, R., </w:t>
      </w:r>
      <w:proofErr w:type="spellStart"/>
      <w:r w:rsidRPr="00A02701">
        <w:rPr>
          <w:rFonts w:ascii="Calibri" w:eastAsiaTheme="minorHAnsi" w:cs="Calibri"/>
          <w:lang w:val="en-GB"/>
        </w:rPr>
        <w:t>Niu</w:t>
      </w:r>
      <w:proofErr w:type="spellEnd"/>
      <w:r w:rsidRPr="00A02701">
        <w:rPr>
          <w:rFonts w:ascii="Calibri" w:eastAsiaTheme="minorHAnsi" w:cs="Calibri"/>
          <w:lang w:val="en-GB"/>
        </w:rPr>
        <w:t xml:space="preserve">, Y., and </w:t>
      </w:r>
      <w:proofErr w:type="spellStart"/>
      <w:r w:rsidRPr="00A02701">
        <w:rPr>
          <w:rFonts w:ascii="Calibri" w:eastAsiaTheme="minorHAnsi" w:cs="Calibri"/>
          <w:lang w:val="en-GB"/>
        </w:rPr>
        <w:t>Qiao</w:t>
      </w:r>
      <w:proofErr w:type="spellEnd"/>
      <w:r w:rsidRPr="00A02701">
        <w:rPr>
          <w:rFonts w:ascii="Calibri" w:eastAsiaTheme="minorHAnsi" w:cs="Calibri"/>
          <w:lang w:val="en-GB"/>
        </w:rPr>
        <w:t xml:space="preserve">, L. (2023) ‘A Novel Construction Technology of Microservice Multi-Instance System Automatic Deployment and Upgrade’, in </w:t>
      </w:r>
      <w:r w:rsidRPr="00A02701">
        <w:rPr>
          <w:rFonts w:ascii="Calibri" w:eastAsiaTheme="minorHAnsi" w:cs="Calibri"/>
          <w:i/>
          <w:iCs/>
          <w:lang w:val="en-GB"/>
        </w:rPr>
        <w:t xml:space="preserve">2023 International Conference on </w:t>
      </w:r>
      <w:r w:rsidRPr="00A02701">
        <w:rPr>
          <w:rFonts w:ascii="Calibri" w:eastAsiaTheme="minorHAnsi" w:cs="Calibri"/>
          <w:i/>
          <w:iCs/>
          <w:lang w:val="en-GB"/>
        </w:rPr>
        <w:lastRenderedPageBreak/>
        <w:t>Networking and Network Applications (</w:t>
      </w:r>
      <w:proofErr w:type="spellStart"/>
      <w:r w:rsidRPr="00A02701">
        <w:rPr>
          <w:rFonts w:ascii="Calibri" w:eastAsiaTheme="minorHAnsi" w:cs="Calibri"/>
          <w:i/>
          <w:iCs/>
          <w:lang w:val="en-GB"/>
        </w:rPr>
        <w:t>NaNA</w:t>
      </w:r>
      <w:proofErr w:type="spellEnd"/>
      <w:r w:rsidRPr="00A02701">
        <w:rPr>
          <w:rFonts w:ascii="Calibri" w:eastAsiaTheme="minorHAnsi" w:cs="Calibri"/>
          <w:i/>
          <w:iCs/>
          <w:lang w:val="en-GB"/>
        </w:rPr>
        <w:t>)</w:t>
      </w:r>
      <w:r w:rsidRPr="00A02701">
        <w:rPr>
          <w:rFonts w:ascii="Calibri" w:eastAsiaTheme="minorHAnsi" w:cs="Calibri"/>
          <w:lang w:val="en-GB"/>
        </w:rPr>
        <w:t>, Presented at the 2023 International Conference on Networking and Network Applications (</w:t>
      </w:r>
      <w:proofErr w:type="spellStart"/>
      <w:r w:rsidRPr="00A02701">
        <w:rPr>
          <w:rFonts w:ascii="Calibri" w:eastAsiaTheme="minorHAnsi" w:cs="Calibri"/>
          <w:lang w:val="en-GB"/>
        </w:rPr>
        <w:t>NaNA</w:t>
      </w:r>
      <w:proofErr w:type="spellEnd"/>
      <w:r w:rsidRPr="00A02701">
        <w:rPr>
          <w:rFonts w:ascii="Calibri" w:eastAsiaTheme="minorHAnsi" w:cs="Calibri"/>
          <w:lang w:val="en-GB"/>
        </w:rPr>
        <w:t>), Qingdao, China: IEEE, 674–679, available: https://doi.org/10.1109/NaNA60121.2023.00116.</w:t>
      </w:r>
    </w:p>
    <w:p w14:paraId="23AF16BE" w14:textId="77777777" w:rsidR="00A02701" w:rsidRPr="00A02701" w:rsidRDefault="00A02701" w:rsidP="00A02701">
      <w:pPr>
        <w:pStyle w:val="Bibliography"/>
        <w:rPr>
          <w:rFonts w:ascii="Calibri" w:eastAsiaTheme="minorHAnsi" w:cs="Calibri"/>
          <w:lang w:val="en-GB"/>
        </w:rPr>
      </w:pPr>
      <w:r w:rsidRPr="00A02701">
        <w:rPr>
          <w:rFonts w:ascii="Calibri" w:eastAsiaTheme="minorHAnsi" w:cs="Calibri"/>
          <w:lang w:val="en-GB"/>
        </w:rPr>
        <w:t xml:space="preserve">Zhong, C., Li, S., Huang, H., Liu, X., Chen, Z., Zhang, Y., and Zhang, H. (2024) ‘Domain-Driven Design for Microservices: An Evidence-Based Investigation’, </w:t>
      </w:r>
      <w:r w:rsidRPr="00A02701">
        <w:rPr>
          <w:rFonts w:ascii="Calibri" w:eastAsiaTheme="minorHAnsi" w:cs="Calibri"/>
          <w:i/>
          <w:iCs/>
          <w:lang w:val="en-GB"/>
        </w:rPr>
        <w:t>IEEE Transactions on Software Engineering</w:t>
      </w:r>
      <w:r w:rsidRPr="00A02701">
        <w:rPr>
          <w:rFonts w:ascii="Calibri" w:eastAsiaTheme="minorHAnsi" w:cs="Calibri"/>
          <w:lang w:val="en-GB"/>
        </w:rPr>
        <w:t>, 50(6), 1425–1449, available: https://doi.org/10.1109/TSE.2024.3385835.</w:t>
      </w:r>
    </w:p>
    <w:p w14:paraId="29C2A1BF" w14:textId="0F08331F" w:rsidR="00D849BA" w:rsidRPr="008E68F6" w:rsidRDefault="00D849BA" w:rsidP="00A02701">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68E25" w14:textId="77777777" w:rsidR="007F0EEC" w:rsidRDefault="007F0EEC">
      <w:pPr>
        <w:spacing w:after="0" w:line="240" w:lineRule="auto"/>
      </w:pPr>
      <w:r>
        <w:separator/>
      </w:r>
    </w:p>
  </w:endnote>
  <w:endnote w:type="continuationSeparator" w:id="0">
    <w:p w14:paraId="3BF7E9CF" w14:textId="77777777" w:rsidR="007F0EEC" w:rsidRDefault="007F0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7F0E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E41EE" w14:textId="77777777" w:rsidR="007F0EEC" w:rsidRDefault="007F0EEC">
      <w:pPr>
        <w:spacing w:after="0" w:line="240" w:lineRule="auto"/>
      </w:pPr>
      <w:r>
        <w:separator/>
      </w:r>
    </w:p>
  </w:footnote>
  <w:footnote w:type="continuationSeparator" w:id="0">
    <w:p w14:paraId="1664C047" w14:textId="77777777" w:rsidR="007F0EEC" w:rsidRDefault="007F0E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25FE8"/>
    <w:rsid w:val="00035AEC"/>
    <w:rsid w:val="000374D4"/>
    <w:rsid w:val="0005114A"/>
    <w:rsid w:val="000522BB"/>
    <w:rsid w:val="00053847"/>
    <w:rsid w:val="000653C1"/>
    <w:rsid w:val="0006696D"/>
    <w:rsid w:val="0007499D"/>
    <w:rsid w:val="0008031A"/>
    <w:rsid w:val="000832F5"/>
    <w:rsid w:val="00091587"/>
    <w:rsid w:val="000A04A2"/>
    <w:rsid w:val="000A508F"/>
    <w:rsid w:val="000B296E"/>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217D2"/>
    <w:rsid w:val="00123811"/>
    <w:rsid w:val="00126BD1"/>
    <w:rsid w:val="001335F4"/>
    <w:rsid w:val="00142668"/>
    <w:rsid w:val="001426B6"/>
    <w:rsid w:val="001562DE"/>
    <w:rsid w:val="00161B20"/>
    <w:rsid w:val="00165DCD"/>
    <w:rsid w:val="001677DE"/>
    <w:rsid w:val="00174696"/>
    <w:rsid w:val="001754EC"/>
    <w:rsid w:val="0017584F"/>
    <w:rsid w:val="00177EF0"/>
    <w:rsid w:val="001838E2"/>
    <w:rsid w:val="001859E9"/>
    <w:rsid w:val="00192E25"/>
    <w:rsid w:val="00195F73"/>
    <w:rsid w:val="00196A68"/>
    <w:rsid w:val="001A2B64"/>
    <w:rsid w:val="001A5E83"/>
    <w:rsid w:val="001A6BF5"/>
    <w:rsid w:val="001B16DE"/>
    <w:rsid w:val="001B2D1A"/>
    <w:rsid w:val="001D3032"/>
    <w:rsid w:val="001D4633"/>
    <w:rsid w:val="001F26BF"/>
    <w:rsid w:val="00201C8C"/>
    <w:rsid w:val="00202819"/>
    <w:rsid w:val="00220298"/>
    <w:rsid w:val="00226E22"/>
    <w:rsid w:val="002330CE"/>
    <w:rsid w:val="00241248"/>
    <w:rsid w:val="00253C1B"/>
    <w:rsid w:val="00261BA4"/>
    <w:rsid w:val="00262980"/>
    <w:rsid w:val="002714DE"/>
    <w:rsid w:val="00274AE3"/>
    <w:rsid w:val="00277E00"/>
    <w:rsid w:val="00281BBA"/>
    <w:rsid w:val="002858DE"/>
    <w:rsid w:val="0029079D"/>
    <w:rsid w:val="00295F48"/>
    <w:rsid w:val="002A169D"/>
    <w:rsid w:val="002A2661"/>
    <w:rsid w:val="002A29F5"/>
    <w:rsid w:val="002A2DF8"/>
    <w:rsid w:val="002A5824"/>
    <w:rsid w:val="002B0709"/>
    <w:rsid w:val="002B0DE0"/>
    <w:rsid w:val="002B4AD3"/>
    <w:rsid w:val="002C4504"/>
    <w:rsid w:val="002C4F28"/>
    <w:rsid w:val="002D3625"/>
    <w:rsid w:val="002E0A36"/>
    <w:rsid w:val="002E40B8"/>
    <w:rsid w:val="002E632B"/>
    <w:rsid w:val="002F19CA"/>
    <w:rsid w:val="00300979"/>
    <w:rsid w:val="0030275E"/>
    <w:rsid w:val="0031154C"/>
    <w:rsid w:val="00314AD6"/>
    <w:rsid w:val="00320D6B"/>
    <w:rsid w:val="0032134B"/>
    <w:rsid w:val="00334295"/>
    <w:rsid w:val="0034510A"/>
    <w:rsid w:val="00351870"/>
    <w:rsid w:val="00355DA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1396A"/>
    <w:rsid w:val="00432EF0"/>
    <w:rsid w:val="00440194"/>
    <w:rsid w:val="00440F82"/>
    <w:rsid w:val="00450D4B"/>
    <w:rsid w:val="00456DAF"/>
    <w:rsid w:val="004619E3"/>
    <w:rsid w:val="00462BBB"/>
    <w:rsid w:val="004656B7"/>
    <w:rsid w:val="0046727C"/>
    <w:rsid w:val="004729A6"/>
    <w:rsid w:val="00475FA3"/>
    <w:rsid w:val="00477F2F"/>
    <w:rsid w:val="004827A4"/>
    <w:rsid w:val="00487385"/>
    <w:rsid w:val="00493927"/>
    <w:rsid w:val="004A0BFA"/>
    <w:rsid w:val="004B4026"/>
    <w:rsid w:val="004C59EF"/>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F25E6"/>
    <w:rsid w:val="005F35FB"/>
    <w:rsid w:val="005F41E1"/>
    <w:rsid w:val="005F7AA0"/>
    <w:rsid w:val="00617760"/>
    <w:rsid w:val="00627E37"/>
    <w:rsid w:val="0063413F"/>
    <w:rsid w:val="00634A9E"/>
    <w:rsid w:val="006372CA"/>
    <w:rsid w:val="00646EB7"/>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715A"/>
    <w:rsid w:val="007973F4"/>
    <w:rsid w:val="007B1D15"/>
    <w:rsid w:val="007C171A"/>
    <w:rsid w:val="007C26CA"/>
    <w:rsid w:val="007C31FE"/>
    <w:rsid w:val="007D3584"/>
    <w:rsid w:val="007E6C38"/>
    <w:rsid w:val="007F0EEC"/>
    <w:rsid w:val="007F3004"/>
    <w:rsid w:val="007F354E"/>
    <w:rsid w:val="007F3C7B"/>
    <w:rsid w:val="007F78D6"/>
    <w:rsid w:val="00801CEF"/>
    <w:rsid w:val="0080273D"/>
    <w:rsid w:val="0081191F"/>
    <w:rsid w:val="0081363A"/>
    <w:rsid w:val="008160D2"/>
    <w:rsid w:val="0081706E"/>
    <w:rsid w:val="00835534"/>
    <w:rsid w:val="0083675A"/>
    <w:rsid w:val="00855EA7"/>
    <w:rsid w:val="0085757D"/>
    <w:rsid w:val="0086100F"/>
    <w:rsid w:val="00863140"/>
    <w:rsid w:val="00863D6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02701"/>
    <w:rsid w:val="00A13C61"/>
    <w:rsid w:val="00A1650F"/>
    <w:rsid w:val="00A213BA"/>
    <w:rsid w:val="00A31979"/>
    <w:rsid w:val="00A34863"/>
    <w:rsid w:val="00A348C3"/>
    <w:rsid w:val="00A37796"/>
    <w:rsid w:val="00A415ED"/>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A6BC1"/>
    <w:rsid w:val="00AB4418"/>
    <w:rsid w:val="00AB4FBF"/>
    <w:rsid w:val="00AB5E06"/>
    <w:rsid w:val="00AC49B4"/>
    <w:rsid w:val="00AC58E2"/>
    <w:rsid w:val="00AD53B9"/>
    <w:rsid w:val="00AD6DBB"/>
    <w:rsid w:val="00AE08F8"/>
    <w:rsid w:val="00AE2458"/>
    <w:rsid w:val="00AE2771"/>
    <w:rsid w:val="00AE49B0"/>
    <w:rsid w:val="00AE49FA"/>
    <w:rsid w:val="00AE5383"/>
    <w:rsid w:val="00AE7626"/>
    <w:rsid w:val="00AF10A1"/>
    <w:rsid w:val="00AF1B3B"/>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677B"/>
    <w:rsid w:val="00B64704"/>
    <w:rsid w:val="00B65949"/>
    <w:rsid w:val="00B75C23"/>
    <w:rsid w:val="00B77D21"/>
    <w:rsid w:val="00B8268B"/>
    <w:rsid w:val="00B8650D"/>
    <w:rsid w:val="00B91A80"/>
    <w:rsid w:val="00B92466"/>
    <w:rsid w:val="00B9304E"/>
    <w:rsid w:val="00BA4DF7"/>
    <w:rsid w:val="00BB37EC"/>
    <w:rsid w:val="00BB49B6"/>
    <w:rsid w:val="00BC2DC7"/>
    <w:rsid w:val="00BC4372"/>
    <w:rsid w:val="00BC6665"/>
    <w:rsid w:val="00BC733D"/>
    <w:rsid w:val="00BC78E7"/>
    <w:rsid w:val="00BF4CDC"/>
    <w:rsid w:val="00BF5227"/>
    <w:rsid w:val="00C00B15"/>
    <w:rsid w:val="00C03328"/>
    <w:rsid w:val="00C06891"/>
    <w:rsid w:val="00C15B58"/>
    <w:rsid w:val="00C15D19"/>
    <w:rsid w:val="00C2235C"/>
    <w:rsid w:val="00C2256E"/>
    <w:rsid w:val="00C2582C"/>
    <w:rsid w:val="00C3483A"/>
    <w:rsid w:val="00C34B2B"/>
    <w:rsid w:val="00C35EFB"/>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A4A3E"/>
    <w:rsid w:val="00CC4CE2"/>
    <w:rsid w:val="00CD0789"/>
    <w:rsid w:val="00CD5B30"/>
    <w:rsid w:val="00CD6B1D"/>
    <w:rsid w:val="00CD6DA3"/>
    <w:rsid w:val="00CE7B6B"/>
    <w:rsid w:val="00CF3FE4"/>
    <w:rsid w:val="00CF6257"/>
    <w:rsid w:val="00D045F9"/>
    <w:rsid w:val="00D04ED9"/>
    <w:rsid w:val="00D142FF"/>
    <w:rsid w:val="00D14D1D"/>
    <w:rsid w:val="00D213EE"/>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C1B20"/>
    <w:rsid w:val="00DC3C12"/>
    <w:rsid w:val="00DC4469"/>
    <w:rsid w:val="00DD3BB8"/>
    <w:rsid w:val="00DD4F01"/>
    <w:rsid w:val="00DD5B3F"/>
    <w:rsid w:val="00DD5E13"/>
    <w:rsid w:val="00DE133F"/>
    <w:rsid w:val="00DF61DF"/>
    <w:rsid w:val="00DF66F5"/>
    <w:rsid w:val="00E01A94"/>
    <w:rsid w:val="00E01EEB"/>
    <w:rsid w:val="00E02448"/>
    <w:rsid w:val="00E027D8"/>
    <w:rsid w:val="00E0432B"/>
    <w:rsid w:val="00E0737D"/>
    <w:rsid w:val="00E1016D"/>
    <w:rsid w:val="00E272CC"/>
    <w:rsid w:val="00E430F0"/>
    <w:rsid w:val="00E44F88"/>
    <w:rsid w:val="00E465B0"/>
    <w:rsid w:val="00E50D2F"/>
    <w:rsid w:val="00E531E0"/>
    <w:rsid w:val="00E53A5E"/>
    <w:rsid w:val="00E72B61"/>
    <w:rsid w:val="00E8200C"/>
    <w:rsid w:val="00E82F2F"/>
    <w:rsid w:val="00E83183"/>
    <w:rsid w:val="00E86334"/>
    <w:rsid w:val="00E868D1"/>
    <w:rsid w:val="00E8719E"/>
    <w:rsid w:val="00E9015F"/>
    <w:rsid w:val="00E901E0"/>
    <w:rsid w:val="00E90663"/>
    <w:rsid w:val="00E97260"/>
    <w:rsid w:val="00EB0724"/>
    <w:rsid w:val="00EB1DD2"/>
    <w:rsid w:val="00EB2A13"/>
    <w:rsid w:val="00EB51EC"/>
    <w:rsid w:val="00EB632F"/>
    <w:rsid w:val="00EB67A7"/>
    <w:rsid w:val="00EC0E75"/>
    <w:rsid w:val="00EC6332"/>
    <w:rsid w:val="00EC6D7F"/>
    <w:rsid w:val="00ED181F"/>
    <w:rsid w:val="00EE4C5B"/>
    <w:rsid w:val="00EE5186"/>
    <w:rsid w:val="00EE69C3"/>
    <w:rsid w:val="00EF2C31"/>
    <w:rsid w:val="00EF3A10"/>
    <w:rsid w:val="00EF3DCF"/>
    <w:rsid w:val="00F00CE1"/>
    <w:rsid w:val="00F033E0"/>
    <w:rsid w:val="00F0345E"/>
    <w:rsid w:val="00F03B8F"/>
    <w:rsid w:val="00F05DD6"/>
    <w:rsid w:val="00F1009A"/>
    <w:rsid w:val="00F1511E"/>
    <w:rsid w:val="00F24FE2"/>
    <w:rsid w:val="00F32B84"/>
    <w:rsid w:val="00F33DA8"/>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6951</TotalTime>
  <Pages>43</Pages>
  <Words>30881</Words>
  <Characters>176023</Characters>
  <Application>Microsoft Office Word</Application>
  <DocSecurity>0</DocSecurity>
  <Lines>1466</Lines>
  <Paragraphs>412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206492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457</cp:revision>
  <dcterms:created xsi:type="dcterms:W3CDTF">2026-05-31T08:55:00Z</dcterms:created>
  <dcterms:modified xsi:type="dcterms:W3CDTF">2026-07-21T18:17:00Z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