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0A2B0C4" w14:textId="195D74C9"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DF7491">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DF7491">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DF7491">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DF7491">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DF7491">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DF7491">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DF7491">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DF7491">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DF7491">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DF7491">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DF7491">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DF7491">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DF7491">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DF7491">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DF7491">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DF7491">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DF7491">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DF7491">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DF7491">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DF7491">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DF7491">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DF7491">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DF7491">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DF7491">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DF7491">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DF7491">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DF7491">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DF7491">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DF7491">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DF7491">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DF7491">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DF7491">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DF7491">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DF7491">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DF7491">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DF7491">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DF7491">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DF7491">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DF7491">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DF7491">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DF7491">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DF7491">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DF7491">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DF7491">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DF7491">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DF7491">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DF7491">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DF7491">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DF7491">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DF7491">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DF7491">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DF7491">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DF7491">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DF7491">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DF7491">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fldSimple w:instr=" STYLEREF 3 \s ">
        <w:r w:rsidR="00866111">
          <w:rPr>
            <w:noProof/>
          </w:rPr>
          <w:t>1.3.2</w:t>
        </w:r>
      </w:fldSimple>
      <w:r>
        <w:noBreakHyphen/>
      </w:r>
      <w:fldSimple w:instr=" SEQ Figure \* ARABIC \s 3 ">
        <w:r w:rsidR="00866111">
          <w:rPr>
            <w:noProof/>
          </w:rPr>
          <w:t>1</w:t>
        </w:r>
      </w:fldSimple>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6E2FE2AE"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is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 xml:space="preserve">ises transition towards MSA but they do now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lastRenderedPageBreak/>
        <w:t>Event Driven Architecture</w:t>
      </w:r>
      <w:bookmarkEnd w:id="39"/>
    </w:p>
    <w:p w14:paraId="3772868A" w14:textId="0E70A32A" w:rsidR="003D79BE" w:rsidRDefault="003D79BE" w:rsidP="00573B17">
      <w:pPr>
        <w:pStyle w:val="Disslevel3"/>
        <w:numPr>
          <w:ilvl w:val="0"/>
          <w:numId w:val="0"/>
        </w:numPr>
        <w:ind w:left="1224"/>
      </w:pPr>
    </w:p>
    <w:p w14:paraId="12304CAA" w14:textId="6026819E" w:rsidR="000B296E" w:rsidRPr="000B296E" w:rsidRDefault="00DA0E43" w:rsidP="000B296E">
      <w:pPr>
        <w:pStyle w:val="Disslevel3"/>
        <w:numPr>
          <w:ilvl w:val="0"/>
          <w:numId w:val="0"/>
        </w:numPr>
        <w:rPr>
          <w:rFonts w:asciiTheme="minorHAnsi" w:eastAsiaTheme="minorEastAsia" w:hAnsiTheme="minorHAnsi" w:cstheme="minorBidi"/>
          <w:color w:val="auto"/>
        </w:rPr>
      </w:pPr>
      <w:r>
        <w:rPr>
          <w:rFonts w:asciiTheme="minorHAnsi" w:eastAsiaTheme="minorEastAsia" w:hAnsiTheme="minorHAnsi" w:cstheme="minorBidi"/>
          <w:color w:val="auto"/>
        </w:rPr>
        <w:t xml:space="preserve">As soon as enterprises think about transitioning towards Domain Driven MSA the question of how these new services will communicate arises. Traditionally Microservices </w:t>
      </w:r>
      <w:r w:rsidR="002E40B8">
        <w:rPr>
          <w:rFonts w:asciiTheme="minorHAnsi" w:eastAsiaTheme="minorEastAsia" w:hAnsiTheme="minorHAnsi" w:cstheme="minorBidi"/>
          <w:color w:val="auto"/>
        </w:rPr>
        <w:t>rely</w:t>
      </w:r>
      <w:r>
        <w:rPr>
          <w:rFonts w:asciiTheme="minorHAnsi" w:eastAsiaTheme="minorEastAsia" w:hAnsiTheme="minorHAnsi" w:cstheme="minorBidi"/>
          <w:color w:val="auto"/>
        </w:rPr>
        <w:t xml:space="preserve"> upon</w:t>
      </w:r>
      <w:r w:rsidR="002E40B8">
        <w:rPr>
          <w:rFonts w:asciiTheme="minorHAnsi" w:eastAsiaTheme="minorEastAsia" w:hAnsiTheme="minorHAnsi" w:cstheme="minorBidi"/>
          <w:color w:val="auto"/>
        </w:rPr>
        <w:t xml:space="preserve"> various</w:t>
      </w:r>
      <w:r w:rsidR="008C060F">
        <w:rPr>
          <w:rFonts w:asciiTheme="minorHAnsi" w:eastAsiaTheme="minorEastAsia" w:hAnsiTheme="minorHAnsi" w:cstheme="minorBidi"/>
          <w:color w:val="auto"/>
        </w:rPr>
        <w:t xml:space="preserve"> application programm</w:t>
      </w:r>
      <w:r w:rsidR="00165DCD">
        <w:rPr>
          <w:rFonts w:asciiTheme="minorHAnsi" w:eastAsiaTheme="minorEastAsia" w:hAnsiTheme="minorHAnsi" w:cstheme="minorBidi"/>
          <w:color w:val="auto"/>
        </w:rPr>
        <w:t>ing</w:t>
      </w:r>
      <w:r w:rsidR="008C060F">
        <w:rPr>
          <w:rFonts w:asciiTheme="minorHAnsi" w:eastAsiaTheme="minorEastAsia" w:hAnsiTheme="minorHAnsi" w:cstheme="minorBidi"/>
          <w:color w:val="auto"/>
        </w:rPr>
        <w:t xml:space="preserve"> interfaces (API)</w:t>
      </w:r>
      <w:r w:rsidR="002E40B8">
        <w:rPr>
          <w:rFonts w:asciiTheme="minorHAnsi" w:eastAsiaTheme="minorEastAsia" w:hAnsiTheme="minorHAnsi" w:cstheme="minorBidi"/>
          <w:color w:val="auto"/>
        </w:rPr>
        <w:t xml:space="preserve"> types</w:t>
      </w:r>
      <w:r w:rsidR="00973E10">
        <w:rPr>
          <w:rFonts w:asciiTheme="minorHAnsi" w:eastAsiaTheme="minorEastAsia" w:hAnsiTheme="minorHAnsi" w:cstheme="minorBidi"/>
          <w:color w:val="auto"/>
        </w:rPr>
        <w:t xml:space="preserve"> to </w:t>
      </w:r>
      <w:r>
        <w:rPr>
          <w:rFonts w:asciiTheme="minorHAnsi" w:eastAsiaTheme="minorEastAsia" w:hAnsiTheme="minorHAnsi" w:cstheme="minorBidi"/>
          <w:color w:val="auto"/>
        </w:rPr>
        <w:t>send and receive data</w:t>
      </w:r>
      <w:r w:rsidR="008C060F">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w:t>
      </w:r>
      <w:r>
        <w:rPr>
          <w:rFonts w:asciiTheme="minorHAnsi" w:eastAsiaTheme="minorEastAsia" w:hAnsiTheme="minorHAnsi" w:cstheme="minorBidi"/>
          <w:color w:val="auto"/>
        </w:rPr>
        <w:t>technologies include</w:t>
      </w:r>
      <w:r w:rsidR="00973E10">
        <w:rPr>
          <w:rFonts w:asciiTheme="minorHAnsi" w:eastAsiaTheme="minorEastAsia" w:hAnsiTheme="minorHAnsi" w:cstheme="minorBidi"/>
          <w:color w:val="auto"/>
        </w:rPr>
        <w:t xml:space="preserve">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sidR="008C060F">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GraphQL</w:t>
      </w:r>
      <w:r>
        <w:rPr>
          <w:rFonts w:asciiTheme="minorHAnsi" w:eastAsiaTheme="minorEastAsia" w:hAnsiTheme="minorHAnsi" w:cstheme="minorBidi"/>
          <w:color w:val="auto"/>
        </w:rPr>
        <w:t xml:space="preserve"> and</w:t>
      </w:r>
      <w:r w:rsidR="00973E10">
        <w:rPr>
          <w:rFonts w:asciiTheme="minorHAnsi" w:eastAsiaTheme="minorEastAsia" w:hAnsiTheme="minorHAnsi" w:cstheme="minorBidi"/>
          <w:color w:val="auto"/>
        </w:rPr>
        <w:t xml:space="preserve"> gRPC</w:t>
      </w:r>
      <w:r>
        <w:rPr>
          <w:rFonts w:asciiTheme="minorHAnsi" w:eastAsiaTheme="minorEastAsia" w:hAnsiTheme="minorHAnsi" w:cstheme="minorBidi"/>
          <w:color w:val="auto"/>
        </w:rPr>
        <w:t xml:space="preserve">. These are synchronous APIs which force the sender and receiver to wait upon one another. For large scale </w:t>
      </w:r>
      <w:r w:rsidR="002E40B8">
        <w:rPr>
          <w:rFonts w:asciiTheme="minorHAnsi" w:eastAsiaTheme="minorEastAsia" w:hAnsiTheme="minorHAnsi" w:cstheme="minorBidi"/>
          <w:color w:val="auto"/>
        </w:rPr>
        <w:t>domain driven enterprises there is a need for a more scalable option. Asynchronous</w:t>
      </w:r>
      <w:r w:rsidR="00D14D1D">
        <w:rPr>
          <w:rFonts w:asciiTheme="minorHAnsi" w:eastAsiaTheme="minorEastAsia" w:hAnsiTheme="minorHAnsi" w:cstheme="minorBidi"/>
          <w:color w:val="auto"/>
        </w:rPr>
        <w:t xml:space="preserve"> methods like Event Streaming fit the bill</w:t>
      </w:r>
      <w:r w:rsidR="007F354E">
        <w:rPr>
          <w:rFonts w:asciiTheme="minorHAnsi" w:eastAsiaTheme="minorEastAsia" w:hAnsiTheme="minorHAnsi" w:cstheme="minorBidi"/>
          <w:color w:val="auto"/>
        </w:rPr>
        <w:t xml:space="preserve"> for scalable Event</w:t>
      </w:r>
      <w:r w:rsidR="00CA4A3E">
        <w:rPr>
          <w:rFonts w:asciiTheme="minorHAnsi" w:eastAsiaTheme="minorEastAsia" w:hAnsiTheme="minorHAnsi" w:cstheme="minorBidi"/>
          <w:color w:val="auto"/>
        </w:rPr>
        <w:t>-</w:t>
      </w:r>
      <w:r w:rsidR="007F354E">
        <w:rPr>
          <w:rFonts w:asciiTheme="minorHAnsi" w:eastAsiaTheme="minorEastAsia" w:hAnsiTheme="minorHAnsi" w:cstheme="minorBidi"/>
          <w:color w:val="auto"/>
        </w:rPr>
        <w:t>Driven Architecture (EDA)</w:t>
      </w:r>
      <w:r w:rsidR="009425A7">
        <w:rPr>
          <w:rFonts w:asciiTheme="minorHAnsi" w:eastAsiaTheme="minorEastAsia" w:hAnsiTheme="minorHAnsi" w:cstheme="minorBidi"/>
          <w:color w:val="auto"/>
        </w:rPr>
        <w:t xml:space="preserve"> where microservices produce and consume events into topics</w:t>
      </w:r>
      <w:r w:rsidR="00D14D1D">
        <w:rPr>
          <w:rFonts w:asciiTheme="minorHAnsi" w:eastAsiaTheme="minorEastAsia" w:hAnsiTheme="minorHAnsi" w:cstheme="minorBidi"/>
          <w:color w:val="auto"/>
        </w:rPr>
        <w:t xml:space="preserve">. </w:t>
      </w:r>
      <w:r w:rsidR="003E0886">
        <w:rPr>
          <w:rFonts w:asciiTheme="minorHAnsi" w:eastAsiaTheme="minorEastAsia" w:hAnsiTheme="minorHAnsi" w:cstheme="minorBidi"/>
          <w:color w:val="auto"/>
        </w:rPr>
        <w:t>Producers and consumers are decoupled which allows for excellent scalability of the system and adaptability to changing business requirements</w:t>
      </w:r>
      <w:r w:rsidR="00E8719E">
        <w:rPr>
          <w:rFonts w:asciiTheme="minorHAnsi" w:eastAsiaTheme="minorEastAsia" w:hAnsiTheme="minorHAnsi" w:cstheme="minorBidi"/>
          <w:color w:val="auto"/>
        </w:rPr>
        <w:t xml:space="preserve"> </w:t>
      </w:r>
      <w:r w:rsidR="00E8719E">
        <w:rPr>
          <w:rFonts w:asciiTheme="minorHAnsi" w:eastAsiaTheme="minorEastAsia" w:hAnsiTheme="minorHAnsi" w:cstheme="minorBidi"/>
          <w:color w:val="auto"/>
        </w:rPr>
        <w:fldChar w:fldCharType="begin"/>
      </w:r>
      <w:r w:rsidR="00E8719E">
        <w:rPr>
          <w:rFonts w:asciiTheme="minorHAnsi" w:eastAsiaTheme="minorEastAsia" w:hAnsiTheme="minorHAnsi" w:cstheme="minorBidi"/>
          <w:color w:val="auto"/>
        </w:rPr>
        <w:instrText xml:space="preserve"> ADDIN ZOTERO_ITEM CSL_CITATION {"citationID":"LcbTT86P","properties":{"unsorted":false,"formattedCitation":"(- 2025)","plainCitation":"(-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Architectures","volume":"16","author":[{"family":"-","given":"Karthik Reddy Thondalapally"}],"issued":{"date-parts":[["2025",3,28]]}}}],"schema":"https://github.com/citation-style-language/schema/raw/master/csl-citation.json"} </w:instrText>
      </w:r>
      <w:r w:rsidR="00E8719E">
        <w:rPr>
          <w:rFonts w:asciiTheme="minorHAnsi" w:eastAsiaTheme="minorEastAsia" w:hAnsiTheme="minorHAnsi" w:cstheme="minorBidi"/>
          <w:color w:val="auto"/>
        </w:rPr>
        <w:fldChar w:fldCharType="separate"/>
      </w:r>
      <w:r w:rsidR="00E8719E">
        <w:rPr>
          <w:rFonts w:asciiTheme="minorHAnsi" w:eastAsiaTheme="minorEastAsia" w:hAnsiTheme="minorHAnsi" w:cstheme="minorBidi"/>
          <w:noProof/>
          <w:color w:val="auto"/>
        </w:rPr>
        <w:t>(Karthik Reddy Thondalapally 2025)</w:t>
      </w:r>
      <w:r w:rsidR="00E8719E">
        <w:rPr>
          <w:rFonts w:asciiTheme="minorHAnsi" w:eastAsiaTheme="minorEastAsia" w:hAnsiTheme="minorHAnsi" w:cstheme="minorBidi"/>
          <w:color w:val="auto"/>
        </w:rPr>
        <w:fldChar w:fldCharType="end"/>
      </w:r>
      <w:r w:rsidR="003E0886">
        <w:rPr>
          <w:rFonts w:asciiTheme="minorHAnsi" w:eastAsiaTheme="minorEastAsia" w:hAnsiTheme="minorHAnsi" w:cstheme="minorBidi"/>
          <w:color w:val="auto"/>
        </w:rPr>
        <w:t xml:space="preserve">. </w:t>
      </w: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r>
        <w:t>Event Streaming Systems and fault tolerance</w:t>
      </w:r>
      <w:bookmarkEnd w:id="40"/>
    </w:p>
    <w:p w14:paraId="7F9F8A7F" w14:textId="068D79BD" w:rsidR="003D79BE" w:rsidRPr="003D79BE" w:rsidRDefault="000B296E" w:rsidP="000B296E">
      <w:pPr>
        <w:pStyle w:val="Disslevel3"/>
        <w:numPr>
          <w:ilvl w:val="0"/>
          <w:numId w:val="0"/>
        </w:numPr>
      </w:pPr>
      <w:r>
        <w:rPr>
          <w:rFonts w:asciiTheme="minorHAnsi" w:eastAsiaTheme="minorEastAsia" w:hAnsiTheme="minorHAnsi" w:cstheme="minorBidi"/>
          <w:color w:val="auto"/>
        </w:rPr>
        <w:t>The</w:t>
      </w:r>
    </w:p>
    <w:p w14:paraId="478EAC9D" w14:textId="1D33E09E" w:rsidR="003D79BE" w:rsidRDefault="003D79BE" w:rsidP="00573B17">
      <w:pPr>
        <w:pStyle w:val="Disslevel3"/>
      </w:pPr>
      <w:bookmarkStart w:id="41" w:name="_Toc233796065"/>
      <w:r>
        <w:t>Event Aggregation</w:t>
      </w:r>
      <w:bookmarkEnd w:id="41"/>
    </w:p>
    <w:p w14:paraId="2C315255" w14:textId="6A69605B" w:rsidR="00A806B5" w:rsidRPr="008E68F6" w:rsidRDefault="000B296E" w:rsidP="00EE4C5B">
      <w:r>
        <w:t>The</w:t>
      </w:r>
    </w:p>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573B17">
      <w:pPr>
        <w:pStyle w:val="Disslevel3"/>
      </w:pPr>
      <w:bookmarkStart w:id="43" w:name="_Toc233796067"/>
      <w:r>
        <w:t>Challenges in data access in distributed systems of systems</w:t>
      </w:r>
      <w:bookmarkEnd w:id="43"/>
    </w:p>
    <w:p w14:paraId="1F2AB629" w14:textId="290E4DC0" w:rsidR="00E50D2F" w:rsidRPr="00E50D2F" w:rsidRDefault="000B296E" w:rsidP="00E50D2F">
      <w:r>
        <w:t>The</w:t>
      </w:r>
    </w:p>
    <w:p w14:paraId="0AABC9DF" w14:textId="449B1085" w:rsidR="00E50D2F" w:rsidRDefault="00E50D2F" w:rsidP="00573B17">
      <w:pPr>
        <w:pStyle w:val="Disslevel3"/>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5" w:name="_Toc233796069"/>
      <w:r>
        <w:t>Materialised View</w:t>
      </w:r>
      <w:bookmarkEnd w:id="45"/>
    </w:p>
    <w:p w14:paraId="41049A39" w14:textId="65EF34C7" w:rsidR="00E50D2F" w:rsidRPr="00E50D2F" w:rsidRDefault="000B296E" w:rsidP="00E50D2F">
      <w:r>
        <w:t>The</w:t>
      </w:r>
    </w:p>
    <w:p w14:paraId="44F62E76" w14:textId="689D4709" w:rsidR="00E50D2F" w:rsidRDefault="00E50D2F" w:rsidP="00573B17">
      <w:pPr>
        <w:pStyle w:val="Disslevel3"/>
      </w:pPr>
      <w:bookmarkStart w:id="46" w:name="_Toc233796070"/>
      <w:r>
        <w:t>Event replay and state reconstruction</w:t>
      </w:r>
      <w:bookmarkEnd w:id="46"/>
    </w:p>
    <w:p w14:paraId="74BB054C" w14:textId="2A48AC53" w:rsidR="00E50D2F" w:rsidRPr="00E50D2F" w:rsidRDefault="000B296E" w:rsidP="00E50D2F">
      <w:r>
        <w:t>The</w:t>
      </w:r>
    </w:p>
    <w:p w14:paraId="00AD8E65" w14:textId="271BFA2D" w:rsidR="00E50D2F" w:rsidRDefault="00E50D2F" w:rsidP="00573B17">
      <w:pPr>
        <w:pStyle w:val="Disslevel3"/>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48" w:name="_Toc233796072"/>
      <w:r w:rsidRPr="008E68F6">
        <w:lastRenderedPageBreak/>
        <w:t>Cloud-Native Resilience, High Availability and Disaster Recovery</w:t>
      </w:r>
      <w:bookmarkEnd w:id="48"/>
    </w:p>
    <w:p w14:paraId="1194913D" w14:textId="612AE7FD" w:rsidR="00AB4FBF" w:rsidRDefault="00AB4FBF" w:rsidP="00573B17">
      <w:pPr>
        <w:pStyle w:val="Disslevel3"/>
      </w:pPr>
      <w:bookmarkStart w:id="49" w:name="_Toc233796073"/>
      <w:r>
        <w:t>Cloud Native Architecture</w:t>
      </w:r>
      <w:bookmarkEnd w:id="49"/>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02D131E1" w:rsidR="000B296E" w:rsidRDefault="00AB4FBF" w:rsidP="000B296E">
      <w:pPr>
        <w:pStyle w:val="Disslevel3"/>
      </w:pPr>
      <w:bookmarkStart w:id="50" w:name="_Toc233796074"/>
      <w:r>
        <w:t>High Availability and Resilience</w:t>
      </w:r>
      <w:bookmarkEnd w:id="50"/>
    </w:p>
    <w:p w14:paraId="2E7341A8" w14:textId="33FE5187" w:rsidR="000B296E" w:rsidRDefault="000B296E" w:rsidP="000B296E">
      <w:pPr>
        <w:pStyle w:val="Disslevel3"/>
        <w:numPr>
          <w:ilvl w:val="0"/>
          <w:numId w:val="0"/>
        </w:numPr>
      </w:pPr>
      <w:r>
        <w:rPr>
          <w:rFonts w:asciiTheme="minorHAnsi" w:eastAsiaTheme="minorEastAsia" w:hAnsiTheme="minorHAnsi" w:cstheme="minorBidi"/>
          <w:color w:val="auto"/>
        </w:rPr>
        <w:t>The</w:t>
      </w:r>
    </w:p>
    <w:p w14:paraId="1A919D36" w14:textId="66961B81" w:rsidR="00AB4FBF" w:rsidRDefault="00AB4FBF" w:rsidP="00573B17">
      <w:pPr>
        <w:pStyle w:val="Disslevel3"/>
      </w:pPr>
      <w:bookmarkStart w:id="51" w:name="_Toc233796075"/>
      <w:r>
        <w:t>Disaster Recovery Strategies</w:t>
      </w:r>
      <w:bookmarkEnd w:id="51"/>
    </w:p>
    <w:p w14:paraId="27AA10F6" w14:textId="45AC543A" w:rsidR="000B296E"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52" w:name="_Toc233796076"/>
      <w:r>
        <w:t>Cloud 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3" w:name="_Toc233796077"/>
      <w:r>
        <w:t>Cloud 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4" w:name="_Toc233796078"/>
      <w:r w:rsidRPr="008E68F6">
        <w:t>Software Quality standards</w:t>
      </w:r>
      <w:bookmarkEnd w:id="54"/>
    </w:p>
    <w:p w14:paraId="35D33ECD" w14:textId="1E1D5BC2" w:rsidR="00A51058" w:rsidRDefault="00A51058" w:rsidP="00573B17">
      <w:pPr>
        <w:pStyle w:val="Disslevel3"/>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6" w:name="_Toc233796080"/>
      <w:r>
        <w:t>Reliability</w:t>
      </w:r>
      <w:bookmarkEnd w:id="56"/>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7" w:name="_Toc233796081"/>
      <w:r>
        <w:t>Availability</w:t>
      </w:r>
      <w:bookmarkEnd w:id="57"/>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8" w:name="_Toc233796082"/>
      <w:r w:rsidRPr="008E68F6">
        <w:lastRenderedPageBreak/>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DF7491" w:rsidP="00D35DDF">
      <w:pPr>
        <w:ind w:left="1701" w:hanging="1701"/>
      </w:pPr>
    </w:p>
    <w:p w14:paraId="4F601DEA" w14:textId="77777777" w:rsidR="00E8719E" w:rsidRPr="00E8719E" w:rsidRDefault="00D849BA" w:rsidP="00E8719E">
      <w:pPr>
        <w:pStyle w:val="Bibliography"/>
        <w:rPr>
          <w:rFonts w:ascii="Calibri" w:eastAsiaTheme="minorHAnsi" w:cs="Calibri"/>
          <w:lang w:val="en-GB"/>
        </w:rPr>
      </w:pPr>
      <w:r w:rsidRPr="008E68F6">
        <w:fldChar w:fldCharType="begin"/>
      </w:r>
      <w:r w:rsidR="00E8719E">
        <w:instrText xml:space="preserve"> ADDIN ZOTERO_BIBL {"uncited":[],"omitted":[],"custom":[]} CSL_BIBLIOGRAPHY </w:instrText>
      </w:r>
      <w:r w:rsidRPr="008E68F6">
        <w:fldChar w:fldCharType="separate"/>
      </w:r>
      <w:proofErr w:type="spellStart"/>
      <w:r w:rsidR="00E8719E" w:rsidRPr="00E8719E">
        <w:rPr>
          <w:rFonts w:ascii="Calibri" w:eastAsiaTheme="minorHAnsi" w:cs="Calibri"/>
          <w:lang w:val="en-GB"/>
        </w:rPr>
        <w:t>Alyahya</w:t>
      </w:r>
      <w:proofErr w:type="spellEnd"/>
      <w:r w:rsidR="00E8719E" w:rsidRPr="00E8719E">
        <w:rPr>
          <w:rFonts w:ascii="Calibri" w:eastAsiaTheme="minorHAnsi" w:cs="Calibri"/>
          <w:lang w:val="en-GB"/>
        </w:rPr>
        <w:t xml:space="preserve">, A., Tipper, D., and </w:t>
      </w:r>
      <w:proofErr w:type="spellStart"/>
      <w:r w:rsidR="00E8719E" w:rsidRPr="00E8719E">
        <w:rPr>
          <w:rFonts w:ascii="Calibri" w:eastAsiaTheme="minorHAnsi" w:cs="Calibri"/>
          <w:lang w:val="en-GB"/>
        </w:rPr>
        <w:t>Babay</w:t>
      </w:r>
      <w:proofErr w:type="spellEnd"/>
      <w:r w:rsidR="00E8719E" w:rsidRPr="00E8719E">
        <w:rPr>
          <w:rFonts w:ascii="Calibri" w:eastAsiaTheme="minorHAnsi" w:cs="Calibri"/>
          <w:lang w:val="en-GB"/>
        </w:rPr>
        <w:t xml:space="preserve">, A. (2025) ‘Availability and Cost Analysis of Network-Attack-Resilient Byzantine Fault Tolerant Systems’, </w:t>
      </w:r>
      <w:r w:rsidR="00E8719E" w:rsidRPr="00E8719E">
        <w:rPr>
          <w:rFonts w:ascii="Calibri" w:eastAsiaTheme="minorHAnsi" w:cs="Calibri"/>
          <w:i/>
          <w:iCs/>
          <w:lang w:val="en-GB"/>
        </w:rPr>
        <w:t>IEEE Transactions on Network and Service Management</w:t>
      </w:r>
      <w:r w:rsidR="00E8719E" w:rsidRPr="00E8719E">
        <w:rPr>
          <w:rFonts w:ascii="Calibri" w:eastAsiaTheme="minorHAnsi" w:cs="Calibri"/>
          <w:lang w:val="en-GB"/>
        </w:rPr>
        <w:t>, 22(5), 3895–3908, available: https://doi.org/10.1109/TNSM.2025.3589936.</w:t>
      </w:r>
    </w:p>
    <w:p w14:paraId="35686FE0"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Angela Dawn Lawson (2020) </w:t>
      </w:r>
      <w:r w:rsidRPr="00E8719E">
        <w:rPr>
          <w:rFonts w:ascii="Calibri" w:eastAsiaTheme="minorHAnsi" w:cs="Calibri"/>
          <w:i/>
          <w:iCs/>
          <w:lang w:val="en-GB"/>
        </w:rPr>
        <w:t>Deploying the Right Technology- a Framework for Digital Strategy and Selection at the United States Postal Service to Shape the Future of Work</w:t>
      </w:r>
      <w:r w:rsidRPr="00E8719E">
        <w:rPr>
          <w:rFonts w:ascii="Calibri" w:eastAsiaTheme="minorHAnsi" w:cs="Calibri"/>
          <w:lang w:val="en-GB"/>
        </w:rPr>
        <w:t>, Thesis.</w:t>
      </w:r>
    </w:p>
    <w:p w14:paraId="0298C45D"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39B1CB0C"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Costa, A.B. and Brito, M.A. (2022) ‘Enterprise Architecture Management : Constant maintenance and updating of the Enterprise Architecture’, in </w:t>
      </w:r>
      <w:r w:rsidRPr="00E8719E">
        <w:rPr>
          <w:rFonts w:ascii="Calibri" w:eastAsiaTheme="minorHAnsi" w:cs="Calibri"/>
          <w:i/>
          <w:iCs/>
          <w:lang w:val="en-GB"/>
        </w:rPr>
        <w:t>2022 17th Iberian Conference on Information Systems and Technologies (CISTI)</w:t>
      </w:r>
      <w:r w:rsidRPr="00E8719E">
        <w:rPr>
          <w:rFonts w:ascii="Calibri" w:eastAsiaTheme="minorHAnsi" w:cs="Calibri"/>
          <w:lang w:val="en-GB"/>
        </w:rPr>
        <w:t>, Presented at the 2022 17th Iberian Conference on Information Systems and Technologies (CISTI), Madrid, Spain: IEEE, 1–5, available: https://doi.org/10.23919/CISTI54924.2022.9820068.</w:t>
      </w:r>
    </w:p>
    <w:p w14:paraId="74C76C17"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Evans, E. (2004) </w:t>
      </w:r>
      <w:r w:rsidRPr="00E8719E">
        <w:rPr>
          <w:rFonts w:ascii="Calibri" w:eastAsiaTheme="minorHAnsi" w:cs="Calibri"/>
          <w:i/>
          <w:iCs/>
          <w:lang w:val="en-GB"/>
        </w:rPr>
        <w:t>Domain-Driven Design: Tackling Complexity in the Heart of Software</w:t>
      </w:r>
      <w:r w:rsidRPr="00E8719E">
        <w:rPr>
          <w:rFonts w:ascii="Calibri" w:eastAsiaTheme="minorHAnsi" w:cs="Calibri"/>
          <w:lang w:val="en-GB"/>
        </w:rPr>
        <w:t>, Boston: Addison-Wesley.</w:t>
      </w:r>
    </w:p>
    <w:p w14:paraId="218AB24E"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Florian Springer and Christoph </w:t>
      </w:r>
      <w:proofErr w:type="spellStart"/>
      <w:r w:rsidRPr="00E8719E">
        <w:rPr>
          <w:rFonts w:ascii="Calibri" w:eastAsiaTheme="minorHAnsi" w:cs="Calibri"/>
          <w:lang w:val="en-GB"/>
        </w:rPr>
        <w:t>Emmersberger</w:t>
      </w:r>
      <w:proofErr w:type="spellEnd"/>
      <w:r w:rsidRPr="00E8719E">
        <w:rPr>
          <w:rFonts w:ascii="Calibri" w:eastAsiaTheme="minorHAnsi" w:cs="Calibri"/>
          <w:lang w:val="en-GB"/>
        </w:rPr>
        <w:t xml:space="preserve"> (2008) </w:t>
      </w:r>
      <w:r w:rsidRPr="00E8719E">
        <w:rPr>
          <w:rFonts w:ascii="Calibri" w:eastAsiaTheme="minorHAnsi" w:cs="Calibri"/>
          <w:i/>
          <w:iCs/>
          <w:lang w:val="en-GB"/>
        </w:rPr>
        <w:t>Event Driven Business Process Management Taking the Example of Deutsche Post AG: An Evaluation of the Approach of Oracle and the SOPERA Open Source SOA Framework</w:t>
      </w:r>
      <w:r w:rsidRPr="00E8719E">
        <w:rPr>
          <w:rFonts w:ascii="Calibri" w:eastAsiaTheme="minorHAnsi" w:cs="Calibri"/>
          <w:lang w:val="en-GB"/>
        </w:rPr>
        <w:t>, Diploma Thesis.</w:t>
      </w:r>
    </w:p>
    <w:p w14:paraId="60E72F3A"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Ghosh, A. (2025) ‘Transforming Enterprise Systems through Event-Driven Architecture: Implementation, Benefits, and Future Trends’, </w:t>
      </w:r>
      <w:r w:rsidRPr="00E8719E">
        <w:rPr>
          <w:rFonts w:ascii="Calibri" w:eastAsiaTheme="minorHAnsi" w:cs="Calibri"/>
          <w:i/>
          <w:iCs/>
          <w:lang w:val="en-GB"/>
        </w:rPr>
        <w:t>International Journal of Scientific Research in Computer Science, Engineering and Information Technology</w:t>
      </w:r>
      <w:r w:rsidRPr="00E8719E">
        <w:rPr>
          <w:rFonts w:ascii="Calibri" w:eastAsiaTheme="minorHAnsi" w:cs="Calibri"/>
          <w:lang w:val="en-GB"/>
        </w:rPr>
        <w:t>, 11(1), 3507–3514, available: https://doi.org/10.32628/CSEIT251112347.</w:t>
      </w:r>
    </w:p>
    <w:p w14:paraId="200BBC8F"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Hassel, A. and </w:t>
      </w:r>
      <w:proofErr w:type="spellStart"/>
      <w:r w:rsidRPr="00E8719E">
        <w:rPr>
          <w:rFonts w:ascii="Calibri" w:eastAsiaTheme="minorHAnsi" w:cs="Calibri"/>
          <w:lang w:val="en-GB"/>
        </w:rPr>
        <w:t>Sieker</w:t>
      </w:r>
      <w:proofErr w:type="spellEnd"/>
      <w:r w:rsidRPr="00E8719E">
        <w:rPr>
          <w:rFonts w:ascii="Calibri" w:eastAsiaTheme="minorHAnsi" w:cs="Calibri"/>
          <w:lang w:val="en-GB"/>
        </w:rPr>
        <w:t xml:space="preserve">, F. (2022) ‘The platform effect: How Amazon changed work in logistics in Germany, the United States and the United Kingdom’, </w:t>
      </w:r>
      <w:r w:rsidRPr="00E8719E">
        <w:rPr>
          <w:rFonts w:ascii="Calibri" w:eastAsiaTheme="minorHAnsi" w:cs="Calibri"/>
          <w:i/>
          <w:iCs/>
          <w:lang w:val="en-GB"/>
        </w:rPr>
        <w:t>European Journal of Industrial Relations</w:t>
      </w:r>
      <w:r w:rsidRPr="00E8719E">
        <w:rPr>
          <w:rFonts w:ascii="Calibri" w:eastAsiaTheme="minorHAnsi" w:cs="Calibri"/>
          <w:lang w:val="en-GB"/>
        </w:rPr>
        <w:t>, 28(3), 363–382, available: https://doi.org/10.1177/09596801221082456.</w:t>
      </w:r>
    </w:p>
    <w:p w14:paraId="7D4D706B"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Hippchen</w:t>
      </w:r>
      <w:proofErr w:type="spellEnd"/>
      <w:r w:rsidRPr="00E8719E">
        <w:rPr>
          <w:rFonts w:ascii="Calibri" w:eastAsiaTheme="minorHAnsi" w:cs="Calibri"/>
          <w:lang w:val="en-GB"/>
        </w:rPr>
        <w:t xml:space="preserve">, B., </w:t>
      </w:r>
      <w:proofErr w:type="spellStart"/>
      <w:r w:rsidRPr="00E8719E">
        <w:rPr>
          <w:rFonts w:ascii="Calibri" w:eastAsiaTheme="minorHAnsi" w:cs="Calibri"/>
          <w:lang w:val="en-GB"/>
        </w:rPr>
        <w:t>Giessler</w:t>
      </w:r>
      <w:proofErr w:type="spellEnd"/>
      <w:r w:rsidRPr="00E8719E">
        <w:rPr>
          <w:rFonts w:ascii="Calibri" w:eastAsiaTheme="minorHAnsi" w:cs="Calibri"/>
          <w:lang w:val="en-GB"/>
        </w:rPr>
        <w:t xml:space="preserve">, P., </w:t>
      </w:r>
      <w:proofErr w:type="spellStart"/>
      <w:r w:rsidRPr="00E8719E">
        <w:rPr>
          <w:rFonts w:ascii="Calibri" w:eastAsiaTheme="minorHAnsi" w:cs="Calibri"/>
          <w:lang w:val="en-GB"/>
        </w:rPr>
        <w:t>Steinegger</w:t>
      </w:r>
      <w:proofErr w:type="spellEnd"/>
      <w:r w:rsidRPr="00E8719E">
        <w:rPr>
          <w:rFonts w:ascii="Calibri" w:eastAsiaTheme="minorHAnsi" w:cs="Calibri"/>
          <w:lang w:val="en-GB"/>
        </w:rPr>
        <w:t xml:space="preserve">, R.H., Schneider, M., and </w:t>
      </w:r>
      <w:proofErr w:type="spellStart"/>
      <w:r w:rsidRPr="00E8719E">
        <w:rPr>
          <w:rFonts w:ascii="Calibri" w:eastAsiaTheme="minorHAnsi" w:cs="Calibri"/>
          <w:lang w:val="en-GB"/>
        </w:rPr>
        <w:t>Abeck</w:t>
      </w:r>
      <w:proofErr w:type="spellEnd"/>
      <w:r w:rsidRPr="00E8719E">
        <w:rPr>
          <w:rFonts w:ascii="Calibri" w:eastAsiaTheme="minorHAnsi" w:cs="Calibri"/>
          <w:lang w:val="en-GB"/>
        </w:rPr>
        <w:t>, S. (2017) ‘Designing Microservice-Based Applications by Using a Domain-Driven Design Approach’.</w:t>
      </w:r>
    </w:p>
    <w:p w14:paraId="1EDEBB19"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Ilieva</w:t>
      </w:r>
      <w:proofErr w:type="spellEnd"/>
      <w:r w:rsidRPr="00E8719E">
        <w:rPr>
          <w:rFonts w:ascii="Calibri" w:eastAsiaTheme="minorHAnsi" w:cs="Calibri"/>
          <w:lang w:val="en-GB"/>
        </w:rPr>
        <w:t xml:space="preserve">, D., Kolev, D., and </w:t>
      </w:r>
      <w:proofErr w:type="spellStart"/>
      <w:r w:rsidRPr="00E8719E">
        <w:rPr>
          <w:rFonts w:ascii="Calibri" w:eastAsiaTheme="minorHAnsi" w:cs="Calibri"/>
          <w:lang w:val="en-GB"/>
        </w:rPr>
        <w:t>Gladchenko</w:t>
      </w:r>
      <w:proofErr w:type="spellEnd"/>
      <w:r w:rsidRPr="00E8719E">
        <w:rPr>
          <w:rFonts w:ascii="Calibri" w:eastAsiaTheme="minorHAnsi" w:cs="Calibri"/>
          <w:lang w:val="en-GB"/>
        </w:rPr>
        <w:t xml:space="preserve">, V. (2024) ‘Investigation of the Impact of Artificial Intelligence and Automation in the Postal Services Sector Labour Market’, in </w:t>
      </w:r>
      <w:r w:rsidRPr="00E8719E">
        <w:rPr>
          <w:rFonts w:ascii="Calibri" w:eastAsiaTheme="minorHAnsi" w:cs="Calibri"/>
          <w:i/>
          <w:iCs/>
          <w:lang w:val="en-GB"/>
        </w:rPr>
        <w:t>2024 5th International Conference on Communications, Information, Electronic and Energy Systems (CIEES)</w:t>
      </w:r>
      <w:r w:rsidRPr="00E8719E">
        <w:rPr>
          <w:rFonts w:ascii="Calibri" w:eastAsiaTheme="minorHAnsi" w:cs="Calibri"/>
          <w:lang w:val="en-GB"/>
        </w:rPr>
        <w:t xml:space="preserve">, Presented at the 2024 5th International Conference on Communications, Information, Electronic and Energy Systems (CIEES), </w:t>
      </w:r>
      <w:proofErr w:type="spellStart"/>
      <w:r w:rsidRPr="00E8719E">
        <w:rPr>
          <w:rFonts w:ascii="Calibri" w:eastAsiaTheme="minorHAnsi" w:cs="Calibri"/>
          <w:lang w:val="en-GB"/>
        </w:rPr>
        <w:t>Veliko</w:t>
      </w:r>
      <w:proofErr w:type="spellEnd"/>
      <w:r w:rsidRPr="00E8719E">
        <w:rPr>
          <w:rFonts w:ascii="Calibri" w:eastAsiaTheme="minorHAnsi" w:cs="Calibri"/>
          <w:lang w:val="en-GB"/>
        </w:rPr>
        <w:t xml:space="preserve"> </w:t>
      </w:r>
      <w:proofErr w:type="spellStart"/>
      <w:r w:rsidRPr="00E8719E">
        <w:rPr>
          <w:rFonts w:ascii="Calibri" w:eastAsiaTheme="minorHAnsi" w:cs="Calibri"/>
          <w:lang w:val="en-GB"/>
        </w:rPr>
        <w:t>Tarnovo</w:t>
      </w:r>
      <w:proofErr w:type="spellEnd"/>
      <w:r w:rsidRPr="00E8719E">
        <w:rPr>
          <w:rFonts w:ascii="Calibri" w:eastAsiaTheme="minorHAnsi" w:cs="Calibri"/>
          <w:lang w:val="en-GB"/>
        </w:rPr>
        <w:t>, Bulgaria: IEEE, 1–7, available: https://doi.org/10.1109/CIEES62939.2024.10811359.</w:t>
      </w:r>
    </w:p>
    <w:p w14:paraId="61BC7C3B"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Ivanov, N. and </w:t>
      </w:r>
      <w:proofErr w:type="spellStart"/>
      <w:r w:rsidRPr="00E8719E">
        <w:rPr>
          <w:rFonts w:ascii="Calibri" w:eastAsiaTheme="minorHAnsi" w:cs="Calibri"/>
          <w:lang w:val="en-GB"/>
        </w:rPr>
        <w:t>Tasheva</w:t>
      </w:r>
      <w:proofErr w:type="spellEnd"/>
      <w:r w:rsidRPr="00E8719E">
        <w:rPr>
          <w:rFonts w:ascii="Calibri" w:eastAsiaTheme="minorHAnsi" w:cs="Calibri"/>
          <w:lang w:val="en-GB"/>
        </w:rPr>
        <w:t xml:space="preserve">, A. (2021) ‘A Hot Decomposition Procedure: Operational Monolith System to Microservices’, in </w:t>
      </w:r>
      <w:r w:rsidRPr="00E8719E">
        <w:rPr>
          <w:rFonts w:ascii="Calibri" w:eastAsiaTheme="minorHAnsi" w:cs="Calibri"/>
          <w:i/>
          <w:iCs/>
          <w:lang w:val="en-GB"/>
        </w:rPr>
        <w:t>2021 International Conference Automatics and Informatics (ICAI)</w:t>
      </w:r>
      <w:r w:rsidRPr="00E8719E">
        <w:rPr>
          <w:rFonts w:ascii="Calibri" w:eastAsiaTheme="minorHAnsi" w:cs="Calibri"/>
          <w:lang w:val="en-GB"/>
        </w:rPr>
        <w:t>, Presented at the 2021 International Conference Automatics and Informatics (ICAI), Varna, Bulgaria: IEEE, 182–187, available: https://doi.org/10.1109/ICAI52893.2021.9639494.</w:t>
      </w:r>
    </w:p>
    <w:p w14:paraId="16F6CE95"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Jovanović, B., </w:t>
      </w:r>
      <w:proofErr w:type="spellStart"/>
      <w:r w:rsidRPr="00E8719E">
        <w:rPr>
          <w:rFonts w:ascii="Calibri" w:eastAsiaTheme="minorHAnsi" w:cs="Calibri"/>
          <w:lang w:val="en-GB"/>
        </w:rPr>
        <w:t>Šarac</w:t>
      </w:r>
      <w:proofErr w:type="spellEnd"/>
      <w:r w:rsidRPr="00E8719E">
        <w:rPr>
          <w:rFonts w:ascii="Calibri" w:eastAsiaTheme="minorHAnsi" w:cs="Calibri"/>
          <w:lang w:val="en-GB"/>
        </w:rPr>
        <w:t xml:space="preserve">, D., and </w:t>
      </w:r>
      <w:proofErr w:type="spellStart"/>
      <w:r w:rsidRPr="00E8719E">
        <w:rPr>
          <w:rFonts w:ascii="Calibri" w:eastAsiaTheme="minorHAnsi" w:cs="Calibri"/>
          <w:lang w:val="en-GB"/>
        </w:rPr>
        <w:t>Čačić</w:t>
      </w:r>
      <w:proofErr w:type="spellEnd"/>
      <w:r w:rsidRPr="00E8719E">
        <w:rPr>
          <w:rFonts w:ascii="Calibri" w:eastAsiaTheme="minorHAnsi" w:cs="Calibri"/>
          <w:lang w:val="en-GB"/>
        </w:rPr>
        <w:t xml:space="preserve">, N. (2025) ‘Delphi and fuzzy TOPSIS approach for redefining the scope of postal universal service obligation’, </w:t>
      </w:r>
      <w:r w:rsidRPr="00E8719E">
        <w:rPr>
          <w:rFonts w:ascii="Calibri" w:eastAsiaTheme="minorHAnsi" w:cs="Calibri"/>
          <w:i/>
          <w:iCs/>
          <w:lang w:val="en-GB"/>
        </w:rPr>
        <w:t>Journal of Regulatory Economics</w:t>
      </w:r>
      <w:r w:rsidRPr="00E8719E">
        <w:rPr>
          <w:rFonts w:ascii="Calibri" w:eastAsiaTheme="minorHAnsi" w:cs="Calibri"/>
          <w:lang w:val="en-GB"/>
        </w:rPr>
        <w:t>, 68(1), 38–52, available: https://doi.org/10.1007/s11149-025-09489-6.</w:t>
      </w:r>
    </w:p>
    <w:p w14:paraId="155FFA3B"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Kalske</w:t>
      </w:r>
      <w:proofErr w:type="spellEnd"/>
      <w:r w:rsidRPr="00E8719E">
        <w:rPr>
          <w:rFonts w:ascii="Calibri" w:eastAsiaTheme="minorHAnsi" w:cs="Calibri"/>
          <w:lang w:val="en-GB"/>
        </w:rPr>
        <w:t xml:space="preserve">, M., </w:t>
      </w:r>
      <w:proofErr w:type="spellStart"/>
      <w:r w:rsidRPr="00E8719E">
        <w:rPr>
          <w:rFonts w:ascii="Calibri" w:eastAsiaTheme="minorHAnsi" w:cs="Calibri"/>
          <w:lang w:val="en-GB"/>
        </w:rPr>
        <w:t>Mäkitalo</w:t>
      </w:r>
      <w:proofErr w:type="spellEnd"/>
      <w:r w:rsidRPr="00E8719E">
        <w:rPr>
          <w:rFonts w:ascii="Calibri" w:eastAsiaTheme="minorHAnsi" w:cs="Calibri"/>
          <w:lang w:val="en-GB"/>
        </w:rPr>
        <w:t xml:space="preserve">, N., and </w:t>
      </w:r>
      <w:proofErr w:type="spellStart"/>
      <w:r w:rsidRPr="00E8719E">
        <w:rPr>
          <w:rFonts w:ascii="Calibri" w:eastAsiaTheme="minorHAnsi" w:cs="Calibri"/>
          <w:lang w:val="en-GB"/>
        </w:rPr>
        <w:t>Mikkonen</w:t>
      </w:r>
      <w:proofErr w:type="spellEnd"/>
      <w:r w:rsidRPr="00E8719E">
        <w:rPr>
          <w:rFonts w:ascii="Calibri" w:eastAsiaTheme="minorHAnsi" w:cs="Calibri"/>
          <w:lang w:val="en-GB"/>
        </w:rPr>
        <w:t xml:space="preserve">, T. (2018) ‘Challenges When Moving from Monolith to Microservice Architecture’, in </w:t>
      </w:r>
      <w:proofErr w:type="spellStart"/>
      <w:r w:rsidRPr="00E8719E">
        <w:rPr>
          <w:rFonts w:ascii="Calibri" w:eastAsiaTheme="minorHAnsi" w:cs="Calibri"/>
          <w:lang w:val="en-GB"/>
        </w:rPr>
        <w:t>Garrigós</w:t>
      </w:r>
      <w:proofErr w:type="spellEnd"/>
      <w:r w:rsidRPr="00E8719E">
        <w:rPr>
          <w:rFonts w:ascii="Calibri" w:eastAsiaTheme="minorHAnsi" w:cs="Calibri"/>
          <w:lang w:val="en-GB"/>
        </w:rPr>
        <w:t xml:space="preserve">, I. and </w:t>
      </w:r>
      <w:proofErr w:type="spellStart"/>
      <w:r w:rsidRPr="00E8719E">
        <w:rPr>
          <w:rFonts w:ascii="Calibri" w:eastAsiaTheme="minorHAnsi" w:cs="Calibri"/>
          <w:lang w:val="en-GB"/>
        </w:rPr>
        <w:t>Wimmer</w:t>
      </w:r>
      <w:proofErr w:type="spellEnd"/>
      <w:r w:rsidRPr="00E8719E">
        <w:rPr>
          <w:rFonts w:ascii="Calibri" w:eastAsiaTheme="minorHAnsi" w:cs="Calibri"/>
          <w:lang w:val="en-GB"/>
        </w:rPr>
        <w:t xml:space="preserve">, M., eds, </w:t>
      </w:r>
      <w:r w:rsidRPr="00E8719E">
        <w:rPr>
          <w:rFonts w:ascii="Calibri" w:eastAsiaTheme="minorHAnsi" w:cs="Calibri"/>
          <w:i/>
          <w:iCs/>
          <w:lang w:val="en-GB"/>
        </w:rPr>
        <w:t>Current Trends in Web Engineering</w:t>
      </w:r>
      <w:r w:rsidRPr="00E8719E">
        <w:rPr>
          <w:rFonts w:ascii="Calibri" w:eastAsiaTheme="minorHAnsi" w:cs="Calibri"/>
          <w:lang w:val="en-GB"/>
        </w:rPr>
        <w:t>, Lecture Notes in Computer Science, Cham: Springer International Publishing, 32–47, available: https://doi.org/10.1007/978-3-319-74433-9_3.</w:t>
      </w:r>
    </w:p>
    <w:p w14:paraId="1E0F6395"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Karthik Reddy </w:t>
      </w:r>
      <w:proofErr w:type="spellStart"/>
      <w:r w:rsidRPr="00E8719E">
        <w:rPr>
          <w:rFonts w:ascii="Calibri" w:eastAsiaTheme="minorHAnsi" w:cs="Calibri"/>
          <w:lang w:val="en-GB"/>
        </w:rPr>
        <w:t>Thondalapally</w:t>
      </w:r>
      <w:proofErr w:type="spellEnd"/>
      <w:r w:rsidRPr="00E8719E">
        <w:rPr>
          <w:rFonts w:ascii="Calibri" w:eastAsiaTheme="minorHAnsi" w:cs="Calibri"/>
          <w:lang w:val="en-GB"/>
        </w:rPr>
        <w:t xml:space="preserve"> (2025) ‘Event-Driven Architectures: The Foundation of Modern Distributed Systems’, </w:t>
      </w:r>
      <w:r w:rsidRPr="00E8719E">
        <w:rPr>
          <w:rFonts w:ascii="Calibri" w:eastAsiaTheme="minorHAnsi" w:cs="Calibri"/>
          <w:i/>
          <w:iCs/>
          <w:lang w:val="en-GB"/>
        </w:rPr>
        <w:t>International Journal on Science and Technology</w:t>
      </w:r>
      <w:r w:rsidRPr="00E8719E">
        <w:rPr>
          <w:rFonts w:ascii="Calibri" w:eastAsiaTheme="minorHAnsi" w:cs="Calibri"/>
          <w:lang w:val="en-GB"/>
        </w:rPr>
        <w:t>, 16(1), 2907, available: https://doi.org/10.71097/IJSAT.v16.i1.2907.</w:t>
      </w:r>
    </w:p>
    <w:p w14:paraId="4F6BFCCE"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lastRenderedPageBreak/>
        <w:t>Kasaram</w:t>
      </w:r>
      <w:proofErr w:type="spellEnd"/>
      <w:r w:rsidRPr="00E8719E">
        <w:rPr>
          <w:rFonts w:ascii="Calibri" w:eastAsiaTheme="minorHAnsi" w:cs="Calibri"/>
          <w:lang w:val="en-GB"/>
        </w:rPr>
        <w:t xml:space="preserve">, C.R. (2023) ‘Harnessing Asynchronous Patterns with Event Driven Kafka and Microservices Architectures’, </w:t>
      </w:r>
      <w:r w:rsidRPr="00E8719E">
        <w:rPr>
          <w:rFonts w:ascii="Calibri" w:eastAsiaTheme="minorHAnsi" w:cs="Calibri"/>
          <w:i/>
          <w:iCs/>
          <w:lang w:val="en-GB"/>
        </w:rPr>
        <w:t>Journal of Artificial Intelligence &amp; Cloud Computing</w:t>
      </w:r>
      <w:r w:rsidRPr="00E8719E">
        <w:rPr>
          <w:rFonts w:ascii="Calibri" w:eastAsiaTheme="minorHAnsi" w:cs="Calibri"/>
          <w:lang w:val="en-GB"/>
        </w:rPr>
        <w:t>, 2(4), 1, available: https://doi.org/10.47363/JAICC/2023(2)502.</w:t>
      </w:r>
    </w:p>
    <w:p w14:paraId="7CCE5515"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Kiani</w:t>
      </w:r>
      <w:proofErr w:type="spellEnd"/>
      <w:r w:rsidRPr="00E8719E">
        <w:rPr>
          <w:rFonts w:ascii="Calibri" w:eastAsiaTheme="minorHAnsi" w:cs="Calibri"/>
          <w:lang w:val="en-GB"/>
        </w:rPr>
        <w:t xml:space="preserve">, A.A., Sarwar, A., Arshad, H., Bibi, A., Ahmad, F.B., and Ahmed, W. (2024) ‘Catalysing Monolithic to </w:t>
      </w:r>
      <w:proofErr w:type="spellStart"/>
      <w:r w:rsidRPr="00E8719E">
        <w:rPr>
          <w:rFonts w:ascii="Calibri" w:eastAsiaTheme="minorHAnsi" w:cs="Calibri"/>
          <w:lang w:val="en-GB"/>
        </w:rPr>
        <w:t>Microsevices</w:t>
      </w:r>
      <w:proofErr w:type="spellEnd"/>
      <w:r w:rsidRPr="00E8719E">
        <w:rPr>
          <w:rFonts w:ascii="Calibri" w:eastAsiaTheme="minorHAnsi" w:cs="Calibri"/>
          <w:lang w:val="en-GB"/>
        </w:rPr>
        <w:t xml:space="preserve"> Migration: A Strategic Approach Using Refactoring and Pilot Projects’, in </w:t>
      </w:r>
      <w:r w:rsidRPr="00E8719E">
        <w:rPr>
          <w:rFonts w:ascii="Calibri" w:eastAsiaTheme="minorHAnsi" w:cs="Calibri"/>
          <w:i/>
          <w:iCs/>
          <w:lang w:val="en-GB"/>
        </w:rPr>
        <w:t>2024 International Conference on Engineering &amp;amp; Computing Technologies (ICECT)</w:t>
      </w:r>
      <w:r w:rsidRPr="00E8719E">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12A2F633"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Macías</w:t>
      </w:r>
      <w:proofErr w:type="spellEnd"/>
      <w:r w:rsidRPr="00E8719E">
        <w:rPr>
          <w:rFonts w:ascii="Calibri" w:eastAsiaTheme="minorHAnsi" w:cs="Calibri"/>
          <w:lang w:val="en-GB"/>
        </w:rPr>
        <w:t xml:space="preserve">, A., Navarro, E., Cuesta, C.E., and Zdun, U. (2023) ‘Architecting Digital Twins Using a Domain-Driven Design-Based Approach*’, in </w:t>
      </w:r>
      <w:r w:rsidRPr="00E8719E">
        <w:rPr>
          <w:rFonts w:ascii="Calibri" w:eastAsiaTheme="minorHAnsi" w:cs="Calibri"/>
          <w:i/>
          <w:iCs/>
          <w:lang w:val="en-GB"/>
        </w:rPr>
        <w:t>2023 IEEE 20th International Conference on Software Architecture (ICSA)</w:t>
      </w:r>
      <w:r w:rsidRPr="00E8719E">
        <w:rPr>
          <w:rFonts w:ascii="Calibri" w:eastAsiaTheme="minorHAnsi" w:cs="Calibri"/>
          <w:lang w:val="en-GB"/>
        </w:rPr>
        <w:t>, Presented at the 2023 IEEE 20th International Conference on Software Architecture (ICSA), L’Aquila, Italy: IEEE, 153–163, available: https://doi.org/10.1109/ICSA56044.2023.00022.</w:t>
      </w:r>
    </w:p>
    <w:p w14:paraId="10CBC7D7"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McIlroy, M.D., Pinson, E.N., and Tague, B.A. (1978) ‘UNIX Time-Sharing System: Foreword’, </w:t>
      </w:r>
      <w:r w:rsidRPr="00E8719E">
        <w:rPr>
          <w:rFonts w:ascii="Calibri" w:eastAsiaTheme="minorHAnsi" w:cs="Calibri"/>
          <w:i/>
          <w:iCs/>
          <w:lang w:val="en-GB"/>
        </w:rPr>
        <w:t>Bell System Technical Journal</w:t>
      </w:r>
      <w:r w:rsidRPr="00E8719E">
        <w:rPr>
          <w:rFonts w:ascii="Calibri" w:eastAsiaTheme="minorHAnsi" w:cs="Calibri"/>
          <w:lang w:val="en-GB"/>
        </w:rPr>
        <w:t>, 57(6), 1899–1904, available: https://doi.org/10.1002/j.1538-7305.1978.tb02135.x.</w:t>
      </w:r>
    </w:p>
    <w:p w14:paraId="74BE3741"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Mishra, R., Jaiswal, N., Prakash, R., and </w:t>
      </w:r>
      <w:proofErr w:type="spellStart"/>
      <w:r w:rsidRPr="00E8719E">
        <w:rPr>
          <w:rFonts w:ascii="Calibri" w:eastAsiaTheme="minorHAnsi" w:cs="Calibri"/>
          <w:lang w:val="en-GB"/>
        </w:rPr>
        <w:t>Barwal</w:t>
      </w:r>
      <w:proofErr w:type="spellEnd"/>
      <w:r w:rsidRPr="00E8719E">
        <w:rPr>
          <w:rFonts w:ascii="Calibri" w:eastAsiaTheme="minorHAnsi" w:cs="Calibri"/>
          <w:lang w:val="en-GB"/>
        </w:rPr>
        <w:t xml:space="preserve">, P.N. (2022) ‘Transition from Monolithic to Microservices Architecture: Need and proposed pipeline’, in </w:t>
      </w:r>
      <w:r w:rsidRPr="00E8719E">
        <w:rPr>
          <w:rFonts w:ascii="Calibri" w:eastAsiaTheme="minorHAnsi" w:cs="Calibri"/>
          <w:i/>
          <w:iCs/>
          <w:lang w:val="en-GB"/>
        </w:rPr>
        <w:t>2022 International Conference on Futuristic Technologies (INCOFT)</w:t>
      </w:r>
      <w:r w:rsidRPr="00E8719E">
        <w:rPr>
          <w:rFonts w:ascii="Calibri" w:eastAsiaTheme="minorHAnsi" w:cs="Calibri"/>
          <w:lang w:val="en-GB"/>
        </w:rPr>
        <w:t>, Presented at the 2022 International Conference on Futuristic Technologies (INCOFT), Belgaum, India: IEEE, 1–6, available: https://doi.org/10.1109/INCOFT55651.2022.10094556.</w:t>
      </w:r>
    </w:p>
    <w:p w14:paraId="405AA2A3"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Miyachi, C. (2021) ‘The Rise of Kubernetes’, in </w:t>
      </w:r>
      <w:r w:rsidRPr="00E8719E">
        <w:rPr>
          <w:rFonts w:ascii="Calibri" w:eastAsiaTheme="minorHAnsi" w:cs="Calibri"/>
          <w:i/>
          <w:iCs/>
          <w:lang w:val="en-GB"/>
        </w:rPr>
        <w:t>2021 Cloud Continuum</w:t>
      </w:r>
      <w:r w:rsidRPr="00E8719E">
        <w:rPr>
          <w:rFonts w:ascii="Calibri" w:eastAsiaTheme="minorHAnsi" w:cs="Calibri"/>
          <w:lang w:val="en-GB"/>
        </w:rPr>
        <w:t>, Presented at the 2021 Cloud Continuum, Los Alamitos, CA, USA: IEEE, 1–5, available: https://doi.org/10.1109/CloudContinuum54760.2021.00002.</w:t>
      </w:r>
    </w:p>
    <w:p w14:paraId="701E21F3"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Myllynen</w:t>
      </w:r>
      <w:proofErr w:type="spellEnd"/>
      <w:r w:rsidRPr="00E8719E">
        <w:rPr>
          <w:rFonts w:ascii="Calibri" w:eastAsiaTheme="minorHAnsi" w:cs="Calibri"/>
          <w:lang w:val="en-GB"/>
        </w:rPr>
        <w:t xml:space="preserve">, T., Kamau, E., Mustapha, S.D., Babatunde, G.O., and Alabi, A.A. (2023) ‘Developing a Conceptual Model for Cross-Domain Microservices Using Event-Driven and Domain-Driven Design’, </w:t>
      </w:r>
      <w:r w:rsidRPr="00E8719E">
        <w:rPr>
          <w:rFonts w:ascii="Calibri" w:eastAsiaTheme="minorHAnsi" w:cs="Calibri"/>
          <w:i/>
          <w:iCs/>
          <w:lang w:val="en-GB"/>
        </w:rPr>
        <w:t>International Journal of Multidisciplinary Research and Growth Evaluation</w:t>
      </w:r>
      <w:r w:rsidRPr="00E8719E">
        <w:rPr>
          <w:rFonts w:ascii="Calibri" w:eastAsiaTheme="minorHAnsi" w:cs="Calibri"/>
          <w:lang w:val="en-GB"/>
        </w:rPr>
        <w:t>, 4(1), 635–638, available: https://doi.org/10.54660/.IJMRGE.2023.4.1.635-638.</w:t>
      </w:r>
    </w:p>
    <w:p w14:paraId="4F096635"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Otsetova</w:t>
      </w:r>
      <w:proofErr w:type="spellEnd"/>
      <w:r w:rsidRPr="00E8719E">
        <w:rPr>
          <w:rFonts w:ascii="Calibri" w:eastAsiaTheme="minorHAnsi" w:cs="Calibri"/>
          <w:lang w:val="en-GB"/>
        </w:rPr>
        <w:t xml:space="preserve">, A. (2019) ‘Postal Sector Transformation in Digital Economy’, </w:t>
      </w:r>
      <w:r w:rsidRPr="00E8719E">
        <w:rPr>
          <w:rFonts w:ascii="Calibri" w:eastAsiaTheme="minorHAnsi" w:cs="Calibri"/>
          <w:i/>
          <w:iCs/>
          <w:lang w:val="en-GB"/>
        </w:rPr>
        <w:t>International Journal</w:t>
      </w:r>
      <w:r w:rsidRPr="00E8719E">
        <w:rPr>
          <w:rFonts w:ascii="Calibri" w:eastAsiaTheme="minorHAnsi" w:cs="Calibri"/>
          <w:lang w:val="en-GB"/>
        </w:rPr>
        <w:t>, 8(2).</w:t>
      </w:r>
    </w:p>
    <w:p w14:paraId="36A2CDB4"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Oumoussa</w:t>
      </w:r>
      <w:proofErr w:type="spellEnd"/>
      <w:r w:rsidRPr="00E8719E">
        <w:rPr>
          <w:rFonts w:ascii="Calibri" w:eastAsiaTheme="minorHAnsi" w:cs="Calibri"/>
          <w:lang w:val="en-GB"/>
        </w:rPr>
        <w:t xml:space="preserve">, I. and </w:t>
      </w:r>
      <w:proofErr w:type="spellStart"/>
      <w:r w:rsidRPr="00E8719E">
        <w:rPr>
          <w:rFonts w:ascii="Calibri" w:eastAsiaTheme="minorHAnsi" w:cs="Calibri"/>
          <w:lang w:val="en-GB"/>
        </w:rPr>
        <w:t>Saidi</w:t>
      </w:r>
      <w:proofErr w:type="spellEnd"/>
      <w:r w:rsidRPr="00E8719E">
        <w:rPr>
          <w:rFonts w:ascii="Calibri" w:eastAsiaTheme="minorHAnsi" w:cs="Calibri"/>
          <w:lang w:val="en-GB"/>
        </w:rPr>
        <w:t xml:space="preserve">, R. (2024) ‘Evolution of Microservices Identification in Monolith Decomposition: A Systematic Review’, </w:t>
      </w:r>
      <w:r w:rsidRPr="00E8719E">
        <w:rPr>
          <w:rFonts w:ascii="Calibri" w:eastAsiaTheme="minorHAnsi" w:cs="Calibri"/>
          <w:i/>
          <w:iCs/>
          <w:lang w:val="en-GB"/>
        </w:rPr>
        <w:t>IEEE Access</w:t>
      </w:r>
      <w:r w:rsidRPr="00E8719E">
        <w:rPr>
          <w:rFonts w:ascii="Calibri" w:eastAsiaTheme="minorHAnsi" w:cs="Calibri"/>
          <w:lang w:val="en-GB"/>
        </w:rPr>
        <w:t>, 12, 23389–23405, available: https://doi.org/10.1109/ACCESS.2024.3365079.</w:t>
      </w:r>
    </w:p>
    <w:p w14:paraId="1EBA530D"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Pallempati</w:t>
      </w:r>
      <w:proofErr w:type="spellEnd"/>
      <w:r w:rsidRPr="00E8719E">
        <w:rPr>
          <w:rFonts w:ascii="Calibri" w:eastAsiaTheme="minorHAnsi" w:cs="Calibri"/>
          <w:lang w:val="en-GB"/>
        </w:rPr>
        <w:t xml:space="preserve">, I., Lakshmi, D.V., and Das, M.S. (2024) ‘Handwritten Character Recognition and Vehicle Number Recognition using OCR Method’, in </w:t>
      </w:r>
      <w:r w:rsidRPr="00E8719E">
        <w:rPr>
          <w:rFonts w:ascii="Calibri" w:eastAsiaTheme="minorHAnsi" w:cs="Calibri"/>
          <w:i/>
          <w:iCs/>
          <w:lang w:val="en-GB"/>
        </w:rPr>
        <w:t>2024 Third International Conference on Trends in Electrical, Electronics, and Computer Engineering (TEECCON)</w:t>
      </w:r>
      <w:r w:rsidRPr="00E8719E">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6D10D956"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Platunina</w:t>
      </w:r>
      <w:proofErr w:type="spellEnd"/>
      <w:r w:rsidRPr="00E8719E">
        <w:rPr>
          <w:rFonts w:ascii="Calibri" w:eastAsiaTheme="minorHAnsi" w:cs="Calibri"/>
          <w:lang w:val="en-GB"/>
        </w:rPr>
        <w:t xml:space="preserve">, G.P., </w:t>
      </w:r>
      <w:proofErr w:type="spellStart"/>
      <w:r w:rsidRPr="00E8719E">
        <w:rPr>
          <w:rFonts w:ascii="Calibri" w:eastAsiaTheme="minorHAnsi" w:cs="Calibri"/>
          <w:lang w:val="en-GB"/>
        </w:rPr>
        <w:t>Salutina</w:t>
      </w:r>
      <w:proofErr w:type="spellEnd"/>
      <w:r w:rsidRPr="00E8719E">
        <w:rPr>
          <w:rFonts w:ascii="Calibri" w:eastAsiaTheme="minorHAnsi" w:cs="Calibri"/>
          <w:lang w:val="en-GB"/>
        </w:rPr>
        <w:t xml:space="preserve">, T.Y., </w:t>
      </w:r>
      <w:proofErr w:type="spellStart"/>
      <w:r w:rsidRPr="00E8719E">
        <w:rPr>
          <w:rFonts w:ascii="Calibri" w:eastAsiaTheme="minorHAnsi" w:cs="Calibri"/>
          <w:lang w:val="en-GB"/>
        </w:rPr>
        <w:t>Gnezdova</w:t>
      </w:r>
      <w:proofErr w:type="spellEnd"/>
      <w:r w:rsidRPr="00E8719E">
        <w:rPr>
          <w:rFonts w:ascii="Calibri" w:eastAsiaTheme="minorHAnsi" w:cs="Calibri"/>
          <w:lang w:val="en-GB"/>
        </w:rPr>
        <w:t xml:space="preserve">, Y.V., and Frank, I.A. (2025) ‘Technological controlling: digital transformation of management decisions’, in </w:t>
      </w:r>
      <w:r w:rsidRPr="00E8719E">
        <w:rPr>
          <w:rFonts w:ascii="Calibri" w:eastAsiaTheme="minorHAnsi" w:cs="Calibri"/>
          <w:i/>
          <w:iCs/>
          <w:lang w:val="en-GB"/>
        </w:rPr>
        <w:t>2025 International Conference on Engineering Management of Communication and Technology (EMCTECH)</w:t>
      </w:r>
      <w:r w:rsidRPr="00E8719E">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3A6E9A40"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Qi, J., Li, S., Wang, H., Yuan, S., Li, P., Qian, H., Liu, Z., and He, X. (2023) ‘Critical System Design Based on High Availability Cluster Technology’, in </w:t>
      </w:r>
      <w:r w:rsidRPr="00E8719E">
        <w:rPr>
          <w:rFonts w:ascii="Calibri" w:eastAsiaTheme="minorHAnsi" w:cs="Calibri"/>
          <w:i/>
          <w:iCs/>
          <w:lang w:val="en-GB"/>
        </w:rPr>
        <w:t>2023 4th International Conference on Big Data &amp; Artificial Intelligence &amp; Software Engineering (ICBASE)</w:t>
      </w:r>
      <w:r w:rsidRPr="00E8719E">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40205334"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lastRenderedPageBreak/>
        <w:t>Samambet</w:t>
      </w:r>
      <w:proofErr w:type="spellEnd"/>
      <w:r w:rsidRPr="00E8719E">
        <w:rPr>
          <w:rFonts w:ascii="Calibri" w:eastAsiaTheme="minorHAnsi" w:cs="Calibri"/>
          <w:lang w:val="en-GB"/>
        </w:rPr>
        <w:t xml:space="preserve">, M. and </w:t>
      </w:r>
      <w:proofErr w:type="spellStart"/>
      <w:r w:rsidRPr="00E8719E">
        <w:rPr>
          <w:rFonts w:ascii="Calibri" w:eastAsiaTheme="minorHAnsi" w:cs="Calibri"/>
          <w:lang w:val="en-GB"/>
        </w:rPr>
        <w:t>Khouangvichit</w:t>
      </w:r>
      <w:proofErr w:type="spellEnd"/>
      <w:r w:rsidRPr="00E8719E">
        <w:rPr>
          <w:rFonts w:ascii="Calibri" w:eastAsiaTheme="minorHAnsi" w:cs="Calibri"/>
          <w:lang w:val="en-GB"/>
        </w:rPr>
        <w:t xml:space="preserve">, C. (2025) ‘OUTSMARTING THE HURDLES TO DIGITALIZING THE POSTAL SECTOR: THE CASE OF DEUTSCHE POST, POSTE ITALIANE, AND ROYAL MAIL’, </w:t>
      </w:r>
      <w:r w:rsidRPr="00E8719E">
        <w:rPr>
          <w:rFonts w:ascii="Calibri" w:eastAsiaTheme="minorHAnsi" w:cs="Calibri"/>
          <w:i/>
          <w:iCs/>
          <w:lang w:val="en-GB"/>
        </w:rPr>
        <w:t>International Journal of Professional Business Review</w:t>
      </w:r>
      <w:r w:rsidRPr="00E8719E">
        <w:rPr>
          <w:rFonts w:ascii="Calibri" w:eastAsiaTheme="minorHAnsi" w:cs="Calibri"/>
          <w:lang w:val="en-GB"/>
        </w:rPr>
        <w:t>, 10(3), e05355, available: https://doi.org/10.26668/businessreview/2025.v10i3.5355.</w:t>
      </w:r>
    </w:p>
    <w:p w14:paraId="3324D672"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Saxena, A., Singh, S., Prakash, S., Yang, T., and Rathore, R.S. (2024) ‘DevOps Automation Pipeline Deployment with </w:t>
      </w:r>
      <w:proofErr w:type="spellStart"/>
      <w:r w:rsidRPr="00E8719E">
        <w:rPr>
          <w:rFonts w:ascii="Calibri" w:eastAsiaTheme="minorHAnsi" w:cs="Calibri"/>
          <w:lang w:val="en-GB"/>
        </w:rPr>
        <w:t>IaC</w:t>
      </w:r>
      <w:proofErr w:type="spellEnd"/>
      <w:r w:rsidRPr="00E8719E">
        <w:rPr>
          <w:rFonts w:ascii="Calibri" w:eastAsiaTheme="minorHAnsi" w:cs="Calibri"/>
          <w:lang w:val="en-GB"/>
        </w:rPr>
        <w:t xml:space="preserve"> (Infrastructure as Code)’, in </w:t>
      </w:r>
      <w:r w:rsidRPr="00E8719E">
        <w:rPr>
          <w:rFonts w:ascii="Calibri" w:eastAsiaTheme="minorHAnsi" w:cs="Calibri"/>
          <w:i/>
          <w:iCs/>
          <w:lang w:val="en-GB"/>
        </w:rPr>
        <w:t xml:space="preserve">2024 IEEE </w:t>
      </w:r>
      <w:proofErr w:type="spellStart"/>
      <w:r w:rsidRPr="00E8719E">
        <w:rPr>
          <w:rFonts w:ascii="Calibri" w:eastAsiaTheme="minorHAnsi" w:cs="Calibri"/>
          <w:i/>
          <w:iCs/>
          <w:lang w:val="en-GB"/>
        </w:rPr>
        <w:t>Silchar</w:t>
      </w:r>
      <w:proofErr w:type="spellEnd"/>
      <w:r w:rsidRPr="00E8719E">
        <w:rPr>
          <w:rFonts w:ascii="Calibri" w:eastAsiaTheme="minorHAnsi" w:cs="Calibri"/>
          <w:i/>
          <w:iCs/>
          <w:lang w:val="en-GB"/>
        </w:rPr>
        <w:t xml:space="preserve"> Subsection Conference (SILCON 2024)</w:t>
      </w:r>
      <w:r w:rsidRPr="00E8719E">
        <w:rPr>
          <w:rFonts w:ascii="Calibri" w:eastAsiaTheme="minorHAnsi" w:cs="Calibri"/>
          <w:lang w:val="en-GB"/>
        </w:rPr>
        <w:t xml:space="preserve">, Presented at the 2024 IEEE </w:t>
      </w:r>
      <w:proofErr w:type="spellStart"/>
      <w:r w:rsidRPr="00E8719E">
        <w:rPr>
          <w:rFonts w:ascii="Calibri" w:eastAsiaTheme="minorHAnsi" w:cs="Calibri"/>
          <w:lang w:val="en-GB"/>
        </w:rPr>
        <w:t>Silchar</w:t>
      </w:r>
      <w:proofErr w:type="spellEnd"/>
      <w:r w:rsidRPr="00E8719E">
        <w:rPr>
          <w:rFonts w:ascii="Calibri" w:eastAsiaTheme="minorHAnsi" w:cs="Calibri"/>
          <w:lang w:val="en-GB"/>
        </w:rPr>
        <w:t xml:space="preserve"> Subsection Conference (SILCON), Agartala, India: IEEE, 1–6, available: https://doi.org/10.1109/SILCON63976.2024.10910699.</w:t>
      </w:r>
    </w:p>
    <w:p w14:paraId="2743A41D"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Sharavova</w:t>
      </w:r>
      <w:proofErr w:type="spellEnd"/>
      <w:r w:rsidRPr="00E8719E">
        <w:rPr>
          <w:rFonts w:ascii="Calibri" w:eastAsiaTheme="minorHAnsi" w:cs="Calibri"/>
          <w:lang w:val="en-GB"/>
        </w:rPr>
        <w:t xml:space="preserve">, O.I., </w:t>
      </w:r>
      <w:proofErr w:type="spellStart"/>
      <w:r w:rsidRPr="00E8719E">
        <w:rPr>
          <w:rFonts w:ascii="Calibri" w:eastAsiaTheme="minorHAnsi" w:cs="Calibri"/>
          <w:lang w:val="en-GB"/>
        </w:rPr>
        <w:t>Sharavova</w:t>
      </w:r>
      <w:proofErr w:type="spellEnd"/>
      <w:r w:rsidRPr="00E8719E">
        <w:rPr>
          <w:rFonts w:ascii="Calibri" w:eastAsiaTheme="minorHAnsi" w:cs="Calibri"/>
          <w:lang w:val="en-GB"/>
        </w:rPr>
        <w:t xml:space="preserve">, M.M., </w:t>
      </w:r>
      <w:proofErr w:type="spellStart"/>
      <w:r w:rsidRPr="00E8719E">
        <w:rPr>
          <w:rFonts w:ascii="Calibri" w:eastAsiaTheme="minorHAnsi" w:cs="Calibri"/>
          <w:lang w:val="en-GB"/>
        </w:rPr>
        <w:t>Kuzovkova</w:t>
      </w:r>
      <w:proofErr w:type="spellEnd"/>
      <w:r w:rsidRPr="00E8719E">
        <w:rPr>
          <w:rFonts w:ascii="Calibri" w:eastAsiaTheme="minorHAnsi" w:cs="Calibri"/>
          <w:lang w:val="en-GB"/>
        </w:rPr>
        <w:t xml:space="preserve">, T.A., and </w:t>
      </w:r>
      <w:proofErr w:type="spellStart"/>
      <w:r w:rsidRPr="00E8719E">
        <w:rPr>
          <w:rFonts w:ascii="Calibri" w:eastAsiaTheme="minorHAnsi" w:cs="Calibri"/>
          <w:lang w:val="en-GB"/>
        </w:rPr>
        <w:t>Zholtikova</w:t>
      </w:r>
      <w:proofErr w:type="spellEnd"/>
      <w:r w:rsidRPr="00E8719E">
        <w:rPr>
          <w:rFonts w:ascii="Calibri" w:eastAsiaTheme="minorHAnsi" w:cs="Calibri"/>
          <w:lang w:val="en-GB"/>
        </w:rPr>
        <w:t xml:space="preserve">, P.A. (2025) ‘Digital Transformation and the Evolution of its Socio-Economic Consequences’, in </w:t>
      </w:r>
      <w:r w:rsidRPr="00E8719E">
        <w:rPr>
          <w:rFonts w:ascii="Calibri" w:eastAsiaTheme="minorHAnsi" w:cs="Calibri"/>
          <w:i/>
          <w:iCs/>
          <w:lang w:val="en-GB"/>
        </w:rPr>
        <w:t>2025 International Conference on Engineering Management of Communication and Technology (EMCTECH)</w:t>
      </w:r>
      <w:r w:rsidRPr="00E8719E">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68FBB810"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Solanki, J.M. (2026) ‘AI Driven Multi Cloud Strategies for Financial Services: Ensuring High Availability with AWS and Kubernetes’, in </w:t>
      </w:r>
      <w:r w:rsidRPr="00E8719E">
        <w:rPr>
          <w:rFonts w:ascii="Calibri" w:eastAsiaTheme="minorHAnsi" w:cs="Calibri"/>
          <w:i/>
          <w:iCs/>
          <w:lang w:val="en-GB"/>
        </w:rPr>
        <w:t>2026 IEEE 5th International Conference on AI in Cybersecurity (ICAIC)</w:t>
      </w:r>
      <w:r w:rsidRPr="00E8719E">
        <w:rPr>
          <w:rFonts w:ascii="Calibri" w:eastAsiaTheme="minorHAnsi" w:cs="Calibri"/>
          <w:lang w:val="en-GB"/>
        </w:rPr>
        <w:t>, Presented at the 2026 IEEE 5th International Conference on AI in Cybersecurity (ICAIC), Houston, TX, USA: IEEE, 1–5, available: https://doi.org/10.1109/ICAIC67076.2026.11395684.</w:t>
      </w:r>
    </w:p>
    <w:p w14:paraId="1BD11B40"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Tcukanova</w:t>
      </w:r>
      <w:proofErr w:type="spellEnd"/>
      <w:r w:rsidRPr="00E8719E">
        <w:rPr>
          <w:rFonts w:ascii="Calibri" w:eastAsiaTheme="minorHAnsi" w:cs="Calibri"/>
          <w:lang w:val="en-GB"/>
        </w:rPr>
        <w:t xml:space="preserve">, O.A., Torosyan, E.K., </w:t>
      </w:r>
      <w:proofErr w:type="spellStart"/>
      <w:r w:rsidRPr="00E8719E">
        <w:rPr>
          <w:rFonts w:ascii="Calibri" w:eastAsiaTheme="minorHAnsi" w:cs="Calibri"/>
          <w:lang w:val="en-GB"/>
        </w:rPr>
        <w:t>Kiykova</w:t>
      </w:r>
      <w:proofErr w:type="spellEnd"/>
      <w:r w:rsidRPr="00E8719E">
        <w:rPr>
          <w:rFonts w:ascii="Calibri" w:eastAsiaTheme="minorHAnsi" w:cs="Calibri"/>
          <w:lang w:val="en-GB"/>
        </w:rPr>
        <w:t xml:space="preserve">, D.A., and </w:t>
      </w:r>
      <w:proofErr w:type="spellStart"/>
      <w:r w:rsidRPr="00E8719E">
        <w:rPr>
          <w:rFonts w:ascii="Calibri" w:eastAsiaTheme="minorHAnsi" w:cs="Calibri"/>
          <w:lang w:val="en-GB"/>
        </w:rPr>
        <w:t>Panteleev</w:t>
      </w:r>
      <w:proofErr w:type="spellEnd"/>
      <w:r w:rsidRPr="00E8719E">
        <w:rPr>
          <w:rFonts w:ascii="Calibri" w:eastAsiaTheme="minorHAnsi" w:cs="Calibri"/>
          <w:lang w:val="en-GB"/>
        </w:rPr>
        <w:t xml:space="preserve">, M.V. (2022) ‘Features of Managing the Digital Transformation of Medical Institutions’, in </w:t>
      </w:r>
      <w:r w:rsidRPr="00E8719E">
        <w:rPr>
          <w:rFonts w:ascii="Calibri" w:eastAsiaTheme="minorHAnsi" w:cs="Calibri"/>
          <w:i/>
          <w:iCs/>
          <w:lang w:val="en-GB"/>
        </w:rPr>
        <w:t>2022 International Conference on Quality Management, Transport and Information Security, Information Technologies (IT&amp;QM&amp;IS)</w:t>
      </w:r>
      <w:r w:rsidRPr="00E8719E">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400F2D22"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The Open Group (2022a) </w:t>
      </w:r>
      <w:r w:rsidRPr="00E8719E">
        <w:rPr>
          <w:rFonts w:ascii="Calibri" w:eastAsiaTheme="minorHAnsi" w:cs="Calibri"/>
          <w:i/>
          <w:iCs/>
          <w:lang w:val="en-GB"/>
        </w:rPr>
        <w:t>TOGAF® Standard – Introduction and Core Concepts</w:t>
      </w:r>
      <w:r w:rsidRPr="00E8719E">
        <w:rPr>
          <w:rFonts w:ascii="Calibri" w:eastAsiaTheme="minorHAnsi" w:cs="Calibri"/>
          <w:lang w:val="en-GB"/>
        </w:rPr>
        <w:t xml:space="preserve">, 10th </w:t>
      </w:r>
      <w:proofErr w:type="spellStart"/>
      <w:r w:rsidRPr="00E8719E">
        <w:rPr>
          <w:rFonts w:ascii="Calibri" w:eastAsiaTheme="minorHAnsi" w:cs="Calibri"/>
          <w:lang w:val="en-GB"/>
        </w:rPr>
        <w:t>edn</w:t>
      </w:r>
      <w:proofErr w:type="spellEnd"/>
      <w:r w:rsidRPr="00E8719E">
        <w:rPr>
          <w:rFonts w:ascii="Calibri" w:eastAsiaTheme="minorHAnsi" w:cs="Calibri"/>
          <w:lang w:val="en-GB"/>
        </w:rPr>
        <w:t>.</w:t>
      </w:r>
    </w:p>
    <w:p w14:paraId="214344C0"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The Open Group (2022b) </w:t>
      </w:r>
      <w:r w:rsidRPr="00E8719E">
        <w:rPr>
          <w:rFonts w:ascii="Calibri" w:eastAsiaTheme="minorHAnsi" w:cs="Calibri"/>
          <w:i/>
          <w:iCs/>
          <w:lang w:val="en-GB"/>
        </w:rPr>
        <w:t>TOGAF® Standard — Architecture Development Method</w:t>
      </w:r>
      <w:r w:rsidRPr="00E8719E">
        <w:rPr>
          <w:rFonts w:ascii="Calibri" w:eastAsiaTheme="minorHAnsi" w:cs="Calibri"/>
          <w:lang w:val="en-GB"/>
        </w:rPr>
        <w:t xml:space="preserve">, 10th </w:t>
      </w:r>
      <w:proofErr w:type="spellStart"/>
      <w:r w:rsidRPr="00E8719E">
        <w:rPr>
          <w:rFonts w:ascii="Calibri" w:eastAsiaTheme="minorHAnsi" w:cs="Calibri"/>
          <w:lang w:val="en-GB"/>
        </w:rPr>
        <w:t>edn</w:t>
      </w:r>
      <w:proofErr w:type="spellEnd"/>
      <w:r w:rsidRPr="00E8719E">
        <w:rPr>
          <w:rFonts w:ascii="Calibri" w:eastAsiaTheme="minorHAnsi" w:cs="Calibri"/>
          <w:lang w:val="en-GB"/>
        </w:rPr>
        <w:t>.</w:t>
      </w:r>
    </w:p>
    <w:p w14:paraId="2CB13399"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Vural</w:t>
      </w:r>
      <w:proofErr w:type="spellEnd"/>
      <w:r w:rsidRPr="00E8719E">
        <w:rPr>
          <w:rFonts w:ascii="Calibri" w:eastAsiaTheme="minorHAnsi" w:cs="Calibri"/>
          <w:lang w:val="en-GB"/>
        </w:rPr>
        <w:t xml:space="preserve">, H. and </w:t>
      </w:r>
      <w:proofErr w:type="spellStart"/>
      <w:r w:rsidRPr="00E8719E">
        <w:rPr>
          <w:rFonts w:ascii="Calibri" w:eastAsiaTheme="minorHAnsi" w:cs="Calibri"/>
          <w:lang w:val="en-GB"/>
        </w:rPr>
        <w:t>Koyuncu</w:t>
      </w:r>
      <w:proofErr w:type="spellEnd"/>
      <w:r w:rsidRPr="00E8719E">
        <w:rPr>
          <w:rFonts w:ascii="Calibri" w:eastAsiaTheme="minorHAnsi" w:cs="Calibri"/>
          <w:lang w:val="en-GB"/>
        </w:rPr>
        <w:t xml:space="preserve">, M. (2021) ‘Does Domain-Driven Design Lead to Finding the Optimal Modularity of a Microservice?’, </w:t>
      </w:r>
      <w:r w:rsidRPr="00E8719E">
        <w:rPr>
          <w:rFonts w:ascii="Calibri" w:eastAsiaTheme="minorHAnsi" w:cs="Calibri"/>
          <w:i/>
          <w:iCs/>
          <w:lang w:val="en-GB"/>
        </w:rPr>
        <w:t>IEEE Access</w:t>
      </w:r>
      <w:r w:rsidRPr="00E8719E">
        <w:rPr>
          <w:rFonts w:ascii="Calibri" w:eastAsiaTheme="minorHAnsi" w:cs="Calibri"/>
          <w:lang w:val="en-GB"/>
        </w:rPr>
        <w:t>, 9, 32721–32733, available: https://doi.org/10.1109/ACCESS.2021.3060895.</w:t>
      </w:r>
    </w:p>
    <w:p w14:paraId="251530C0" w14:textId="77777777" w:rsidR="00E8719E" w:rsidRPr="00E8719E" w:rsidRDefault="00E8719E" w:rsidP="00E8719E">
      <w:pPr>
        <w:pStyle w:val="Bibliography"/>
        <w:rPr>
          <w:rFonts w:ascii="Calibri" w:eastAsiaTheme="minorHAnsi" w:cs="Calibri"/>
          <w:lang w:val="en-GB"/>
        </w:rPr>
      </w:pPr>
      <w:proofErr w:type="spellStart"/>
      <w:r w:rsidRPr="00E8719E">
        <w:rPr>
          <w:rFonts w:ascii="Calibri" w:eastAsiaTheme="minorHAnsi" w:cs="Calibri"/>
          <w:lang w:val="en-GB"/>
        </w:rPr>
        <w:t>Wolfart</w:t>
      </w:r>
      <w:proofErr w:type="spellEnd"/>
      <w:r w:rsidRPr="00E8719E">
        <w:rPr>
          <w:rFonts w:ascii="Calibri" w:eastAsiaTheme="minorHAnsi" w:cs="Calibri"/>
          <w:lang w:val="en-GB"/>
        </w:rPr>
        <w:t xml:space="preserve">, D., </w:t>
      </w:r>
      <w:proofErr w:type="spellStart"/>
      <w:r w:rsidRPr="00E8719E">
        <w:rPr>
          <w:rFonts w:ascii="Calibri" w:eastAsiaTheme="minorHAnsi" w:cs="Calibri"/>
          <w:lang w:val="en-GB"/>
        </w:rPr>
        <w:t>Assunção</w:t>
      </w:r>
      <w:proofErr w:type="spellEnd"/>
      <w:r w:rsidRPr="00E8719E">
        <w:rPr>
          <w:rFonts w:ascii="Calibri" w:eastAsiaTheme="minorHAnsi" w:cs="Calibri"/>
          <w:lang w:val="en-GB"/>
        </w:rPr>
        <w:t xml:space="preserve">, W.K.G., Da Silva, I.F., </w:t>
      </w:r>
      <w:proofErr w:type="spellStart"/>
      <w:r w:rsidRPr="00E8719E">
        <w:rPr>
          <w:rFonts w:ascii="Calibri" w:eastAsiaTheme="minorHAnsi" w:cs="Calibri"/>
          <w:lang w:val="en-GB"/>
        </w:rPr>
        <w:t>Domingos</w:t>
      </w:r>
      <w:proofErr w:type="spellEnd"/>
      <w:r w:rsidRPr="00E8719E">
        <w:rPr>
          <w:rFonts w:ascii="Calibri" w:eastAsiaTheme="minorHAnsi" w:cs="Calibri"/>
          <w:lang w:val="en-GB"/>
        </w:rPr>
        <w:t xml:space="preserve">, D.C.P., </w:t>
      </w:r>
      <w:proofErr w:type="spellStart"/>
      <w:r w:rsidRPr="00E8719E">
        <w:rPr>
          <w:rFonts w:ascii="Calibri" w:eastAsiaTheme="minorHAnsi" w:cs="Calibri"/>
          <w:lang w:val="en-GB"/>
        </w:rPr>
        <w:t>Schmeing</w:t>
      </w:r>
      <w:proofErr w:type="spellEnd"/>
      <w:r w:rsidRPr="00E8719E">
        <w:rPr>
          <w:rFonts w:ascii="Calibri" w:eastAsiaTheme="minorHAnsi" w:cs="Calibri"/>
          <w:lang w:val="en-GB"/>
        </w:rPr>
        <w:t xml:space="preserve">, E., </w:t>
      </w:r>
      <w:proofErr w:type="spellStart"/>
      <w:r w:rsidRPr="00E8719E">
        <w:rPr>
          <w:rFonts w:ascii="Calibri" w:eastAsiaTheme="minorHAnsi" w:cs="Calibri"/>
          <w:lang w:val="en-GB"/>
        </w:rPr>
        <w:t>Villaca</w:t>
      </w:r>
      <w:proofErr w:type="spellEnd"/>
      <w:r w:rsidRPr="00E8719E">
        <w:rPr>
          <w:rFonts w:ascii="Calibri" w:eastAsiaTheme="minorHAnsi" w:cs="Calibri"/>
          <w:lang w:val="en-GB"/>
        </w:rPr>
        <w:t xml:space="preserve">, G.L.D., and </w:t>
      </w:r>
      <w:proofErr w:type="spellStart"/>
      <w:r w:rsidRPr="00E8719E">
        <w:rPr>
          <w:rFonts w:ascii="Calibri" w:eastAsiaTheme="minorHAnsi" w:cs="Calibri"/>
          <w:lang w:val="en-GB"/>
        </w:rPr>
        <w:t>Paza</w:t>
      </w:r>
      <w:proofErr w:type="spellEnd"/>
      <w:r w:rsidRPr="00E8719E">
        <w:rPr>
          <w:rFonts w:ascii="Calibri" w:eastAsiaTheme="minorHAnsi" w:cs="Calibri"/>
          <w:lang w:val="en-GB"/>
        </w:rPr>
        <w:t xml:space="preserve">, D.D.N. (2021) ‘Modernizing Legacy Systems with Microservices: A Roadmap’, in </w:t>
      </w:r>
      <w:r w:rsidRPr="00E8719E">
        <w:rPr>
          <w:rFonts w:ascii="Calibri" w:eastAsiaTheme="minorHAnsi" w:cs="Calibri"/>
          <w:i/>
          <w:iCs/>
          <w:lang w:val="en-GB"/>
        </w:rPr>
        <w:t>Evaluation and Assessment in Software Engineering</w:t>
      </w:r>
      <w:r w:rsidRPr="00E8719E">
        <w:rPr>
          <w:rFonts w:ascii="Calibri" w:eastAsiaTheme="minorHAnsi" w:cs="Calibri"/>
          <w:lang w:val="en-GB"/>
        </w:rPr>
        <w:t>, Presented at the EASE 2021: Evaluation and Assessment in Software Engineering, Trondheim Norway: ACM, 149–159, available: https://doi.org/10.1145/3463274.3463334.</w:t>
      </w:r>
    </w:p>
    <w:p w14:paraId="38FC0A1F"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Xu, Y. and Villiers, C. (2025) ‘The takeover of Royal Mail: lessons for the new owners from past corporate governance and trust failures’, </w:t>
      </w:r>
      <w:r w:rsidRPr="00E8719E">
        <w:rPr>
          <w:rFonts w:ascii="Calibri" w:eastAsiaTheme="minorHAnsi" w:cs="Calibri"/>
          <w:i/>
          <w:iCs/>
          <w:lang w:val="en-GB"/>
        </w:rPr>
        <w:t>Journal of Corporate Law Studies</w:t>
      </w:r>
      <w:r w:rsidRPr="00E8719E">
        <w:rPr>
          <w:rFonts w:ascii="Calibri" w:eastAsiaTheme="minorHAnsi" w:cs="Calibri"/>
          <w:lang w:val="en-GB"/>
        </w:rPr>
        <w:t>, 1–40, available: https://doi.org/10.1080/14735970.2025.2553430.</w:t>
      </w:r>
    </w:p>
    <w:p w14:paraId="381D0EF8"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Yoder, J.W. and Merson, P. (2020) ‘Strangler Patterns’.</w:t>
      </w:r>
    </w:p>
    <w:p w14:paraId="4DD4136A"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Zeng, R., </w:t>
      </w:r>
      <w:proofErr w:type="spellStart"/>
      <w:r w:rsidRPr="00E8719E">
        <w:rPr>
          <w:rFonts w:ascii="Calibri" w:eastAsiaTheme="minorHAnsi" w:cs="Calibri"/>
          <w:lang w:val="en-GB"/>
        </w:rPr>
        <w:t>Niu</w:t>
      </w:r>
      <w:proofErr w:type="spellEnd"/>
      <w:r w:rsidRPr="00E8719E">
        <w:rPr>
          <w:rFonts w:ascii="Calibri" w:eastAsiaTheme="minorHAnsi" w:cs="Calibri"/>
          <w:lang w:val="en-GB"/>
        </w:rPr>
        <w:t xml:space="preserve">, Y., and </w:t>
      </w:r>
      <w:proofErr w:type="spellStart"/>
      <w:r w:rsidRPr="00E8719E">
        <w:rPr>
          <w:rFonts w:ascii="Calibri" w:eastAsiaTheme="minorHAnsi" w:cs="Calibri"/>
          <w:lang w:val="en-GB"/>
        </w:rPr>
        <w:t>Qiao</w:t>
      </w:r>
      <w:proofErr w:type="spellEnd"/>
      <w:r w:rsidRPr="00E8719E">
        <w:rPr>
          <w:rFonts w:ascii="Calibri" w:eastAsiaTheme="minorHAnsi" w:cs="Calibri"/>
          <w:lang w:val="en-GB"/>
        </w:rPr>
        <w:t xml:space="preserve">, L. (2023) ‘A Novel Construction Technology of Microservice Multi-Instance System Automatic Deployment and Upgrade’, in </w:t>
      </w:r>
      <w:r w:rsidRPr="00E8719E">
        <w:rPr>
          <w:rFonts w:ascii="Calibri" w:eastAsiaTheme="minorHAnsi" w:cs="Calibri"/>
          <w:i/>
          <w:iCs/>
          <w:lang w:val="en-GB"/>
        </w:rPr>
        <w:t>2023 International Conference on Networking and Network Applications (</w:t>
      </w:r>
      <w:proofErr w:type="spellStart"/>
      <w:r w:rsidRPr="00E8719E">
        <w:rPr>
          <w:rFonts w:ascii="Calibri" w:eastAsiaTheme="minorHAnsi" w:cs="Calibri"/>
          <w:i/>
          <w:iCs/>
          <w:lang w:val="en-GB"/>
        </w:rPr>
        <w:t>NaNA</w:t>
      </w:r>
      <w:proofErr w:type="spellEnd"/>
      <w:r w:rsidRPr="00E8719E">
        <w:rPr>
          <w:rFonts w:ascii="Calibri" w:eastAsiaTheme="minorHAnsi" w:cs="Calibri"/>
          <w:i/>
          <w:iCs/>
          <w:lang w:val="en-GB"/>
        </w:rPr>
        <w:t>)</w:t>
      </w:r>
      <w:r w:rsidRPr="00E8719E">
        <w:rPr>
          <w:rFonts w:ascii="Calibri" w:eastAsiaTheme="minorHAnsi" w:cs="Calibri"/>
          <w:lang w:val="en-GB"/>
        </w:rPr>
        <w:t>, Presented at the 2023 International Conference on Networking and Network Applications (</w:t>
      </w:r>
      <w:proofErr w:type="spellStart"/>
      <w:r w:rsidRPr="00E8719E">
        <w:rPr>
          <w:rFonts w:ascii="Calibri" w:eastAsiaTheme="minorHAnsi" w:cs="Calibri"/>
          <w:lang w:val="en-GB"/>
        </w:rPr>
        <w:t>NaNA</w:t>
      </w:r>
      <w:proofErr w:type="spellEnd"/>
      <w:r w:rsidRPr="00E8719E">
        <w:rPr>
          <w:rFonts w:ascii="Calibri" w:eastAsiaTheme="minorHAnsi" w:cs="Calibri"/>
          <w:lang w:val="en-GB"/>
        </w:rPr>
        <w:t>), Qingdao, China: IEEE, 674–679, available: https://doi.org/10.1109/NaNA60121.2023.00116.</w:t>
      </w:r>
    </w:p>
    <w:p w14:paraId="5BF9A2BF" w14:textId="77777777" w:rsidR="00E8719E" w:rsidRPr="00E8719E" w:rsidRDefault="00E8719E" w:rsidP="00E8719E">
      <w:pPr>
        <w:pStyle w:val="Bibliography"/>
        <w:rPr>
          <w:rFonts w:ascii="Calibri" w:eastAsiaTheme="minorHAnsi" w:cs="Calibri"/>
          <w:lang w:val="en-GB"/>
        </w:rPr>
      </w:pPr>
      <w:r w:rsidRPr="00E8719E">
        <w:rPr>
          <w:rFonts w:ascii="Calibri" w:eastAsiaTheme="minorHAnsi" w:cs="Calibri"/>
          <w:lang w:val="en-GB"/>
        </w:rPr>
        <w:t xml:space="preserve">Zhong, C., Li, S., Huang, H., Liu, X., Chen, Z., Zhang, Y., and Zhang, H. (2024) ‘Domain-Driven Design for Microservices: An Evidence-Based Investigation’, </w:t>
      </w:r>
      <w:r w:rsidRPr="00E8719E">
        <w:rPr>
          <w:rFonts w:ascii="Calibri" w:eastAsiaTheme="minorHAnsi" w:cs="Calibri"/>
          <w:i/>
          <w:iCs/>
          <w:lang w:val="en-GB"/>
        </w:rPr>
        <w:t>IEEE Transactions on Software Engineering</w:t>
      </w:r>
      <w:r w:rsidRPr="00E8719E">
        <w:rPr>
          <w:rFonts w:ascii="Calibri" w:eastAsiaTheme="minorHAnsi" w:cs="Calibri"/>
          <w:lang w:val="en-GB"/>
        </w:rPr>
        <w:t>, 50(6), 1425–1449, available: https://doi.org/10.1109/TSE.2024.3385835.</w:t>
      </w:r>
    </w:p>
    <w:p w14:paraId="29C2A1BF" w14:textId="12E5600B" w:rsidR="00D849BA" w:rsidRPr="008E68F6" w:rsidRDefault="00D849BA" w:rsidP="00E8719E">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71D9D1" w14:textId="77777777" w:rsidR="00DF7491" w:rsidRDefault="00DF7491">
      <w:pPr>
        <w:spacing w:after="0" w:line="240" w:lineRule="auto"/>
      </w:pPr>
      <w:r>
        <w:separator/>
      </w:r>
    </w:p>
  </w:endnote>
  <w:endnote w:type="continuationSeparator" w:id="0">
    <w:p w14:paraId="2A87720F" w14:textId="77777777" w:rsidR="00DF7491" w:rsidRDefault="00DF74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DF74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E48DA8" w14:textId="77777777" w:rsidR="00DF7491" w:rsidRDefault="00DF7491">
      <w:pPr>
        <w:spacing w:after="0" w:line="240" w:lineRule="auto"/>
      </w:pPr>
      <w:r>
        <w:separator/>
      </w:r>
    </w:p>
  </w:footnote>
  <w:footnote w:type="continuationSeparator" w:id="0">
    <w:p w14:paraId="4909AFB8" w14:textId="77777777" w:rsidR="00DF7491" w:rsidRDefault="00DF74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35AEC"/>
    <w:rsid w:val="000374D4"/>
    <w:rsid w:val="0005114A"/>
    <w:rsid w:val="000522BB"/>
    <w:rsid w:val="000653C1"/>
    <w:rsid w:val="0006696D"/>
    <w:rsid w:val="0007499D"/>
    <w:rsid w:val="0008031A"/>
    <w:rsid w:val="000832F5"/>
    <w:rsid w:val="00091587"/>
    <w:rsid w:val="000A04A2"/>
    <w:rsid w:val="000A508F"/>
    <w:rsid w:val="000B296E"/>
    <w:rsid w:val="000B5477"/>
    <w:rsid w:val="000C1093"/>
    <w:rsid w:val="000C1F01"/>
    <w:rsid w:val="000C4BCF"/>
    <w:rsid w:val="000C7AE3"/>
    <w:rsid w:val="000D1527"/>
    <w:rsid w:val="000D2C9F"/>
    <w:rsid w:val="000D58CB"/>
    <w:rsid w:val="000E2FB1"/>
    <w:rsid w:val="000E4B89"/>
    <w:rsid w:val="000E5D7E"/>
    <w:rsid w:val="000F11BA"/>
    <w:rsid w:val="000F1A21"/>
    <w:rsid w:val="000F4DD4"/>
    <w:rsid w:val="000F5453"/>
    <w:rsid w:val="000F705B"/>
    <w:rsid w:val="001146FE"/>
    <w:rsid w:val="00121193"/>
    <w:rsid w:val="00123811"/>
    <w:rsid w:val="001335F4"/>
    <w:rsid w:val="00142668"/>
    <w:rsid w:val="001562DE"/>
    <w:rsid w:val="00161B20"/>
    <w:rsid w:val="00165DCD"/>
    <w:rsid w:val="001677DE"/>
    <w:rsid w:val="00174696"/>
    <w:rsid w:val="001754EC"/>
    <w:rsid w:val="0017584F"/>
    <w:rsid w:val="00177EF0"/>
    <w:rsid w:val="001838E2"/>
    <w:rsid w:val="001859E9"/>
    <w:rsid w:val="00192E25"/>
    <w:rsid w:val="00195F73"/>
    <w:rsid w:val="00196A68"/>
    <w:rsid w:val="001A5E83"/>
    <w:rsid w:val="001A6BF5"/>
    <w:rsid w:val="001B16DE"/>
    <w:rsid w:val="001B2D1A"/>
    <w:rsid w:val="001D3032"/>
    <w:rsid w:val="001D4633"/>
    <w:rsid w:val="001F26BF"/>
    <w:rsid w:val="00201C8C"/>
    <w:rsid w:val="00202819"/>
    <w:rsid w:val="00220298"/>
    <w:rsid w:val="00226E22"/>
    <w:rsid w:val="002330CE"/>
    <w:rsid w:val="00241248"/>
    <w:rsid w:val="00253C1B"/>
    <w:rsid w:val="00261BA4"/>
    <w:rsid w:val="00262980"/>
    <w:rsid w:val="00274AE3"/>
    <w:rsid w:val="00277E00"/>
    <w:rsid w:val="00281BBA"/>
    <w:rsid w:val="0029079D"/>
    <w:rsid w:val="002A169D"/>
    <w:rsid w:val="002A29F5"/>
    <w:rsid w:val="002A2DF8"/>
    <w:rsid w:val="002A5824"/>
    <w:rsid w:val="002B0709"/>
    <w:rsid w:val="002B4AD3"/>
    <w:rsid w:val="002C4504"/>
    <w:rsid w:val="002C4F28"/>
    <w:rsid w:val="002D3625"/>
    <w:rsid w:val="002E0A36"/>
    <w:rsid w:val="002E40B8"/>
    <w:rsid w:val="002E632B"/>
    <w:rsid w:val="00300979"/>
    <w:rsid w:val="0030275E"/>
    <w:rsid w:val="0031154C"/>
    <w:rsid w:val="00314AD6"/>
    <w:rsid w:val="00320D6B"/>
    <w:rsid w:val="0032134B"/>
    <w:rsid w:val="00334295"/>
    <w:rsid w:val="00351870"/>
    <w:rsid w:val="0036391F"/>
    <w:rsid w:val="003661B7"/>
    <w:rsid w:val="00373992"/>
    <w:rsid w:val="00382251"/>
    <w:rsid w:val="00382595"/>
    <w:rsid w:val="00387E86"/>
    <w:rsid w:val="00387FCC"/>
    <w:rsid w:val="0039265E"/>
    <w:rsid w:val="003936E1"/>
    <w:rsid w:val="00394FCA"/>
    <w:rsid w:val="00396500"/>
    <w:rsid w:val="00396B54"/>
    <w:rsid w:val="003A67BF"/>
    <w:rsid w:val="003C3387"/>
    <w:rsid w:val="003C6110"/>
    <w:rsid w:val="003D1C46"/>
    <w:rsid w:val="003D600C"/>
    <w:rsid w:val="003D79BE"/>
    <w:rsid w:val="003E0886"/>
    <w:rsid w:val="003E2040"/>
    <w:rsid w:val="003E50BB"/>
    <w:rsid w:val="003E54DD"/>
    <w:rsid w:val="003F1597"/>
    <w:rsid w:val="003F2EEC"/>
    <w:rsid w:val="00402446"/>
    <w:rsid w:val="00404F7E"/>
    <w:rsid w:val="00411ED7"/>
    <w:rsid w:val="00432EF0"/>
    <w:rsid w:val="00440194"/>
    <w:rsid w:val="00440F82"/>
    <w:rsid w:val="00450D4B"/>
    <w:rsid w:val="00456DAF"/>
    <w:rsid w:val="004619E3"/>
    <w:rsid w:val="00462BBB"/>
    <w:rsid w:val="004656B7"/>
    <w:rsid w:val="0046727C"/>
    <w:rsid w:val="004729A6"/>
    <w:rsid w:val="00475FA3"/>
    <w:rsid w:val="00477F2F"/>
    <w:rsid w:val="004827A4"/>
    <w:rsid w:val="00487385"/>
    <w:rsid w:val="00493927"/>
    <w:rsid w:val="004A0BFA"/>
    <w:rsid w:val="004B4026"/>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726FA"/>
    <w:rsid w:val="0057360A"/>
    <w:rsid w:val="00573B17"/>
    <w:rsid w:val="00574590"/>
    <w:rsid w:val="00576CF1"/>
    <w:rsid w:val="005819F1"/>
    <w:rsid w:val="00582B11"/>
    <w:rsid w:val="00584FE2"/>
    <w:rsid w:val="0058625A"/>
    <w:rsid w:val="00596056"/>
    <w:rsid w:val="005A1F48"/>
    <w:rsid w:val="005A461C"/>
    <w:rsid w:val="005A694B"/>
    <w:rsid w:val="005B0EE9"/>
    <w:rsid w:val="005B1B2A"/>
    <w:rsid w:val="005B7D4E"/>
    <w:rsid w:val="005C0F3A"/>
    <w:rsid w:val="005C78EA"/>
    <w:rsid w:val="005E2A12"/>
    <w:rsid w:val="005E470D"/>
    <w:rsid w:val="005F25E6"/>
    <w:rsid w:val="005F41E1"/>
    <w:rsid w:val="005F7AA0"/>
    <w:rsid w:val="00617760"/>
    <w:rsid w:val="0063413F"/>
    <w:rsid w:val="00634A9E"/>
    <w:rsid w:val="006372CA"/>
    <w:rsid w:val="0065055F"/>
    <w:rsid w:val="00656043"/>
    <w:rsid w:val="006565C2"/>
    <w:rsid w:val="00661D17"/>
    <w:rsid w:val="0066622B"/>
    <w:rsid w:val="00673648"/>
    <w:rsid w:val="006769DA"/>
    <w:rsid w:val="006879D3"/>
    <w:rsid w:val="00696FB8"/>
    <w:rsid w:val="006B0526"/>
    <w:rsid w:val="006B4EDA"/>
    <w:rsid w:val="006D10E0"/>
    <w:rsid w:val="006D45CF"/>
    <w:rsid w:val="006D6A0E"/>
    <w:rsid w:val="006E4CDE"/>
    <w:rsid w:val="006F2E37"/>
    <w:rsid w:val="00700E24"/>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36BF"/>
    <w:rsid w:val="0078715A"/>
    <w:rsid w:val="007973F4"/>
    <w:rsid w:val="007B1D15"/>
    <w:rsid w:val="007C171A"/>
    <w:rsid w:val="007C26CA"/>
    <w:rsid w:val="007C31FE"/>
    <w:rsid w:val="007D3584"/>
    <w:rsid w:val="007E6C38"/>
    <w:rsid w:val="007F3004"/>
    <w:rsid w:val="007F354E"/>
    <w:rsid w:val="007F3C7B"/>
    <w:rsid w:val="007F78D6"/>
    <w:rsid w:val="00801CEF"/>
    <w:rsid w:val="0080273D"/>
    <w:rsid w:val="0081191F"/>
    <w:rsid w:val="0081363A"/>
    <w:rsid w:val="008160D2"/>
    <w:rsid w:val="00835534"/>
    <w:rsid w:val="0083675A"/>
    <w:rsid w:val="00855EA7"/>
    <w:rsid w:val="0085757D"/>
    <w:rsid w:val="0086100F"/>
    <w:rsid w:val="00863140"/>
    <w:rsid w:val="00863D61"/>
    <w:rsid w:val="008653F7"/>
    <w:rsid w:val="00866111"/>
    <w:rsid w:val="00873CCB"/>
    <w:rsid w:val="008755DB"/>
    <w:rsid w:val="0089746A"/>
    <w:rsid w:val="008A3685"/>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68F6"/>
    <w:rsid w:val="008F0971"/>
    <w:rsid w:val="008F380A"/>
    <w:rsid w:val="008F7B12"/>
    <w:rsid w:val="00901CD0"/>
    <w:rsid w:val="009047D2"/>
    <w:rsid w:val="0090556F"/>
    <w:rsid w:val="00913B91"/>
    <w:rsid w:val="00915948"/>
    <w:rsid w:val="00917E79"/>
    <w:rsid w:val="0092104C"/>
    <w:rsid w:val="00927677"/>
    <w:rsid w:val="009277EB"/>
    <w:rsid w:val="00934336"/>
    <w:rsid w:val="0093739A"/>
    <w:rsid w:val="009425A7"/>
    <w:rsid w:val="00942840"/>
    <w:rsid w:val="00942F99"/>
    <w:rsid w:val="009468A2"/>
    <w:rsid w:val="0094735E"/>
    <w:rsid w:val="00957263"/>
    <w:rsid w:val="00961133"/>
    <w:rsid w:val="0096202A"/>
    <w:rsid w:val="00964B5E"/>
    <w:rsid w:val="00965800"/>
    <w:rsid w:val="00973E1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D7791"/>
    <w:rsid w:val="009E0829"/>
    <w:rsid w:val="009E58B2"/>
    <w:rsid w:val="009E6517"/>
    <w:rsid w:val="009F061B"/>
    <w:rsid w:val="009F095C"/>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A6BC1"/>
    <w:rsid w:val="00AB4418"/>
    <w:rsid w:val="00AB4FBF"/>
    <w:rsid w:val="00AB5E06"/>
    <w:rsid w:val="00AC58E2"/>
    <w:rsid w:val="00AD53B9"/>
    <w:rsid w:val="00AD6DBB"/>
    <w:rsid w:val="00AE08F8"/>
    <w:rsid w:val="00AE2458"/>
    <w:rsid w:val="00AE2771"/>
    <w:rsid w:val="00AE49B0"/>
    <w:rsid w:val="00AE49FA"/>
    <w:rsid w:val="00AE5383"/>
    <w:rsid w:val="00AE7626"/>
    <w:rsid w:val="00AF10A1"/>
    <w:rsid w:val="00B04816"/>
    <w:rsid w:val="00B0582D"/>
    <w:rsid w:val="00B11FCB"/>
    <w:rsid w:val="00B14F02"/>
    <w:rsid w:val="00B2269B"/>
    <w:rsid w:val="00B24A0A"/>
    <w:rsid w:val="00B25C84"/>
    <w:rsid w:val="00B3051E"/>
    <w:rsid w:val="00B32679"/>
    <w:rsid w:val="00B32DC3"/>
    <w:rsid w:val="00B37FAE"/>
    <w:rsid w:val="00B40755"/>
    <w:rsid w:val="00B457B0"/>
    <w:rsid w:val="00B51835"/>
    <w:rsid w:val="00B53132"/>
    <w:rsid w:val="00B5677B"/>
    <w:rsid w:val="00B64704"/>
    <w:rsid w:val="00B65949"/>
    <w:rsid w:val="00B75C23"/>
    <w:rsid w:val="00B77D21"/>
    <w:rsid w:val="00B8268B"/>
    <w:rsid w:val="00B8650D"/>
    <w:rsid w:val="00B92466"/>
    <w:rsid w:val="00B9304E"/>
    <w:rsid w:val="00BA4DF7"/>
    <w:rsid w:val="00BB37EC"/>
    <w:rsid w:val="00BB49B6"/>
    <w:rsid w:val="00BC2DC7"/>
    <w:rsid w:val="00BC4372"/>
    <w:rsid w:val="00BC6665"/>
    <w:rsid w:val="00BC733D"/>
    <w:rsid w:val="00BC78E7"/>
    <w:rsid w:val="00BF5227"/>
    <w:rsid w:val="00C00B15"/>
    <w:rsid w:val="00C03328"/>
    <w:rsid w:val="00C06891"/>
    <w:rsid w:val="00C15B58"/>
    <w:rsid w:val="00C15D19"/>
    <w:rsid w:val="00C2235C"/>
    <w:rsid w:val="00C2256E"/>
    <w:rsid w:val="00C2582C"/>
    <w:rsid w:val="00C3483A"/>
    <w:rsid w:val="00C42EB1"/>
    <w:rsid w:val="00C507B6"/>
    <w:rsid w:val="00C5460D"/>
    <w:rsid w:val="00C57E06"/>
    <w:rsid w:val="00C61E03"/>
    <w:rsid w:val="00C66BD8"/>
    <w:rsid w:val="00C70096"/>
    <w:rsid w:val="00C71A0B"/>
    <w:rsid w:val="00C75756"/>
    <w:rsid w:val="00C76402"/>
    <w:rsid w:val="00C83DE2"/>
    <w:rsid w:val="00C9203D"/>
    <w:rsid w:val="00CA108C"/>
    <w:rsid w:val="00CA44A4"/>
    <w:rsid w:val="00CA4A3E"/>
    <w:rsid w:val="00CD0789"/>
    <w:rsid w:val="00CD5B30"/>
    <w:rsid w:val="00CD6B1D"/>
    <w:rsid w:val="00CD6DA3"/>
    <w:rsid w:val="00CE7B6B"/>
    <w:rsid w:val="00CF3FE4"/>
    <w:rsid w:val="00CF6257"/>
    <w:rsid w:val="00D045F9"/>
    <w:rsid w:val="00D04ED9"/>
    <w:rsid w:val="00D14D1D"/>
    <w:rsid w:val="00D213EE"/>
    <w:rsid w:val="00D35DDF"/>
    <w:rsid w:val="00D37C4C"/>
    <w:rsid w:val="00D404C5"/>
    <w:rsid w:val="00D51AED"/>
    <w:rsid w:val="00D532D7"/>
    <w:rsid w:val="00D533EF"/>
    <w:rsid w:val="00D5388F"/>
    <w:rsid w:val="00D55424"/>
    <w:rsid w:val="00D56CF4"/>
    <w:rsid w:val="00D57F0B"/>
    <w:rsid w:val="00D64916"/>
    <w:rsid w:val="00D754DD"/>
    <w:rsid w:val="00D849BA"/>
    <w:rsid w:val="00DA0E43"/>
    <w:rsid w:val="00DA2D56"/>
    <w:rsid w:val="00DA5E75"/>
    <w:rsid w:val="00DB1577"/>
    <w:rsid w:val="00DC1B20"/>
    <w:rsid w:val="00DC4469"/>
    <w:rsid w:val="00DD3BB8"/>
    <w:rsid w:val="00DD5B3F"/>
    <w:rsid w:val="00DD5E13"/>
    <w:rsid w:val="00DE133F"/>
    <w:rsid w:val="00DF61DF"/>
    <w:rsid w:val="00DF7491"/>
    <w:rsid w:val="00E01A94"/>
    <w:rsid w:val="00E01EEB"/>
    <w:rsid w:val="00E02448"/>
    <w:rsid w:val="00E027D8"/>
    <w:rsid w:val="00E0432B"/>
    <w:rsid w:val="00E0737D"/>
    <w:rsid w:val="00E1016D"/>
    <w:rsid w:val="00E272CC"/>
    <w:rsid w:val="00E430F0"/>
    <w:rsid w:val="00E44F88"/>
    <w:rsid w:val="00E50D2F"/>
    <w:rsid w:val="00E531E0"/>
    <w:rsid w:val="00E53A5E"/>
    <w:rsid w:val="00E72B61"/>
    <w:rsid w:val="00E8200C"/>
    <w:rsid w:val="00E82F2F"/>
    <w:rsid w:val="00E83183"/>
    <w:rsid w:val="00E86334"/>
    <w:rsid w:val="00E868D1"/>
    <w:rsid w:val="00E8719E"/>
    <w:rsid w:val="00E9015F"/>
    <w:rsid w:val="00E901E0"/>
    <w:rsid w:val="00E90663"/>
    <w:rsid w:val="00E97260"/>
    <w:rsid w:val="00EB1DD2"/>
    <w:rsid w:val="00EB2A13"/>
    <w:rsid w:val="00EB632F"/>
    <w:rsid w:val="00EB67A7"/>
    <w:rsid w:val="00EC0E75"/>
    <w:rsid w:val="00EC6332"/>
    <w:rsid w:val="00EC6D7F"/>
    <w:rsid w:val="00EE4C5B"/>
    <w:rsid w:val="00EE5186"/>
    <w:rsid w:val="00EE69C3"/>
    <w:rsid w:val="00EF3A10"/>
    <w:rsid w:val="00EF3DCF"/>
    <w:rsid w:val="00F00CE1"/>
    <w:rsid w:val="00F0345E"/>
    <w:rsid w:val="00F05DD6"/>
    <w:rsid w:val="00F1009A"/>
    <w:rsid w:val="00F1511E"/>
    <w:rsid w:val="00F24FE2"/>
    <w:rsid w:val="00F32B84"/>
    <w:rsid w:val="00F37793"/>
    <w:rsid w:val="00F41BC0"/>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8D1"/>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6896</TotalTime>
  <Pages>41</Pages>
  <Words>27869</Words>
  <Characters>158857</Characters>
  <Application>Microsoft Office Word</Application>
  <DocSecurity>0</DocSecurity>
  <Lines>1323</Lines>
  <Paragraphs>372</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186354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391</cp:revision>
  <dcterms:created xsi:type="dcterms:W3CDTF">2026-05-31T08:55:00Z</dcterms:created>
  <dcterms:modified xsi:type="dcterms:W3CDTF">2026-07-19T07:44:00Z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