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0A2B0C4" w14:textId="195D74C9"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611A66">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611A66">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611A66">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611A66">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611A66">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611A66">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611A66">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611A66">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611A66">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611A66">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611A66">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611A66">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611A66">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611A66">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611A66">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611A66">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611A66">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611A66">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611A66">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611A66">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611A66">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611A66">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611A66">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611A66">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611A66">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611A66">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611A66">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611A66">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611A66">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611A66">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611A66">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611A66">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611A66">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611A66">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611A66">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611A66">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611A66">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611A66">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611A66">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611A66">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611A66">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611A66">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611A66">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611A66">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611A66">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611A66">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611A66">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611A66">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611A66">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611A66">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611A66">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611A66">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611A66">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611A66">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611A66">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0D045360"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r w:rsidR="00506E34">
        <w:rPr>
          <w:sz w:val="24"/>
          <w:szCs w:val="24"/>
        </w:rPr>
        <w:t xml:space="preserve"> </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fldSimple w:instr=" STYLEREF 3 \s ">
        <w:r w:rsidR="00866111">
          <w:rPr>
            <w:noProof/>
          </w:rPr>
          <w:t>1.3.2</w:t>
        </w:r>
      </w:fldSimple>
      <w:r>
        <w:noBreakHyphen/>
      </w:r>
      <w:fldSimple w:instr=" SEQ Figure \* ARABIC \s 3 ">
        <w:r w:rsidR="00866111">
          <w:rPr>
            <w:noProof/>
          </w:rPr>
          <w:t>1</w:t>
        </w:r>
      </w:fldSimple>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2B837490"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Understanding how digital transformations are planned</w:t>
      </w:r>
      <w:r w:rsidR="00E82F2F">
        <w:rPr>
          <w:sz w:val="24"/>
          <w:szCs w:val="24"/>
        </w:rPr>
        <w:t xml:space="preserve">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 xml:space="preserve">support </w:t>
      </w:r>
      <w:r w:rsidR="004B4026">
        <w:rPr>
          <w:sz w:val="24"/>
          <w:szCs w:val="24"/>
        </w:rPr>
        <w:t xml:space="preserve">resilient </w:t>
      </w:r>
      <w:r w:rsidR="002C4504" w:rsidRPr="0085757D">
        <w:rPr>
          <w:sz w:val="24"/>
          <w:szCs w:val="24"/>
        </w:rPr>
        <w:t>software architectures</w:t>
      </w:r>
      <w:r w:rsidR="002C4504">
        <w:rPr>
          <w:sz w:val="24"/>
          <w:szCs w:val="24"/>
        </w:rPr>
        <w:t>.</w:t>
      </w:r>
      <w:r w:rsidR="00E82F2F">
        <w:rPr>
          <w:sz w:val="24"/>
          <w:szCs w:val="24"/>
        </w:rPr>
        <w:t xml:space="preserve"> </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27C2E7D7"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 xml:space="preserve">(Hippchen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 xml:space="preserve">(Macías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w:t>
      </w:r>
      <w:r w:rsidRPr="008F0971">
        <w:rPr>
          <w:sz w:val="24"/>
          <w:szCs w:val="24"/>
        </w:rPr>
        <w:lastRenderedPageBreak/>
        <w:t xml:space="preserve">towards </w:t>
      </w:r>
      <w:r w:rsidR="001F26BF" w:rsidRPr="001F26BF">
        <w:rPr>
          <w:sz w:val="24"/>
          <w:szCs w:val="24"/>
        </w:rPr>
        <w:t xml:space="preserve">modern domain-driven microservice architectures whose availability requirements must be </w:t>
      </w:r>
      <w:r w:rsidR="000374D4">
        <w:rPr>
          <w:sz w:val="24"/>
          <w:szCs w:val="24"/>
        </w:rPr>
        <w:t>met</w:t>
      </w:r>
      <w:r w:rsidR="001F26BF" w:rsidRPr="001F26BF">
        <w:rPr>
          <w:sz w:val="24"/>
          <w:szCs w:val="24"/>
        </w:rPr>
        <w:t xml:space="preserve"> </w:t>
      </w:r>
      <w:r w:rsidR="000522BB">
        <w:rPr>
          <w:sz w:val="24"/>
          <w:szCs w:val="24"/>
        </w:rPr>
        <w:t>for both</w:t>
      </w:r>
      <w:r w:rsidR="001F26BF" w:rsidRPr="001F26BF">
        <w:rPr>
          <w:sz w:val="24"/>
          <w:szCs w:val="24"/>
        </w:rPr>
        <w:t xml:space="preserve"> application and </w:t>
      </w:r>
      <w:r w:rsidR="000522BB">
        <w:rPr>
          <w:sz w:val="24"/>
          <w:szCs w:val="24"/>
        </w:rPr>
        <w:t xml:space="preserve">the </w:t>
      </w:r>
      <w:r w:rsidR="001F26BF" w:rsidRPr="001F26BF">
        <w:rPr>
          <w:sz w:val="24"/>
          <w:szCs w:val="24"/>
        </w:rPr>
        <w:t>infrastructure</w:t>
      </w:r>
      <w:r w:rsidR="000522BB">
        <w:rPr>
          <w:sz w:val="24"/>
          <w:szCs w:val="24"/>
        </w:rPr>
        <w:t xml:space="preserve"> level</w:t>
      </w:r>
      <w:r w:rsidRPr="008F0971">
        <w:rPr>
          <w:sz w:val="24"/>
          <w:szCs w:val="24"/>
        </w:rPr>
        <w:t>.</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195DD7EA"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w:t>
      </w:r>
      <w:r w:rsidR="008D4AA1">
        <w:rPr>
          <w:sz w:val="24"/>
          <w:szCs w:val="24"/>
        </w:rPr>
        <w:t>ed</w:t>
      </w:r>
      <w:r w:rsidR="00FE6BCD">
        <w:rPr>
          <w:sz w:val="24"/>
          <w:szCs w:val="24"/>
        </w:rPr>
        <w:t xml:space="preserve">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0748F44E" w:rsidR="00BB49B6" w:rsidRDefault="00B65949" w:rsidP="00CF3FE4">
      <w:pPr>
        <w:spacing w:line="360" w:lineRule="auto"/>
        <w:rPr>
          <w:sz w:val="24"/>
          <w:szCs w:val="24"/>
        </w:rPr>
      </w:pPr>
      <w:r>
        <w:rPr>
          <w:sz w:val="24"/>
          <w:szCs w:val="24"/>
        </w:rPr>
        <w:t>A monolithic 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r w:rsidR="00DB1577">
        <w:rPr>
          <w:sz w:val="24"/>
          <w:szCs w:val="24"/>
        </w:rPr>
        <w:t xml:space="preserve">This tight coupling found in Monolithic applications makes it difficult to achieve the resilience and scalability required by the enterprise. </w:t>
      </w:r>
    </w:p>
    <w:p w14:paraId="032041E0" w14:textId="6364C117"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changing environment the constant threat of hackers and malicious actors is also </w:t>
      </w:r>
      <w:r w:rsidR="00C5460D">
        <w:rPr>
          <w:sz w:val="24"/>
          <w:szCs w:val="24"/>
        </w:rPr>
        <w:t xml:space="preserve">harder to </w:t>
      </w:r>
      <w:r w:rsidR="00C5460D">
        <w:rPr>
          <w:sz w:val="24"/>
          <w:szCs w:val="24"/>
        </w:rPr>
        <w:lastRenderedPageBreak/>
        <w:t>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Thus</w:t>
      </w:r>
      <w:r w:rsidR="00E82F2F">
        <w:rPr>
          <w:sz w:val="24"/>
          <w:szCs w:val="24"/>
        </w:rPr>
        <w:t>,</w:t>
      </w:r>
      <w:r w:rsidR="00762F1F">
        <w:rPr>
          <w:sz w:val="24"/>
          <w:szCs w:val="24"/>
        </w:rPr>
        <w:t xml:space="preserve">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r w:rsidR="00E82F2F">
        <w:rPr>
          <w:sz w:val="24"/>
          <w:szCs w:val="24"/>
        </w:rPr>
        <w:t xml:space="preserve"> and </w:t>
      </w:r>
      <w:r w:rsidR="0096202A">
        <w:rPr>
          <w:sz w:val="24"/>
          <w:szCs w:val="24"/>
        </w:rPr>
        <w:t>creates new opportunities</w:t>
      </w:r>
      <w:r w:rsidR="00C83DE2">
        <w:rPr>
          <w:sz w:val="24"/>
          <w:szCs w:val="24"/>
        </w:rPr>
        <w:t xml:space="preserve"> for </w:t>
      </w:r>
      <w:r w:rsidR="0096202A">
        <w:rPr>
          <w:sz w:val="24"/>
          <w:szCs w:val="24"/>
        </w:rPr>
        <w:t>HA</w:t>
      </w:r>
      <w:r w:rsidR="00762F1F">
        <w:rPr>
          <w:sz w:val="24"/>
          <w:szCs w:val="24"/>
        </w:rPr>
        <w:t>.</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027F52F0"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D56CF4">
        <w:rPr>
          <w:sz w:val="24"/>
          <w:szCs w:val="24"/>
        </w:rPr>
        <w:t xml:space="preserve">Working with the code base becomes easier and ownership is more easily assignable </w:t>
      </w:r>
      <w:r w:rsidR="00D56CF4">
        <w:rPr>
          <w:sz w:val="24"/>
          <w:szCs w:val="24"/>
        </w:rPr>
        <w:fldChar w:fldCharType="begin"/>
      </w:r>
      <w:r w:rsidR="00D56CF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Pr>
          <w:rFonts w:ascii="Cambria Math" w:hAnsi="Cambria Math" w:cs="Cambria Math"/>
          <w:sz w:val="24"/>
          <w:szCs w:val="24"/>
        </w:rPr>
        <w:instrText>↵</w:instrText>
      </w:r>
      <w:r w:rsidR="00D56CF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Pr>
          <w:sz w:val="24"/>
          <w:szCs w:val="24"/>
        </w:rPr>
        <w:fldChar w:fldCharType="separate"/>
      </w:r>
      <w:r w:rsidR="00D56CF4" w:rsidRPr="00D56CF4">
        <w:rPr>
          <w:rFonts w:ascii="Calibri" w:eastAsiaTheme="minorHAnsi" w:cs="Calibri"/>
          <w:sz w:val="24"/>
          <w:szCs w:val="24"/>
          <w:lang w:val="en-GB"/>
        </w:rPr>
        <w:t xml:space="preserve">(Kalske </w:t>
      </w:r>
      <w:r w:rsidR="00D56CF4" w:rsidRPr="00D56CF4">
        <w:rPr>
          <w:rFonts w:ascii="Calibri" w:eastAsiaTheme="minorHAnsi" w:cs="Calibri"/>
          <w:i/>
          <w:iCs/>
          <w:sz w:val="24"/>
          <w:szCs w:val="24"/>
          <w:lang w:val="en-GB"/>
        </w:rPr>
        <w:t>et al.</w:t>
      </w:r>
      <w:r w:rsidR="00D56CF4" w:rsidRPr="00D56CF4">
        <w:rPr>
          <w:rFonts w:ascii="Calibri" w:eastAsiaTheme="minorHAnsi" w:cs="Calibri"/>
          <w:sz w:val="24"/>
          <w:szCs w:val="24"/>
          <w:lang w:val="en-GB"/>
        </w:rPr>
        <w:t xml:space="preserve"> 2018)</w:t>
      </w:r>
      <w:r w:rsidR="00D56CF4">
        <w:rPr>
          <w:sz w:val="24"/>
          <w:szCs w:val="24"/>
        </w:rPr>
        <w:fldChar w:fldCharType="end"/>
      </w:r>
      <w:r w:rsidR="00D56CF4">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506A737D" w:rsidR="007034E8" w:rsidRDefault="008160D2" w:rsidP="00DA2D56">
      <w:pPr>
        <w:spacing w:line="360" w:lineRule="auto"/>
        <w:rPr>
          <w:sz w:val="24"/>
          <w:szCs w:val="24"/>
        </w:rPr>
      </w:pPr>
      <w:r>
        <w:rPr>
          <w:sz w:val="24"/>
          <w:szCs w:val="24"/>
        </w:rPr>
        <w:t>Having more applications</w:t>
      </w:r>
      <w:r w:rsidR="000F11BA">
        <w:rPr>
          <w:sz w:val="24"/>
          <w:szCs w:val="24"/>
        </w:rPr>
        <w:t xml:space="preserve"> mean</w:t>
      </w:r>
      <w:r w:rsidR="00241248">
        <w:rPr>
          <w:sz w:val="24"/>
          <w:szCs w:val="24"/>
        </w:rPr>
        <w:t>s</w:t>
      </w:r>
      <w:r w:rsidR="000F11BA">
        <w:rPr>
          <w:sz w:val="24"/>
          <w:szCs w:val="24"/>
        </w:rPr>
        <w:t xml:space="preserve">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complete 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lastRenderedPageBreak/>
        <w:t>Domain Driven Design with Microservices</w:t>
      </w:r>
      <w:bookmarkEnd w:id="36"/>
    </w:p>
    <w:p w14:paraId="797ABCA1" w14:textId="50299D24"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(R</w:t>
      </w:r>
      <w:r w:rsidR="00DA5E75">
        <w:rPr>
          <w:sz w:val="24"/>
          <w:szCs w:val="24"/>
        </w:rPr>
        <w:t>E</w:t>
      </w:r>
      <w:r w:rsidR="00CD6DA3">
        <w:rPr>
          <w:sz w:val="24"/>
          <w:szCs w:val="24"/>
        </w:rPr>
        <w:t xml:space="preserve">ST),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2E2F8A9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 have been producing events into. There is not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ECD4762" w14:textId="6E2FE2AE" w:rsidR="008C3A24" w:rsidRDefault="00CD6DA3" w:rsidP="00E9015F">
      <w:pPr>
        <w:spacing w:line="360" w:lineRule="auto"/>
        <w:rPr>
          <w:sz w:val="24"/>
          <w:szCs w:val="24"/>
        </w:rPr>
      </w:pPr>
      <w:r w:rsidRPr="00E9015F">
        <w:rPr>
          <w:sz w:val="24"/>
          <w:szCs w:val="24"/>
        </w:rPr>
        <w:t>Companies around the world are working to migrate from monolithic applications towards microservice based architecture</w:t>
      </w:r>
      <w:r w:rsidR="00C57E06">
        <w:rPr>
          <w:sz w:val="24"/>
          <w:szCs w:val="24"/>
        </w:rPr>
        <w:t>s</w:t>
      </w:r>
      <w:r w:rsidRPr="00E9015F">
        <w:rPr>
          <w:sz w:val="24"/>
          <w:szCs w:val="24"/>
        </w:rPr>
        <w:t xml:space="preserve"> in order to</w:t>
      </w:r>
      <w:r w:rsidR="00C57E06">
        <w:rPr>
          <w:sz w:val="24"/>
          <w:szCs w:val="24"/>
        </w:rPr>
        <w:t xml:space="preserve"> make</w:t>
      </w:r>
      <w:r w:rsidRPr="00E9015F">
        <w:rPr>
          <w:sz w:val="24"/>
          <w:szCs w:val="24"/>
        </w:rPr>
        <w:t xml:space="preserve"> </w:t>
      </w:r>
      <w:r w:rsidR="002D3625" w:rsidRPr="00E9015F">
        <w:rPr>
          <w:sz w:val="24"/>
          <w:szCs w:val="24"/>
        </w:rPr>
        <w:t xml:space="preserve">the </w:t>
      </w:r>
      <w:r w:rsidR="00C57E06">
        <w:rPr>
          <w:sz w:val="24"/>
          <w:szCs w:val="24"/>
        </w:rPr>
        <w:t>applications more scalable and</w:t>
      </w:r>
      <w:r w:rsidR="002D3625" w:rsidRPr="00E9015F">
        <w:rPr>
          <w:sz w:val="24"/>
          <w:szCs w:val="24"/>
        </w:rPr>
        <w:t xml:space="preserve"> easier </w:t>
      </w:r>
      <w:r w:rsidR="00C57E06">
        <w:rPr>
          <w:sz w:val="24"/>
          <w:szCs w:val="24"/>
        </w:rPr>
        <w:t>to develop</w:t>
      </w:r>
      <w:r w:rsidR="002D3625" w:rsidRPr="00E9015F">
        <w:rPr>
          <w:sz w:val="24"/>
          <w:szCs w:val="24"/>
        </w:rPr>
        <w:t xml:space="preserv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w:t>
      </w:r>
      <w:r w:rsidR="00E0432B">
        <w:rPr>
          <w:sz w:val="24"/>
          <w:szCs w:val="24"/>
        </w:rPr>
        <w:lastRenderedPageBreak/>
        <w:t xml:space="preserve">currently still providing key services and move towards </w:t>
      </w:r>
      <w:r w:rsidR="00EB2A13">
        <w:rPr>
          <w:sz w:val="24"/>
          <w:szCs w:val="24"/>
        </w:rPr>
        <w:t>the</w:t>
      </w:r>
      <w:r w:rsidR="00E0432B">
        <w:rPr>
          <w:sz w:val="24"/>
          <w:szCs w:val="24"/>
        </w:rPr>
        <w:t xml:space="preserve"> new MSA</w:t>
      </w:r>
      <w:r w:rsidR="00EB2A13">
        <w:rPr>
          <w:sz w:val="24"/>
          <w:szCs w:val="24"/>
        </w:rPr>
        <w:t xml:space="preserve"> services</w:t>
      </w:r>
      <w:r w:rsidR="00E0432B">
        <w:rPr>
          <w:sz w:val="24"/>
          <w:szCs w:val="24"/>
        </w:rPr>
        <w:t xml:space="preserve">. If the service cannot be interrupted then a gradual migration can be considered. A technique known as the Strangler </w:t>
      </w:r>
      <w:r w:rsidR="0006696D">
        <w:rPr>
          <w:sz w:val="24"/>
          <w:szCs w:val="24"/>
        </w:rPr>
        <w:t>P</w:t>
      </w:r>
      <w:r w:rsidR="00E0432B">
        <w:rPr>
          <w:sz w:val="24"/>
          <w:szCs w:val="24"/>
        </w:rPr>
        <w:t xml:space="preserve">attern can be followed that allows for a </w:t>
      </w:r>
      <w:r w:rsidR="007973F4">
        <w:rPr>
          <w:sz w:val="24"/>
          <w:szCs w:val="24"/>
        </w:rPr>
        <w:t xml:space="preserve">gradual </w:t>
      </w:r>
      <w:r w:rsidR="00E0432B">
        <w:rPr>
          <w:sz w:val="24"/>
          <w:szCs w:val="24"/>
        </w:rPr>
        <w:t>transition</w:t>
      </w:r>
      <w:r w:rsidR="0006696D">
        <w:rPr>
          <w:sz w:val="24"/>
          <w:szCs w:val="24"/>
        </w:rPr>
        <w:t xml:space="preserve"> </w:t>
      </w:r>
      <w:r w:rsidR="0006696D">
        <w:rPr>
          <w:sz w:val="24"/>
          <w:szCs w:val="24"/>
        </w:rPr>
        <w:fldChar w:fldCharType="begin"/>
      </w:r>
      <w:r w:rsidR="0006696D">
        <w:rPr>
          <w:sz w:val="24"/>
          <w:szCs w:val="24"/>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Pr>
          <w:sz w:val="24"/>
          <w:szCs w:val="24"/>
        </w:rPr>
        <w:fldChar w:fldCharType="separate"/>
      </w:r>
      <w:r w:rsidR="0006696D" w:rsidRPr="0006696D">
        <w:rPr>
          <w:rFonts w:ascii="Calibri" w:eastAsiaTheme="minorHAnsi" w:cs="Calibri"/>
          <w:sz w:val="24"/>
          <w:szCs w:val="24"/>
          <w:lang w:val="en-GB"/>
        </w:rPr>
        <w:t>(</w:t>
      </w:r>
      <w:proofErr w:type="spellStart"/>
      <w:r w:rsidR="0006696D" w:rsidRPr="0006696D">
        <w:rPr>
          <w:rFonts w:ascii="Calibri" w:eastAsiaTheme="minorHAnsi" w:cs="Calibri"/>
          <w:sz w:val="24"/>
          <w:szCs w:val="24"/>
          <w:lang w:val="en-GB"/>
        </w:rPr>
        <w:t>Wolfart</w:t>
      </w:r>
      <w:proofErr w:type="spellEnd"/>
      <w:r w:rsidR="0006696D" w:rsidRPr="0006696D">
        <w:rPr>
          <w:rFonts w:ascii="Calibri" w:eastAsiaTheme="minorHAnsi" w:cs="Calibri"/>
          <w:sz w:val="24"/>
          <w:szCs w:val="24"/>
          <w:lang w:val="en-GB"/>
        </w:rPr>
        <w:t xml:space="preserve"> </w:t>
      </w:r>
      <w:r w:rsidR="0006696D" w:rsidRPr="0006696D">
        <w:rPr>
          <w:rFonts w:ascii="Calibri" w:eastAsiaTheme="minorHAnsi" w:cs="Calibri"/>
          <w:i/>
          <w:iCs/>
          <w:sz w:val="24"/>
          <w:szCs w:val="24"/>
          <w:lang w:val="en-GB"/>
        </w:rPr>
        <w:t>et al.</w:t>
      </w:r>
      <w:r w:rsidR="0006696D" w:rsidRPr="0006696D">
        <w:rPr>
          <w:rFonts w:ascii="Calibri" w:eastAsiaTheme="minorHAnsi" w:cs="Calibri"/>
          <w:sz w:val="24"/>
          <w:szCs w:val="24"/>
          <w:lang w:val="en-GB"/>
        </w:rPr>
        <w:t xml:space="preserve"> 2021)</w:t>
      </w:r>
      <w:r w:rsidR="0006696D">
        <w:rPr>
          <w:sz w:val="24"/>
          <w:szCs w:val="24"/>
        </w:rPr>
        <w:fldChar w:fldCharType="end"/>
      </w:r>
      <w:r w:rsidR="00E0432B">
        <w:rPr>
          <w:sz w:val="24"/>
          <w:szCs w:val="24"/>
        </w:rPr>
        <w:t xml:space="preserve">. </w:t>
      </w:r>
      <w:r w:rsidR="00241248">
        <w:rPr>
          <w:sz w:val="24"/>
          <w:szCs w:val="24"/>
        </w:rPr>
        <w:t xml:space="preserve">This pattern is used to do an evolutionary rewrite of the application system while keeping the original application active in the process </w:t>
      </w:r>
      <w:r w:rsidR="008755DB">
        <w:rPr>
          <w:sz w:val="24"/>
          <w:szCs w:val="24"/>
        </w:rPr>
        <w:fldChar w:fldCharType="begin"/>
      </w:r>
      <w:r w:rsidR="001B16DE">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Pr>
          <w:sz w:val="24"/>
          <w:szCs w:val="24"/>
        </w:rPr>
        <w:fldChar w:fldCharType="separate"/>
      </w:r>
      <w:r w:rsidR="001B16DE">
        <w:rPr>
          <w:noProof/>
          <w:sz w:val="24"/>
          <w:szCs w:val="24"/>
        </w:rPr>
        <w:t>(Yoder and Merson 2020)</w:t>
      </w:r>
      <w:r w:rsidR="008755DB">
        <w:rPr>
          <w:sz w:val="24"/>
          <w:szCs w:val="24"/>
        </w:rPr>
        <w:fldChar w:fldCharType="end"/>
      </w:r>
      <w:r w:rsidR="00241248">
        <w:rPr>
          <w:sz w:val="24"/>
          <w:szCs w:val="24"/>
        </w:rPr>
        <w:t>.</w:t>
      </w:r>
      <w:r w:rsidR="00035AEC">
        <w:rPr>
          <w:sz w:val="24"/>
          <w:szCs w:val="24"/>
        </w:rPr>
        <w:t xml:space="preserve"> </w:t>
      </w:r>
      <w:r w:rsidR="00123811">
        <w:rPr>
          <w:sz w:val="24"/>
          <w:szCs w:val="24"/>
        </w:rPr>
        <w:t>Since clients of the original monolith may need uninterrupted access to the functionality that the monolith provides</w:t>
      </w:r>
      <w:r w:rsidR="0094735E">
        <w:rPr>
          <w:sz w:val="24"/>
          <w:szCs w:val="24"/>
        </w:rPr>
        <w:t>,</w:t>
      </w:r>
      <w:r w:rsidR="00123811">
        <w:rPr>
          <w:sz w:val="24"/>
          <w:szCs w:val="24"/>
        </w:rPr>
        <w:t xml:space="preserve"> an API gateway can be used to route between the old system and new microservices that are gradually built up to replace sections of the monolith </w:t>
      </w:r>
      <w:r w:rsidR="00123811">
        <w:rPr>
          <w:sz w:val="24"/>
          <w:szCs w:val="24"/>
        </w:rPr>
        <w:fldChar w:fldCharType="begin"/>
      </w:r>
      <w:r w:rsidR="00123811">
        <w:rPr>
          <w:sz w:val="24"/>
          <w:szCs w:val="24"/>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Pr>
          <w:sz w:val="24"/>
          <w:szCs w:val="24"/>
        </w:rPr>
        <w:fldChar w:fldCharType="separate"/>
      </w:r>
      <w:r w:rsidR="00123811">
        <w:rPr>
          <w:noProof/>
          <w:sz w:val="24"/>
          <w:szCs w:val="24"/>
        </w:rPr>
        <w:t>(Yoder and Merson 2020)</w:t>
      </w:r>
      <w:r w:rsidR="00123811">
        <w:rPr>
          <w:sz w:val="24"/>
          <w:szCs w:val="24"/>
        </w:rPr>
        <w:fldChar w:fldCharType="end"/>
      </w:r>
      <w:r w:rsidR="00123811">
        <w:rPr>
          <w:sz w:val="24"/>
          <w:szCs w:val="24"/>
        </w:rPr>
        <w:t xml:space="preserve">. </w:t>
      </w:r>
      <w:r w:rsidR="00B32DC3">
        <w:rPr>
          <w:sz w:val="24"/>
          <w:szCs w:val="24"/>
        </w:rPr>
        <w:t xml:space="preserve">The API gateway </w:t>
      </w:r>
      <w:r w:rsidR="007973F4">
        <w:rPr>
          <w:sz w:val="24"/>
          <w:szCs w:val="24"/>
        </w:rPr>
        <w:t>acts</w:t>
      </w:r>
      <w:r w:rsidR="00B32DC3">
        <w:rPr>
          <w:sz w:val="24"/>
          <w:szCs w:val="24"/>
        </w:rPr>
        <w:t xml:space="preserve"> as a façade. It is an abstraction technique that allows  microservice to gradually replace the monolith while hiding these complexities. </w:t>
      </w:r>
      <w:r w:rsidR="0008031A">
        <w:rPr>
          <w:sz w:val="24"/>
          <w:szCs w:val="24"/>
        </w:rPr>
        <w:t>Th</w:t>
      </w:r>
      <w:r w:rsidR="00B32DC3">
        <w:rPr>
          <w:sz w:val="24"/>
          <w:szCs w:val="24"/>
        </w:rPr>
        <w:t>e transition</w:t>
      </w:r>
      <w:r w:rsidR="0008031A">
        <w:rPr>
          <w:sz w:val="24"/>
          <w:szCs w:val="24"/>
        </w:rPr>
        <w:t xml:space="preserve"> is </w:t>
      </w:r>
      <w:r w:rsidR="00AA6BC1">
        <w:rPr>
          <w:sz w:val="24"/>
          <w:szCs w:val="24"/>
        </w:rPr>
        <w:t>c</w:t>
      </w:r>
      <w:r w:rsidR="0008031A">
        <w:rPr>
          <w:sz w:val="24"/>
          <w:szCs w:val="24"/>
        </w:rPr>
        <w:t>an</w:t>
      </w:r>
      <w:r w:rsidR="00AA6BC1">
        <w:rPr>
          <w:sz w:val="24"/>
          <w:szCs w:val="24"/>
        </w:rPr>
        <w:t xml:space="preserve"> be an</w:t>
      </w:r>
      <w:r w:rsidR="0008031A">
        <w:rPr>
          <w:sz w:val="24"/>
          <w:szCs w:val="24"/>
        </w:rPr>
        <w:t xml:space="preserve"> </w:t>
      </w:r>
      <w:r w:rsidR="00C2582C">
        <w:rPr>
          <w:sz w:val="24"/>
          <w:szCs w:val="24"/>
        </w:rPr>
        <w:t xml:space="preserve">incremental </w:t>
      </w:r>
      <w:r w:rsidR="0008031A">
        <w:rPr>
          <w:sz w:val="24"/>
          <w:szCs w:val="24"/>
        </w:rPr>
        <w:t>approach where the monolith is decomposed piece by piece</w:t>
      </w:r>
      <w:r w:rsidR="00AA6BC1">
        <w:rPr>
          <w:sz w:val="24"/>
          <w:szCs w:val="24"/>
        </w:rPr>
        <w:t>,</w:t>
      </w:r>
      <w:r w:rsidR="00C2582C">
        <w:rPr>
          <w:sz w:val="24"/>
          <w:szCs w:val="24"/>
        </w:rPr>
        <w:t xml:space="preserve"> </w:t>
      </w:r>
      <w:r w:rsidR="00AA6BC1">
        <w:rPr>
          <w:sz w:val="24"/>
          <w:szCs w:val="24"/>
        </w:rPr>
        <w:t xml:space="preserve">with the possibility to </w:t>
      </w:r>
      <w:r w:rsidR="007836BF">
        <w:rPr>
          <w:sz w:val="24"/>
          <w:szCs w:val="24"/>
        </w:rPr>
        <w:t>fall back</w:t>
      </w:r>
      <w:r w:rsidR="00AA6BC1">
        <w:rPr>
          <w:sz w:val="24"/>
          <w:szCs w:val="24"/>
        </w:rPr>
        <w:t xml:space="preserve"> to the original monolith if the new microservice has any initial issues </w:t>
      </w:r>
      <w:r w:rsidR="00C2582C">
        <w:rPr>
          <w:sz w:val="24"/>
          <w:szCs w:val="24"/>
        </w:rPr>
        <w:fldChar w:fldCharType="begin"/>
      </w:r>
      <w:r w:rsidR="00C2582C">
        <w:rPr>
          <w:sz w:val="24"/>
          <w:szCs w:val="24"/>
        </w:rPr>
        <w:instrText xml:space="preserve"> ADDIN ZOTERO_TEMP </w:instrText>
      </w:r>
      <w:r w:rsidR="00C2582C">
        <w:rPr>
          <w:sz w:val="24"/>
          <w:szCs w:val="24"/>
        </w:rPr>
        <w:fldChar w:fldCharType="separate"/>
      </w:r>
      <w:r w:rsidR="00C2582C" w:rsidRPr="00C2582C">
        <w:rPr>
          <w:rFonts w:ascii="Calibri" w:eastAsiaTheme="minorHAnsi" w:cs="Calibri"/>
          <w:sz w:val="24"/>
          <w:szCs w:val="24"/>
          <w:lang w:val="en-GB"/>
        </w:rPr>
        <w:t>(</w:t>
      </w:r>
      <w:proofErr w:type="spellStart"/>
      <w:r w:rsidR="00C2582C" w:rsidRPr="00C2582C">
        <w:rPr>
          <w:rFonts w:ascii="Calibri" w:eastAsiaTheme="minorHAnsi" w:cs="Calibri"/>
          <w:sz w:val="24"/>
          <w:szCs w:val="24"/>
          <w:lang w:val="en-GB"/>
        </w:rPr>
        <w:t>Daya</w:t>
      </w:r>
      <w:proofErr w:type="spellEnd"/>
      <w:r w:rsidR="00C2582C" w:rsidRPr="00C2582C">
        <w:rPr>
          <w:rFonts w:ascii="Calibri" w:eastAsiaTheme="minorHAnsi" w:cs="Calibri"/>
          <w:sz w:val="24"/>
          <w:szCs w:val="24"/>
          <w:lang w:val="en-GB"/>
        </w:rPr>
        <w:t xml:space="preserve"> </w:t>
      </w:r>
      <w:r w:rsidR="00C2582C" w:rsidRPr="00C2582C">
        <w:rPr>
          <w:rFonts w:ascii="Calibri" w:eastAsiaTheme="minorHAnsi" w:cs="Calibri"/>
          <w:i/>
          <w:iCs/>
          <w:sz w:val="24"/>
          <w:szCs w:val="24"/>
          <w:lang w:val="en-GB"/>
        </w:rPr>
        <w:t>et al.</w:t>
      </w:r>
      <w:r w:rsidR="00C2582C" w:rsidRPr="00C2582C">
        <w:rPr>
          <w:rFonts w:ascii="Calibri" w:eastAsiaTheme="minorHAnsi" w:cs="Calibri"/>
          <w:sz w:val="24"/>
          <w:szCs w:val="24"/>
          <w:lang w:val="en-GB"/>
        </w:rPr>
        <w:t xml:space="preserve"> 2021)</w:t>
      </w:r>
      <w:r w:rsidR="00C2582C">
        <w:rPr>
          <w:sz w:val="24"/>
          <w:szCs w:val="24"/>
        </w:rPr>
        <w:fldChar w:fldCharType="end"/>
      </w:r>
      <w:r w:rsidR="00AA6BC1">
        <w:rPr>
          <w:sz w:val="24"/>
          <w:szCs w:val="24"/>
        </w:rPr>
        <w:t xml:space="preserve">. </w:t>
      </w:r>
      <w:r w:rsidR="0063413F">
        <w:rPr>
          <w:sz w:val="24"/>
          <w:szCs w:val="24"/>
        </w:rPr>
        <w:t xml:space="preserve">This limits the downtime of the service in such an effective way that clients may not even notice anything at all. </w:t>
      </w:r>
      <w:r w:rsidR="004729A6">
        <w:rPr>
          <w:sz w:val="24"/>
          <w:szCs w:val="24"/>
        </w:rPr>
        <w:t>Migration strategies highlight how enterp</w:t>
      </w:r>
      <w:r w:rsidR="0072508B">
        <w:rPr>
          <w:sz w:val="24"/>
          <w:szCs w:val="24"/>
        </w:rPr>
        <w:t>r</w:t>
      </w:r>
      <w:r w:rsidR="004729A6">
        <w:rPr>
          <w:sz w:val="24"/>
          <w:szCs w:val="24"/>
        </w:rPr>
        <w:t xml:space="preserve">ises transition towards MSA but they do now explain how the newly introduced microservices communicate with each other in a more reliable and scalable way. For that we need to examine </w:t>
      </w:r>
      <w:r w:rsidR="007836BF">
        <w:rPr>
          <w:sz w:val="24"/>
          <w:szCs w:val="24"/>
        </w:rPr>
        <w:t>E</w:t>
      </w:r>
      <w:r w:rsidR="004729A6">
        <w:rPr>
          <w:sz w:val="24"/>
          <w:szCs w:val="24"/>
        </w:rPr>
        <w:t xml:space="preserve">vent </w:t>
      </w:r>
      <w:r w:rsidR="007836BF">
        <w:rPr>
          <w:sz w:val="24"/>
          <w:szCs w:val="24"/>
        </w:rPr>
        <w:t>D</w:t>
      </w:r>
      <w:r w:rsidR="004729A6">
        <w:rPr>
          <w:sz w:val="24"/>
          <w:szCs w:val="24"/>
        </w:rPr>
        <w:t xml:space="preserve">riven </w:t>
      </w:r>
      <w:r w:rsidR="007836BF">
        <w:rPr>
          <w:sz w:val="24"/>
          <w:szCs w:val="24"/>
        </w:rPr>
        <w:t>A</w:t>
      </w:r>
      <w:r w:rsidR="004729A6">
        <w:rPr>
          <w:sz w:val="24"/>
          <w:szCs w:val="24"/>
        </w:rPr>
        <w:t xml:space="preserve">rchitecture in more detail. </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lastRenderedPageBreak/>
        <w:t>Event Driven Architecture</w:t>
      </w:r>
      <w:bookmarkEnd w:id="39"/>
    </w:p>
    <w:p w14:paraId="3772868A" w14:textId="0E70A32A" w:rsidR="003D79BE" w:rsidRDefault="003D79BE" w:rsidP="00573B17">
      <w:pPr>
        <w:pStyle w:val="Disslevel3"/>
        <w:numPr>
          <w:ilvl w:val="0"/>
          <w:numId w:val="0"/>
        </w:numPr>
        <w:ind w:left="1224"/>
      </w:pPr>
    </w:p>
    <w:p w14:paraId="37EEBE38" w14:textId="1016DB27" w:rsidR="00EF2C31" w:rsidRDefault="00DA0E43"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 xml:space="preserve">As soon as enterprises think about transitioning towards Domain Driven MSA the question of how these new services will communicate arises. Traditionally Microservices </w:t>
      </w:r>
      <w:r w:rsidR="002E40B8">
        <w:rPr>
          <w:rFonts w:asciiTheme="minorHAnsi" w:eastAsiaTheme="minorEastAsia" w:hAnsiTheme="minorHAnsi" w:cstheme="minorBidi"/>
          <w:color w:val="auto"/>
        </w:rPr>
        <w:t>rely</w:t>
      </w:r>
      <w:r>
        <w:rPr>
          <w:rFonts w:asciiTheme="minorHAnsi" w:eastAsiaTheme="minorEastAsia" w:hAnsiTheme="minorHAnsi" w:cstheme="minorBidi"/>
          <w:color w:val="auto"/>
        </w:rPr>
        <w:t xml:space="preserve"> upon</w:t>
      </w:r>
      <w:r w:rsidR="002E40B8">
        <w:rPr>
          <w:rFonts w:asciiTheme="minorHAnsi" w:eastAsiaTheme="minorEastAsia" w:hAnsiTheme="minorHAnsi" w:cstheme="minorBidi"/>
          <w:color w:val="auto"/>
        </w:rPr>
        <w:t xml:space="preserve"> various</w:t>
      </w:r>
      <w:r w:rsidR="008C060F">
        <w:rPr>
          <w:rFonts w:asciiTheme="minorHAnsi" w:eastAsiaTheme="minorEastAsia" w:hAnsiTheme="minorHAnsi" w:cstheme="minorBidi"/>
          <w:color w:val="auto"/>
        </w:rPr>
        <w:t xml:space="preserve"> application programm</w:t>
      </w:r>
      <w:r w:rsidR="00165DCD">
        <w:rPr>
          <w:rFonts w:asciiTheme="minorHAnsi" w:eastAsiaTheme="minorEastAsia" w:hAnsiTheme="minorHAnsi" w:cstheme="minorBidi"/>
          <w:color w:val="auto"/>
        </w:rPr>
        <w:t>ing</w:t>
      </w:r>
      <w:r w:rsidR="008C060F">
        <w:rPr>
          <w:rFonts w:asciiTheme="minorHAnsi" w:eastAsiaTheme="minorEastAsia" w:hAnsiTheme="minorHAnsi" w:cstheme="minorBidi"/>
          <w:color w:val="auto"/>
        </w:rPr>
        <w:t xml:space="preserve"> interfaces (API)</w:t>
      </w:r>
      <w:r w:rsidR="002E40B8">
        <w:rPr>
          <w:rFonts w:asciiTheme="minorHAnsi" w:eastAsiaTheme="minorEastAsia" w:hAnsiTheme="minorHAnsi" w:cstheme="minorBidi"/>
          <w:color w:val="auto"/>
        </w:rPr>
        <w:t xml:space="preserve"> types</w:t>
      </w:r>
      <w:r w:rsidR="00973E10">
        <w:rPr>
          <w:rFonts w:asciiTheme="minorHAnsi" w:eastAsiaTheme="minorEastAsia" w:hAnsiTheme="minorHAnsi" w:cstheme="minorBidi"/>
          <w:color w:val="auto"/>
        </w:rPr>
        <w:t xml:space="preserve"> to </w:t>
      </w:r>
      <w:r>
        <w:rPr>
          <w:rFonts w:asciiTheme="minorHAnsi" w:eastAsiaTheme="minorEastAsia" w:hAnsiTheme="minorHAnsi" w:cstheme="minorBidi"/>
          <w:color w:val="auto"/>
        </w:rPr>
        <w:t>send and receive data</w:t>
      </w:r>
      <w:r w:rsidR="008C060F">
        <w:rPr>
          <w:rFonts w:asciiTheme="minorHAnsi" w:eastAsiaTheme="minorEastAsia" w:hAnsiTheme="minorHAnsi" w:cstheme="minorBidi"/>
          <w:color w:val="auto"/>
        </w:rPr>
        <w:t>.</w:t>
      </w:r>
      <w:r w:rsidR="00973E10">
        <w:rPr>
          <w:rFonts w:asciiTheme="minorHAnsi" w:eastAsiaTheme="minorEastAsia" w:hAnsiTheme="minorHAnsi" w:cstheme="minorBidi"/>
          <w:color w:val="auto"/>
        </w:rPr>
        <w:t xml:space="preserve"> Common API </w:t>
      </w:r>
      <w:r>
        <w:rPr>
          <w:rFonts w:asciiTheme="minorHAnsi" w:eastAsiaTheme="minorEastAsia" w:hAnsiTheme="minorHAnsi" w:cstheme="minorBidi"/>
          <w:color w:val="auto"/>
        </w:rPr>
        <w:t>technologies include</w:t>
      </w:r>
      <w:r w:rsidR="00973E10">
        <w:rPr>
          <w:rFonts w:asciiTheme="minorHAnsi" w:eastAsiaTheme="minorEastAsia" w:hAnsiTheme="minorHAnsi" w:cstheme="minorBidi"/>
          <w:color w:val="auto"/>
        </w:rPr>
        <w:t xml:space="preserve"> SOAP, R</w:t>
      </w:r>
      <w:r w:rsidR="00DA5E75">
        <w:rPr>
          <w:rFonts w:asciiTheme="minorHAnsi" w:eastAsiaTheme="minorEastAsia" w:hAnsiTheme="minorHAnsi" w:cstheme="minorBidi"/>
          <w:color w:val="auto"/>
        </w:rPr>
        <w:t>E</w:t>
      </w:r>
      <w:r w:rsidR="00973E10">
        <w:rPr>
          <w:rFonts w:asciiTheme="minorHAnsi" w:eastAsiaTheme="minorEastAsia" w:hAnsiTheme="minorHAnsi" w:cstheme="minorBidi"/>
          <w:color w:val="auto"/>
        </w:rPr>
        <w:t xml:space="preserve">ST, </w:t>
      </w:r>
      <w:r w:rsidR="008C060F">
        <w:rPr>
          <w:rFonts w:asciiTheme="minorHAnsi" w:eastAsiaTheme="minorEastAsia" w:hAnsiTheme="minorHAnsi" w:cstheme="minorBidi"/>
          <w:color w:val="auto"/>
        </w:rPr>
        <w:t xml:space="preserve"> </w:t>
      </w:r>
      <w:r w:rsidR="00973E10">
        <w:rPr>
          <w:rFonts w:asciiTheme="minorHAnsi" w:eastAsiaTheme="minorEastAsia" w:hAnsiTheme="minorHAnsi" w:cstheme="minorBidi"/>
          <w:color w:val="auto"/>
        </w:rPr>
        <w:t>GraphQL</w:t>
      </w:r>
      <w:r>
        <w:rPr>
          <w:rFonts w:asciiTheme="minorHAnsi" w:eastAsiaTheme="minorEastAsia" w:hAnsiTheme="minorHAnsi" w:cstheme="minorBidi"/>
          <w:color w:val="auto"/>
        </w:rPr>
        <w:t xml:space="preserve"> and</w:t>
      </w:r>
      <w:r w:rsidR="00973E10">
        <w:rPr>
          <w:rFonts w:asciiTheme="minorHAnsi" w:eastAsiaTheme="minorEastAsia" w:hAnsiTheme="minorHAnsi" w:cstheme="minorBidi"/>
          <w:color w:val="auto"/>
        </w:rPr>
        <w:t xml:space="preserve"> gRPC</w:t>
      </w:r>
      <w:r w:rsidR="009148D4">
        <w:rPr>
          <w:rFonts w:asciiTheme="minorHAnsi" w:eastAsiaTheme="minorEastAsia" w:hAnsiTheme="minorHAnsi" w:cstheme="minorBidi"/>
          <w:color w:val="auto"/>
        </w:rPr>
        <w:t>.</w:t>
      </w:r>
      <w:r w:rsidR="00AF1B3B">
        <w:rPr>
          <w:rFonts w:asciiTheme="minorHAnsi" w:eastAsiaTheme="minorEastAsia" w:hAnsiTheme="minorHAnsi" w:cstheme="minorBidi"/>
          <w:color w:val="auto"/>
        </w:rPr>
        <w:t xml:space="preserve"> </w:t>
      </w:r>
      <w:r w:rsidR="009148D4">
        <w:rPr>
          <w:rFonts w:asciiTheme="minorHAnsi" w:eastAsiaTheme="minorEastAsia" w:hAnsiTheme="minorHAnsi" w:cstheme="minorBidi"/>
          <w:color w:val="auto"/>
        </w:rPr>
        <w:t>These</w:t>
      </w:r>
      <w:r w:rsidR="00AF1B3B">
        <w:rPr>
          <w:rFonts w:asciiTheme="minorHAnsi" w:eastAsiaTheme="minorEastAsia" w:hAnsiTheme="minorHAnsi" w:cstheme="minorBidi"/>
          <w:color w:val="auto"/>
        </w:rPr>
        <w:t xml:space="preserve"> follow a</w:t>
      </w:r>
      <w:r w:rsidR="009148D4">
        <w:rPr>
          <w:rFonts w:asciiTheme="minorHAnsi" w:eastAsiaTheme="minorEastAsia" w:hAnsiTheme="minorHAnsi" w:cstheme="minorBidi"/>
          <w:color w:val="auto"/>
        </w:rPr>
        <w:t xml:space="preserve"> </w:t>
      </w:r>
      <w:r w:rsidR="00A213BA">
        <w:rPr>
          <w:rFonts w:asciiTheme="minorHAnsi" w:eastAsiaTheme="minorEastAsia" w:hAnsiTheme="minorHAnsi" w:cstheme="minorBidi"/>
          <w:color w:val="auto"/>
        </w:rPr>
        <w:t>traditional</w:t>
      </w:r>
      <w:r w:rsidR="00AF1B3B">
        <w:rPr>
          <w:rFonts w:asciiTheme="minorHAnsi" w:eastAsiaTheme="minorEastAsia" w:hAnsiTheme="minorHAnsi" w:cstheme="minorBidi"/>
          <w:color w:val="auto"/>
        </w:rPr>
        <w:t xml:space="preserve"> request</w:t>
      </w:r>
      <w:r w:rsidR="005D6BF9">
        <w:rPr>
          <w:rFonts w:asciiTheme="minorHAnsi" w:eastAsiaTheme="minorEastAsia" w:hAnsiTheme="minorHAnsi" w:cstheme="minorBidi"/>
          <w:color w:val="auto"/>
        </w:rPr>
        <w:t>-</w:t>
      </w:r>
      <w:r w:rsidR="00AF1B3B">
        <w:rPr>
          <w:rFonts w:asciiTheme="minorHAnsi" w:eastAsiaTheme="minorEastAsia" w:hAnsiTheme="minorHAnsi" w:cstheme="minorBidi"/>
          <w:color w:val="auto"/>
        </w:rPr>
        <w:t>response architecture</w:t>
      </w:r>
      <w:r w:rsidR="00A213BA">
        <w:rPr>
          <w:rFonts w:asciiTheme="minorHAnsi" w:eastAsiaTheme="minorEastAsia" w:hAnsiTheme="minorHAnsi" w:cstheme="minorBidi"/>
          <w:color w:val="auto"/>
        </w:rPr>
        <w:t xml:space="preserve"> </w:t>
      </w:r>
      <w:r w:rsidR="00A213BA">
        <w:rPr>
          <w:rFonts w:asciiTheme="minorHAnsi" w:eastAsiaTheme="minorEastAsia" w:hAnsiTheme="minorHAnsi" w:cstheme="minorBidi"/>
          <w:color w:val="auto"/>
        </w:rPr>
        <w:t>and are typically implemented synchronously which force the sender and receiver to wait upon one another</w:t>
      </w:r>
      <w:r w:rsidR="00646EB7">
        <w:rPr>
          <w:rFonts w:asciiTheme="minorHAnsi" w:eastAsiaTheme="minorEastAsia" w:hAnsiTheme="minorHAnsi" w:cstheme="minorBidi"/>
          <w:color w:val="auto"/>
        </w:rPr>
        <w:t xml:space="preserve"> </w:t>
      </w:r>
      <w:r w:rsidR="00646EB7">
        <w:rPr>
          <w:rFonts w:asciiTheme="minorHAnsi" w:eastAsiaTheme="minorEastAsia" w:hAnsiTheme="minorHAnsi" w:cstheme="minorBidi"/>
          <w:color w:val="auto"/>
        </w:rPr>
        <w:fldChar w:fldCharType="begin"/>
      </w:r>
      <w:r w:rsidR="00646EB7">
        <w:rPr>
          <w:rFonts w:asciiTheme="minorHAnsi" w:eastAsiaTheme="minorEastAsia" w:hAnsiTheme="minorHAnsi" w:cstheme="minorBidi"/>
          <w:color w:val="auto"/>
        </w:rPr>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Pr>
          <w:rFonts w:asciiTheme="minorHAnsi" w:eastAsiaTheme="minorEastAsia" w:hAnsiTheme="minorHAnsi" w:cstheme="minorBidi"/>
          <w:color w:val="auto"/>
        </w:rPr>
        <w:fldChar w:fldCharType="separate"/>
      </w:r>
      <w:r w:rsidR="00646EB7">
        <w:rPr>
          <w:rFonts w:asciiTheme="minorHAnsi" w:eastAsiaTheme="minorEastAsia" w:hAnsiTheme="minorHAnsi" w:cstheme="minorBidi"/>
          <w:color w:val="auto"/>
        </w:rPr>
        <w:t>(Choudhary 2025)</w:t>
      </w:r>
      <w:r w:rsidR="00646EB7">
        <w:rPr>
          <w:rFonts w:asciiTheme="minorHAnsi" w:eastAsiaTheme="minorEastAsia" w:hAnsiTheme="minorHAnsi" w:cstheme="minorBidi"/>
          <w:color w:val="auto"/>
        </w:rPr>
        <w:fldChar w:fldCharType="end"/>
      </w:r>
      <w:r w:rsidR="00A213BA">
        <w:rPr>
          <w:rFonts w:asciiTheme="minorHAnsi" w:eastAsiaTheme="minorEastAsia" w:hAnsiTheme="minorHAnsi" w:cstheme="minorBidi"/>
          <w:color w:val="auto"/>
        </w:rPr>
        <w:t>.</w:t>
      </w:r>
      <w:r w:rsidR="009148D4">
        <w:rPr>
          <w:rFonts w:asciiTheme="minorHAnsi" w:eastAsiaTheme="minorEastAsia" w:hAnsiTheme="minorHAnsi" w:cstheme="minorBidi"/>
          <w:color w:val="auto"/>
        </w:rPr>
        <w:t xml:space="preserve"> </w:t>
      </w:r>
      <w:r>
        <w:rPr>
          <w:rFonts w:asciiTheme="minorHAnsi" w:eastAsiaTheme="minorEastAsia" w:hAnsiTheme="minorHAnsi" w:cstheme="minorBidi"/>
          <w:color w:val="auto"/>
        </w:rPr>
        <w:t xml:space="preserve">For large scale </w:t>
      </w:r>
      <w:r w:rsidR="002E40B8">
        <w:rPr>
          <w:rFonts w:asciiTheme="minorHAnsi" w:eastAsiaTheme="minorEastAsia" w:hAnsiTheme="minorHAnsi" w:cstheme="minorBidi"/>
          <w:color w:val="auto"/>
        </w:rPr>
        <w:t>domain driven enterprises there is a need for a more scalable</w:t>
      </w:r>
      <w:r w:rsidR="00B17053">
        <w:rPr>
          <w:rFonts w:asciiTheme="minorHAnsi" w:eastAsiaTheme="minorEastAsia" w:hAnsiTheme="minorHAnsi" w:cstheme="minorBidi"/>
          <w:color w:val="auto"/>
        </w:rPr>
        <w:t xml:space="preserve"> </w:t>
      </w:r>
      <w:r w:rsidR="00B91A80">
        <w:rPr>
          <w:rFonts w:asciiTheme="minorHAnsi" w:eastAsiaTheme="minorEastAsia" w:hAnsiTheme="minorHAnsi" w:cstheme="minorBidi"/>
          <w:color w:val="auto"/>
        </w:rPr>
        <w:t xml:space="preserve">option where the producer and consumer are not directly coupled </w:t>
      </w:r>
      <w:r w:rsidR="00DF66F5">
        <w:rPr>
          <w:rFonts w:asciiTheme="minorHAnsi" w:eastAsiaTheme="minorEastAsia" w:hAnsiTheme="minorHAnsi" w:cstheme="minorBidi"/>
          <w:color w:val="auto"/>
        </w:rPr>
        <w:fldChar w:fldCharType="begin"/>
      </w:r>
      <w:r w:rsidR="00DF66F5">
        <w:rPr>
          <w:rFonts w:asciiTheme="minorHAnsi" w:eastAsiaTheme="minorEastAsia" w:hAnsiTheme="minorHAnsi" w:cstheme="minorBidi"/>
          <w:color w:val="auto"/>
        </w:rPr>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Pr>
          <w:rFonts w:asciiTheme="minorHAnsi" w:eastAsiaTheme="minorEastAsia" w:hAnsiTheme="minorHAnsi" w:cstheme="minorBidi"/>
          <w:color w:val="auto"/>
        </w:rPr>
        <w:fldChar w:fldCharType="separate"/>
      </w:r>
      <w:r w:rsidR="00DF66F5" w:rsidRPr="00F03B8F">
        <w:rPr>
          <w:rFonts w:asciiTheme="minorHAnsi" w:eastAsiaTheme="minorEastAsia" w:hAnsiTheme="minorHAnsi" w:cstheme="minorBidi"/>
          <w:color w:val="auto"/>
        </w:rPr>
        <w:t>(</w:t>
      </w:r>
      <w:proofErr w:type="spellStart"/>
      <w:r w:rsidR="00DF66F5" w:rsidRPr="00F03B8F">
        <w:rPr>
          <w:rFonts w:asciiTheme="minorHAnsi" w:eastAsiaTheme="minorEastAsia" w:hAnsiTheme="minorHAnsi" w:cstheme="minorBidi"/>
          <w:color w:val="auto"/>
        </w:rPr>
        <w:t>Laigner</w:t>
      </w:r>
      <w:proofErr w:type="spellEnd"/>
      <w:r w:rsidR="00DF66F5" w:rsidRPr="00F03B8F">
        <w:rPr>
          <w:rFonts w:asciiTheme="minorHAnsi" w:eastAsiaTheme="minorEastAsia" w:hAnsiTheme="minorHAnsi" w:cstheme="minorBidi"/>
          <w:color w:val="auto"/>
        </w:rPr>
        <w:t xml:space="preserve"> et al. 2024)</w:t>
      </w:r>
      <w:r w:rsidR="00DF66F5">
        <w:rPr>
          <w:rFonts w:asciiTheme="minorHAnsi" w:eastAsiaTheme="minorEastAsia" w:hAnsiTheme="minorHAnsi" w:cstheme="minorBidi"/>
          <w:color w:val="auto"/>
        </w:rPr>
        <w:fldChar w:fldCharType="end"/>
      </w:r>
      <w:r w:rsidR="002E40B8">
        <w:rPr>
          <w:rFonts w:asciiTheme="minorHAnsi" w:eastAsiaTheme="minorEastAsia" w:hAnsiTheme="minorHAnsi" w:cstheme="minorBidi"/>
          <w:color w:val="auto"/>
        </w:rPr>
        <w:t>.</w:t>
      </w:r>
      <w:r w:rsidR="0081706E">
        <w:rPr>
          <w:rFonts w:asciiTheme="minorHAnsi" w:eastAsiaTheme="minorEastAsia" w:hAnsiTheme="minorHAnsi" w:cstheme="minorBidi"/>
          <w:color w:val="auto"/>
        </w:rPr>
        <w:t xml:space="preserve"> Such an approach should positively influence the future development of the application as well reduce the spread of failures and increase the stability of the applications components </w:t>
      </w:r>
      <w:r w:rsidR="0081706E">
        <w:rPr>
          <w:rFonts w:asciiTheme="minorHAnsi" w:eastAsiaTheme="minorEastAsia" w:hAnsiTheme="minorHAnsi" w:cstheme="minorBidi"/>
          <w:color w:val="auto"/>
        </w:rPr>
        <w:fldChar w:fldCharType="begin"/>
      </w:r>
      <w:r w:rsidR="0081706E">
        <w:rPr>
          <w:rFonts w:asciiTheme="minorHAnsi" w:eastAsiaTheme="minorEastAsia" w:hAnsiTheme="minorHAnsi" w:cstheme="minorBidi"/>
          <w:color w:val="auto"/>
        </w:rPr>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Pr>
          <w:rFonts w:asciiTheme="minorHAnsi" w:eastAsiaTheme="minorEastAsia" w:hAnsiTheme="minorHAnsi" w:cstheme="minorBidi"/>
          <w:color w:val="auto"/>
        </w:rPr>
        <w:fldChar w:fldCharType="separate"/>
      </w:r>
      <w:r w:rsidR="0081706E" w:rsidRPr="00F03B8F">
        <w:rPr>
          <w:rFonts w:asciiTheme="minorHAnsi" w:eastAsiaTheme="minorEastAsia" w:hAnsiTheme="minorHAnsi" w:cstheme="minorBidi"/>
          <w:color w:val="auto"/>
        </w:rPr>
        <w:t>(</w:t>
      </w:r>
      <w:proofErr w:type="spellStart"/>
      <w:r w:rsidR="0081706E" w:rsidRPr="00F03B8F">
        <w:rPr>
          <w:rFonts w:asciiTheme="minorHAnsi" w:eastAsiaTheme="minorEastAsia" w:hAnsiTheme="minorHAnsi" w:cstheme="minorBidi"/>
          <w:color w:val="auto"/>
        </w:rPr>
        <w:t>Laigner</w:t>
      </w:r>
      <w:proofErr w:type="spellEnd"/>
      <w:r w:rsidR="0081706E" w:rsidRPr="00F03B8F">
        <w:rPr>
          <w:rFonts w:asciiTheme="minorHAnsi" w:eastAsiaTheme="minorEastAsia" w:hAnsiTheme="minorHAnsi" w:cstheme="minorBidi"/>
          <w:color w:val="auto"/>
        </w:rPr>
        <w:t xml:space="preserve"> et al. 2024)</w:t>
      </w:r>
      <w:r w:rsidR="0081706E">
        <w:rPr>
          <w:rFonts w:asciiTheme="minorHAnsi" w:eastAsiaTheme="minorEastAsia" w:hAnsiTheme="minorHAnsi" w:cstheme="minorBidi"/>
          <w:color w:val="auto"/>
        </w:rPr>
        <w:fldChar w:fldCharType="end"/>
      </w:r>
      <w:r w:rsidR="0081706E">
        <w:rPr>
          <w:rFonts w:asciiTheme="minorHAnsi" w:eastAsiaTheme="minorEastAsia" w:hAnsiTheme="minorHAnsi" w:cstheme="minorBidi"/>
          <w:color w:val="auto"/>
        </w:rPr>
        <w:t>.</w:t>
      </w:r>
    </w:p>
    <w:p w14:paraId="3B146BB6" w14:textId="77777777" w:rsidR="00EF2C31" w:rsidRDefault="00EF2C31" w:rsidP="00F03B8F">
      <w:pPr>
        <w:pStyle w:val="Disslevel3"/>
        <w:numPr>
          <w:ilvl w:val="0"/>
          <w:numId w:val="0"/>
        </w:numPr>
        <w:spacing w:line="360" w:lineRule="auto"/>
        <w:rPr>
          <w:rFonts w:asciiTheme="minorHAnsi" w:eastAsiaTheme="minorEastAsia" w:hAnsiTheme="minorHAnsi" w:cstheme="minorBidi"/>
          <w:color w:val="auto"/>
        </w:rPr>
      </w:pPr>
    </w:p>
    <w:p w14:paraId="365E2BA4" w14:textId="75A71CB2" w:rsidR="00AC49B4" w:rsidRDefault="002E40B8"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Asynchronous</w:t>
      </w:r>
      <w:r w:rsidR="00D14D1D">
        <w:rPr>
          <w:rFonts w:asciiTheme="minorHAnsi" w:eastAsiaTheme="minorEastAsia" w:hAnsiTheme="minorHAnsi" w:cstheme="minorBidi"/>
          <w:color w:val="auto"/>
        </w:rPr>
        <w:t xml:space="preserve"> methods like Event Streaming </w:t>
      </w:r>
      <w:r w:rsidR="00B17053">
        <w:rPr>
          <w:rFonts w:asciiTheme="minorHAnsi" w:eastAsiaTheme="minorEastAsia" w:hAnsiTheme="minorHAnsi" w:cstheme="minorBidi"/>
          <w:color w:val="auto"/>
        </w:rPr>
        <w:t xml:space="preserve">provide the </w:t>
      </w:r>
      <w:r w:rsidR="005D7338">
        <w:rPr>
          <w:rFonts w:asciiTheme="minorHAnsi" w:eastAsiaTheme="minorEastAsia" w:hAnsiTheme="minorHAnsi" w:cstheme="minorBidi"/>
          <w:color w:val="auto"/>
        </w:rPr>
        <w:t>foundation</w:t>
      </w:r>
      <w:r w:rsidR="007F354E">
        <w:rPr>
          <w:rFonts w:asciiTheme="minorHAnsi" w:eastAsiaTheme="minorEastAsia" w:hAnsiTheme="minorHAnsi" w:cstheme="minorBidi"/>
          <w:color w:val="auto"/>
        </w:rPr>
        <w:t xml:space="preserve"> for scalable Event</w:t>
      </w:r>
      <w:r w:rsidR="00CA4A3E">
        <w:rPr>
          <w:rFonts w:asciiTheme="minorHAnsi" w:eastAsiaTheme="minorEastAsia" w:hAnsiTheme="minorHAnsi" w:cstheme="minorBidi"/>
          <w:color w:val="auto"/>
        </w:rPr>
        <w:t>-</w:t>
      </w:r>
      <w:r w:rsidR="007F354E">
        <w:rPr>
          <w:rFonts w:asciiTheme="minorHAnsi" w:eastAsiaTheme="minorEastAsia" w:hAnsiTheme="minorHAnsi" w:cstheme="minorBidi"/>
          <w:color w:val="auto"/>
        </w:rPr>
        <w:t>Driven Architecture (EDA)</w:t>
      </w:r>
      <w:r w:rsidR="009425A7">
        <w:rPr>
          <w:rFonts w:asciiTheme="minorHAnsi" w:eastAsiaTheme="minorEastAsia" w:hAnsiTheme="minorHAnsi" w:cstheme="minorBidi"/>
          <w:color w:val="auto"/>
        </w:rPr>
        <w:t xml:space="preserve"> where microservices produce and consume events</w:t>
      </w:r>
      <w:r w:rsidR="001217D2">
        <w:rPr>
          <w:rFonts w:asciiTheme="minorHAnsi" w:eastAsiaTheme="minorEastAsia" w:hAnsiTheme="minorHAnsi" w:cstheme="minorBidi"/>
          <w:color w:val="auto"/>
        </w:rPr>
        <w:t xml:space="preserve"> into</w:t>
      </w:r>
      <w:r w:rsidR="009425A7">
        <w:rPr>
          <w:rFonts w:asciiTheme="minorHAnsi" w:eastAsiaTheme="minorEastAsia" w:hAnsiTheme="minorHAnsi" w:cstheme="minorBidi"/>
          <w:color w:val="auto"/>
        </w:rPr>
        <w:t xml:space="preserve"> </w:t>
      </w:r>
      <w:r w:rsidR="001217D2">
        <w:rPr>
          <w:rFonts w:asciiTheme="minorHAnsi" w:eastAsiaTheme="minorEastAsia" w:hAnsiTheme="minorHAnsi" w:cstheme="minorBidi"/>
          <w:color w:val="auto"/>
        </w:rPr>
        <w:t>p</w:t>
      </w:r>
      <w:r w:rsidR="00DD4F01">
        <w:rPr>
          <w:rFonts w:asciiTheme="minorHAnsi" w:eastAsiaTheme="minorEastAsia" w:hAnsiTheme="minorHAnsi" w:cstheme="minorBidi"/>
          <w:color w:val="auto"/>
        </w:rPr>
        <w:t>a</w:t>
      </w:r>
      <w:r w:rsidR="001217D2">
        <w:rPr>
          <w:rFonts w:asciiTheme="minorHAnsi" w:eastAsiaTheme="minorEastAsia" w:hAnsiTheme="minorHAnsi" w:cstheme="minorBidi"/>
          <w:color w:val="auto"/>
        </w:rPr>
        <w:t>rt</w:t>
      </w:r>
      <w:r w:rsidR="00DD4F01">
        <w:rPr>
          <w:rFonts w:asciiTheme="minorHAnsi" w:eastAsiaTheme="minorEastAsia" w:hAnsiTheme="minorHAnsi" w:cstheme="minorBidi"/>
          <w:color w:val="auto"/>
        </w:rPr>
        <w:t>itioned</w:t>
      </w:r>
      <w:r w:rsidR="001217D2">
        <w:rPr>
          <w:rFonts w:asciiTheme="minorHAnsi" w:eastAsiaTheme="minorEastAsia" w:hAnsiTheme="minorHAnsi" w:cstheme="minorBidi"/>
          <w:color w:val="auto"/>
        </w:rPr>
        <w:t xml:space="preserve"> logs called</w:t>
      </w:r>
      <w:r w:rsidR="009425A7">
        <w:rPr>
          <w:rFonts w:asciiTheme="minorHAnsi" w:eastAsiaTheme="minorEastAsia" w:hAnsiTheme="minorHAnsi" w:cstheme="minorBidi"/>
          <w:color w:val="auto"/>
        </w:rPr>
        <w:t xml:space="preserve"> topics</w:t>
      </w:r>
      <w:r w:rsidR="001217D2">
        <w:rPr>
          <w:rFonts w:asciiTheme="minorHAnsi" w:eastAsiaTheme="minorEastAsia" w:hAnsiTheme="minorHAnsi" w:cstheme="minorBidi"/>
          <w:color w:val="auto"/>
        </w:rPr>
        <w:t xml:space="preserve"> </w:t>
      </w:r>
      <w:r w:rsidR="001217D2">
        <w:rPr>
          <w:rFonts w:asciiTheme="minorHAnsi" w:eastAsiaTheme="minorEastAsia" w:hAnsiTheme="minorHAnsi" w:cstheme="minorBidi"/>
          <w:color w:val="auto"/>
        </w:rPr>
        <w:fldChar w:fldCharType="begin"/>
      </w:r>
      <w:r w:rsidR="001217D2">
        <w:rPr>
          <w:rFonts w:asciiTheme="minorHAnsi" w:eastAsiaTheme="minorEastAsia" w:hAnsiTheme="minorHAnsi" w:cstheme="minorBidi"/>
          <w:color w:val="auto"/>
        </w:rPr>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Pr>
          <w:rFonts w:asciiTheme="minorHAnsi" w:eastAsiaTheme="minorEastAsia" w:hAnsiTheme="minorHAnsi" w:cstheme="minorBidi"/>
          <w:color w:val="auto"/>
        </w:rPr>
        <w:fldChar w:fldCharType="separate"/>
      </w:r>
      <w:r w:rsidR="001217D2">
        <w:rPr>
          <w:rFonts w:asciiTheme="minorHAnsi" w:eastAsiaTheme="minorEastAsia" w:hAnsiTheme="minorHAnsi" w:cstheme="minorBidi"/>
          <w:color w:val="auto"/>
        </w:rPr>
        <w:t>(Choudhary 2025)</w:t>
      </w:r>
      <w:r w:rsidR="001217D2">
        <w:rPr>
          <w:rFonts w:asciiTheme="minorHAnsi" w:eastAsiaTheme="minorEastAsia" w:hAnsiTheme="minorHAnsi" w:cstheme="minorBidi"/>
          <w:color w:val="auto"/>
        </w:rPr>
        <w:fldChar w:fldCharType="end"/>
      </w:r>
      <w:r w:rsidR="00D14D1D">
        <w:rPr>
          <w:rFonts w:asciiTheme="minorHAnsi" w:eastAsiaTheme="minorEastAsia" w:hAnsiTheme="minorHAnsi" w:cstheme="minorBidi"/>
          <w:color w:val="auto"/>
        </w:rPr>
        <w:t xml:space="preserve">. </w:t>
      </w:r>
      <w:r w:rsidR="002F19CA">
        <w:rPr>
          <w:rFonts w:asciiTheme="minorHAnsi" w:eastAsiaTheme="minorEastAsia" w:hAnsiTheme="minorHAnsi" w:cstheme="minorBidi"/>
          <w:color w:val="auto"/>
        </w:rPr>
        <w:t xml:space="preserve">Events are data objects which communicate notable occurrences or significant changes in state within the system </w:t>
      </w:r>
      <w:r w:rsidR="002F19CA">
        <w:rPr>
          <w:rFonts w:asciiTheme="minorHAnsi" w:eastAsiaTheme="minorEastAsia" w:hAnsiTheme="minorHAnsi" w:cstheme="minorBidi"/>
          <w:color w:val="auto"/>
        </w:rPr>
        <w:fldChar w:fldCharType="begin"/>
      </w:r>
      <w:r w:rsidR="002F19CA">
        <w:rPr>
          <w:rFonts w:asciiTheme="minorHAnsi" w:eastAsiaTheme="minorEastAsia" w:hAnsiTheme="minorHAnsi" w:cstheme="minorBidi"/>
          <w:color w:val="auto"/>
        </w:rPr>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Pr>
          <w:rFonts w:asciiTheme="minorHAnsi" w:eastAsiaTheme="minorEastAsia" w:hAnsiTheme="minorHAnsi" w:cstheme="minorBidi"/>
          <w:color w:val="auto"/>
        </w:rPr>
        <w:fldChar w:fldCharType="separate"/>
      </w:r>
      <w:r w:rsidR="002F19CA">
        <w:rPr>
          <w:rFonts w:asciiTheme="minorHAnsi" w:eastAsiaTheme="minorEastAsia" w:hAnsiTheme="minorHAnsi" w:cstheme="minorBidi"/>
          <w:color w:val="auto"/>
        </w:rPr>
        <w:t>(Karthik Reddy Thondalapally 2025)</w:t>
      </w:r>
      <w:r w:rsidR="002F19CA">
        <w:rPr>
          <w:rFonts w:asciiTheme="minorHAnsi" w:eastAsiaTheme="minorEastAsia" w:hAnsiTheme="minorHAnsi" w:cstheme="minorBidi"/>
          <w:color w:val="auto"/>
        </w:rPr>
        <w:fldChar w:fldCharType="end"/>
      </w:r>
      <w:r w:rsidR="002F19CA">
        <w:rPr>
          <w:rFonts w:asciiTheme="minorHAnsi" w:eastAsiaTheme="minorEastAsia" w:hAnsiTheme="minorHAnsi" w:cstheme="minorBidi"/>
          <w:color w:val="auto"/>
        </w:rPr>
        <w:t xml:space="preserve">. </w:t>
      </w:r>
      <w:r w:rsidR="00EB51EC">
        <w:rPr>
          <w:rFonts w:asciiTheme="minorHAnsi" w:eastAsiaTheme="minorEastAsia" w:hAnsiTheme="minorHAnsi" w:cstheme="minorBidi"/>
          <w:color w:val="auto"/>
        </w:rPr>
        <w:t xml:space="preserve">These events are stored with a </w:t>
      </w:r>
      <w:r w:rsidR="002B0DE0">
        <w:rPr>
          <w:rFonts w:asciiTheme="minorHAnsi" w:eastAsiaTheme="minorEastAsia" w:hAnsiTheme="minorHAnsi" w:cstheme="minorBidi"/>
          <w:color w:val="auto"/>
        </w:rPr>
        <w:t xml:space="preserve">precise </w:t>
      </w:r>
      <w:r w:rsidR="00EB51EC">
        <w:rPr>
          <w:rFonts w:asciiTheme="minorHAnsi" w:eastAsiaTheme="minorEastAsia" w:hAnsiTheme="minorHAnsi" w:cstheme="minorBidi"/>
          <w:color w:val="auto"/>
        </w:rPr>
        <w:t xml:space="preserve">timestamp </w:t>
      </w:r>
      <w:r w:rsidR="00BF4CDC">
        <w:rPr>
          <w:rFonts w:asciiTheme="minorHAnsi" w:eastAsiaTheme="minorEastAsia" w:hAnsiTheme="minorHAnsi" w:cstheme="minorBidi"/>
          <w:color w:val="auto"/>
        </w:rPr>
        <w:t>that</w:t>
      </w:r>
      <w:r w:rsidR="00EB51EC">
        <w:rPr>
          <w:rFonts w:asciiTheme="minorHAnsi" w:eastAsiaTheme="minorEastAsia" w:hAnsiTheme="minorHAnsi" w:cstheme="minorBidi"/>
          <w:color w:val="auto"/>
        </w:rPr>
        <w:t xml:space="preserve"> </w:t>
      </w:r>
      <w:r w:rsidR="00CC4CE2">
        <w:rPr>
          <w:rFonts w:asciiTheme="minorHAnsi" w:eastAsiaTheme="minorEastAsia" w:hAnsiTheme="minorHAnsi" w:cstheme="minorBidi"/>
          <w:color w:val="auto"/>
        </w:rPr>
        <w:t>record</w:t>
      </w:r>
      <w:r w:rsidR="00BF4CDC">
        <w:rPr>
          <w:rFonts w:asciiTheme="minorHAnsi" w:eastAsiaTheme="minorEastAsia" w:hAnsiTheme="minorHAnsi" w:cstheme="minorBidi"/>
          <w:color w:val="auto"/>
        </w:rPr>
        <w:t>s</w:t>
      </w:r>
      <w:r w:rsidR="00EB51EC">
        <w:rPr>
          <w:rFonts w:asciiTheme="minorHAnsi" w:eastAsiaTheme="minorEastAsia" w:hAnsiTheme="minorHAnsi" w:cstheme="minorBidi"/>
          <w:color w:val="auto"/>
        </w:rPr>
        <w:t xml:space="preserve"> when the event occurred. </w:t>
      </w:r>
      <w:r w:rsidR="00295F48">
        <w:rPr>
          <w:rFonts w:asciiTheme="minorHAnsi" w:eastAsiaTheme="minorEastAsia" w:hAnsiTheme="minorHAnsi" w:cstheme="minorBidi"/>
          <w:color w:val="auto"/>
        </w:rPr>
        <w:t xml:space="preserve">Thus a chronological order of when an event occurs can be established and used to build up a history. </w:t>
      </w:r>
      <w:r w:rsidR="003E0886">
        <w:rPr>
          <w:rFonts w:asciiTheme="minorHAnsi" w:eastAsiaTheme="minorEastAsia" w:hAnsiTheme="minorHAnsi" w:cstheme="minorBidi"/>
          <w:color w:val="auto"/>
        </w:rPr>
        <w:t>Producer and consumer</w:t>
      </w:r>
      <w:r w:rsidR="00355DA0">
        <w:rPr>
          <w:rFonts w:asciiTheme="minorHAnsi" w:eastAsiaTheme="minorEastAsia" w:hAnsiTheme="minorHAnsi" w:cstheme="minorBidi"/>
          <w:color w:val="auto"/>
        </w:rPr>
        <w:t xml:space="preserve"> applications of these events</w:t>
      </w:r>
      <w:r w:rsidR="003E0886">
        <w:rPr>
          <w:rFonts w:asciiTheme="minorHAnsi" w:eastAsiaTheme="minorEastAsia" w:hAnsiTheme="minorHAnsi" w:cstheme="minorBidi"/>
          <w:color w:val="auto"/>
        </w:rPr>
        <w:t xml:space="preserve"> </w:t>
      </w:r>
      <w:r w:rsidR="00126BD1">
        <w:rPr>
          <w:rFonts w:asciiTheme="minorHAnsi" w:eastAsiaTheme="minorEastAsia" w:hAnsiTheme="minorHAnsi" w:cstheme="minorBidi"/>
          <w:color w:val="auto"/>
        </w:rPr>
        <w:t xml:space="preserve">are independent and </w:t>
      </w:r>
      <w:r w:rsidR="00B17053">
        <w:rPr>
          <w:rFonts w:asciiTheme="minorHAnsi" w:eastAsiaTheme="minorEastAsia" w:hAnsiTheme="minorHAnsi" w:cstheme="minorBidi"/>
          <w:color w:val="auto"/>
        </w:rPr>
        <w:t>communicate without direct knowledge of how the other systems are implemented</w:t>
      </w:r>
      <w:r w:rsidR="00126BD1">
        <w:rPr>
          <w:rFonts w:asciiTheme="minorHAnsi" w:eastAsiaTheme="minorEastAsia" w:hAnsiTheme="minorHAnsi" w:cstheme="minorBidi"/>
          <w:color w:val="auto"/>
        </w:rPr>
        <w:t>. Th</w:t>
      </w:r>
      <w:r w:rsidR="00B17053">
        <w:rPr>
          <w:rFonts w:asciiTheme="minorHAnsi" w:eastAsiaTheme="minorEastAsia" w:hAnsiTheme="minorHAnsi" w:cstheme="minorBidi"/>
          <w:color w:val="auto"/>
        </w:rPr>
        <w:t>is</w:t>
      </w:r>
      <w:r w:rsidR="003E0886">
        <w:rPr>
          <w:rFonts w:asciiTheme="minorHAnsi" w:eastAsiaTheme="minorEastAsia" w:hAnsiTheme="minorHAnsi" w:cstheme="minorBidi"/>
          <w:color w:val="auto"/>
        </w:rPr>
        <w:t xml:space="preserve"> decoupl</w:t>
      </w:r>
      <w:r w:rsidR="00B17053">
        <w:rPr>
          <w:rFonts w:asciiTheme="minorHAnsi" w:eastAsiaTheme="minorEastAsia" w:hAnsiTheme="minorHAnsi" w:cstheme="minorBidi"/>
          <w:color w:val="auto"/>
        </w:rPr>
        <w:t>ing</w:t>
      </w:r>
      <w:r w:rsidR="003E0886">
        <w:rPr>
          <w:rFonts w:asciiTheme="minorHAnsi" w:eastAsiaTheme="minorEastAsia" w:hAnsiTheme="minorHAnsi" w:cstheme="minorBidi"/>
          <w:color w:val="auto"/>
        </w:rPr>
        <w:t xml:space="preserve"> allows for </w:t>
      </w:r>
      <w:r w:rsidR="00703417">
        <w:rPr>
          <w:rFonts w:asciiTheme="minorHAnsi" w:eastAsiaTheme="minorEastAsia" w:hAnsiTheme="minorHAnsi" w:cstheme="minorBidi"/>
          <w:color w:val="auto"/>
        </w:rPr>
        <w:t xml:space="preserve">improved </w:t>
      </w:r>
      <w:r w:rsidR="003E0886">
        <w:rPr>
          <w:rFonts w:asciiTheme="minorHAnsi" w:eastAsiaTheme="minorEastAsia" w:hAnsiTheme="minorHAnsi" w:cstheme="minorBidi"/>
          <w:color w:val="auto"/>
        </w:rPr>
        <w:t>scalability of the system and</w:t>
      </w:r>
      <w:r w:rsidR="00703417">
        <w:rPr>
          <w:rFonts w:asciiTheme="minorHAnsi" w:eastAsiaTheme="minorEastAsia" w:hAnsiTheme="minorHAnsi" w:cstheme="minorBidi"/>
          <w:color w:val="auto"/>
        </w:rPr>
        <w:t xml:space="preserve"> increased</w:t>
      </w:r>
      <w:r w:rsidR="003E0886">
        <w:rPr>
          <w:rFonts w:asciiTheme="minorHAnsi" w:eastAsiaTheme="minorEastAsia" w:hAnsiTheme="minorHAnsi" w:cstheme="minorBidi"/>
          <w:color w:val="auto"/>
        </w:rPr>
        <w:t xml:space="preserve"> adaptability to changing business requirements</w:t>
      </w:r>
      <w:r w:rsidR="00E8719E">
        <w:rPr>
          <w:rFonts w:asciiTheme="minorHAnsi" w:eastAsiaTheme="minorEastAsia" w:hAnsiTheme="minorHAnsi" w:cstheme="minorBidi"/>
          <w:color w:val="auto"/>
        </w:rPr>
        <w:t xml:space="preserve"> </w:t>
      </w:r>
      <w:r w:rsidR="00E8719E">
        <w:rPr>
          <w:rFonts w:asciiTheme="minorHAnsi" w:eastAsiaTheme="minorEastAsia" w:hAnsiTheme="minorHAnsi" w:cstheme="minorBidi"/>
          <w:color w:val="auto"/>
        </w:rPr>
        <w:fldChar w:fldCharType="begin"/>
      </w:r>
      <w:r w:rsidR="00A02701">
        <w:rPr>
          <w:rFonts w:asciiTheme="minorHAnsi" w:eastAsiaTheme="minorEastAsia" w:hAnsiTheme="minorHAnsi" w:cstheme="minorBidi"/>
          <w:color w:val="auto"/>
        </w:rPr>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Pr>
          <w:rFonts w:asciiTheme="minorHAnsi" w:eastAsiaTheme="minorEastAsia" w:hAnsiTheme="minorHAnsi" w:cstheme="minorBidi"/>
          <w:color w:val="auto"/>
        </w:rPr>
        <w:fldChar w:fldCharType="separate"/>
      </w:r>
      <w:r w:rsidR="00E8719E">
        <w:rPr>
          <w:rFonts w:asciiTheme="minorHAnsi" w:eastAsiaTheme="minorEastAsia" w:hAnsiTheme="minorHAnsi" w:cstheme="minorBidi"/>
          <w:color w:val="auto"/>
        </w:rPr>
        <w:t xml:space="preserve">(Karthik Reddy </w:t>
      </w:r>
      <w:proofErr w:type="spellStart"/>
      <w:r w:rsidR="00E8719E">
        <w:rPr>
          <w:rFonts w:asciiTheme="minorHAnsi" w:eastAsiaTheme="minorEastAsia" w:hAnsiTheme="minorHAnsi" w:cstheme="minorBidi"/>
          <w:color w:val="auto"/>
        </w:rPr>
        <w:t>Thondalapally</w:t>
      </w:r>
      <w:proofErr w:type="spellEnd"/>
      <w:r w:rsidR="00E8719E">
        <w:rPr>
          <w:rFonts w:asciiTheme="minorHAnsi" w:eastAsiaTheme="minorEastAsia" w:hAnsiTheme="minorHAnsi" w:cstheme="minorBidi"/>
          <w:color w:val="auto"/>
        </w:rPr>
        <w:t xml:space="preserve"> 2025)</w:t>
      </w:r>
      <w:r w:rsidR="00E8719E">
        <w:rPr>
          <w:rFonts w:asciiTheme="minorHAnsi" w:eastAsiaTheme="minorEastAsia" w:hAnsiTheme="minorHAnsi" w:cstheme="minorBidi"/>
          <w:color w:val="auto"/>
        </w:rPr>
        <w:fldChar w:fldCharType="end"/>
      </w:r>
      <w:r w:rsidR="003E0886">
        <w:rPr>
          <w:rFonts w:asciiTheme="minorHAnsi" w:eastAsiaTheme="minorEastAsia" w:hAnsiTheme="minorHAnsi" w:cstheme="minorBidi"/>
          <w:color w:val="auto"/>
        </w:rPr>
        <w:t xml:space="preserve">. </w:t>
      </w:r>
    </w:p>
    <w:p w14:paraId="4DA1186D" w14:textId="77777777" w:rsidR="00AC49B4" w:rsidRDefault="00AC49B4" w:rsidP="00F03B8F">
      <w:pPr>
        <w:pStyle w:val="Disslevel3"/>
        <w:numPr>
          <w:ilvl w:val="0"/>
          <w:numId w:val="0"/>
        </w:numPr>
        <w:spacing w:line="360" w:lineRule="auto"/>
        <w:rPr>
          <w:rFonts w:asciiTheme="minorHAnsi" w:eastAsiaTheme="minorEastAsia" w:hAnsiTheme="minorHAnsi" w:cstheme="minorBidi"/>
          <w:color w:val="auto"/>
        </w:rPr>
      </w:pPr>
    </w:p>
    <w:p w14:paraId="107A030B" w14:textId="5CECB1E2" w:rsidR="00961E91" w:rsidRDefault="00A1650F"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lastRenderedPageBreak/>
        <w:t xml:space="preserve">In comparison to more traditional request-response, where a sender communicates to a specific target, EDA systems typically implement a publish-subscribe pattern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color w:val="auto"/>
        </w:rPr>
        <w:t>(Choudhary 2025)</w:t>
      </w:r>
      <w:r>
        <w:rPr>
          <w:rFonts w:asciiTheme="minorHAnsi" w:eastAsiaTheme="minorEastAsia" w:hAnsiTheme="minorHAnsi" w:cstheme="minorBidi"/>
          <w:color w:val="auto"/>
        </w:rPr>
        <w:fldChar w:fldCharType="end"/>
      </w:r>
      <w:r>
        <w:rPr>
          <w:rFonts w:asciiTheme="minorHAnsi" w:eastAsiaTheme="minorEastAsia" w:hAnsiTheme="minorHAnsi" w:cstheme="minorBidi"/>
          <w:color w:val="auto"/>
        </w:rPr>
        <w:t xml:space="preserve">. This is achieved while guaranteeing delivery and maintaining ordering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color w:val="auto"/>
        </w:rPr>
        <w:t>(Choudhary 2025)</w:t>
      </w:r>
      <w:r>
        <w:rPr>
          <w:rFonts w:asciiTheme="minorHAnsi" w:eastAsiaTheme="minorEastAsia" w:hAnsiTheme="minorHAnsi" w:cstheme="minorBidi"/>
          <w:color w:val="auto"/>
        </w:rPr>
        <w:fldChar w:fldCharType="end"/>
      </w:r>
      <w:r>
        <w:rPr>
          <w:rFonts w:asciiTheme="minorHAnsi" w:eastAsiaTheme="minorEastAsia" w:hAnsiTheme="minorHAnsi" w:cstheme="minorBidi"/>
          <w:color w:val="auto"/>
        </w:rPr>
        <w:t xml:space="preserve">.  </w:t>
      </w:r>
      <w:r w:rsidR="00AC49B4">
        <w:rPr>
          <w:rFonts w:asciiTheme="minorHAnsi" w:eastAsiaTheme="minorEastAsia" w:hAnsiTheme="minorHAnsi" w:cstheme="minorBidi"/>
          <w:color w:val="auto"/>
        </w:rPr>
        <w:t xml:space="preserve">Producers publish into </w:t>
      </w:r>
      <w:r w:rsidR="00ED181F">
        <w:rPr>
          <w:rFonts w:asciiTheme="minorHAnsi" w:eastAsiaTheme="minorEastAsia" w:hAnsiTheme="minorHAnsi" w:cstheme="minorBidi"/>
          <w:color w:val="auto"/>
        </w:rPr>
        <w:t xml:space="preserve">immutable and </w:t>
      </w:r>
      <w:r w:rsidR="00F03B8F">
        <w:rPr>
          <w:rFonts w:asciiTheme="minorHAnsi" w:eastAsiaTheme="minorEastAsia" w:hAnsiTheme="minorHAnsi" w:cstheme="minorBidi"/>
          <w:color w:val="auto"/>
        </w:rPr>
        <w:t xml:space="preserve">centralised </w:t>
      </w:r>
      <w:r w:rsidR="00ED181F">
        <w:rPr>
          <w:rFonts w:asciiTheme="minorHAnsi" w:eastAsiaTheme="minorEastAsia" w:hAnsiTheme="minorHAnsi" w:cstheme="minorBidi"/>
          <w:color w:val="auto"/>
        </w:rPr>
        <w:t xml:space="preserve">streams </w:t>
      </w:r>
      <w:r w:rsidR="00AC49B4">
        <w:rPr>
          <w:rFonts w:asciiTheme="minorHAnsi" w:eastAsiaTheme="minorEastAsia" w:hAnsiTheme="minorHAnsi" w:cstheme="minorBidi"/>
          <w:color w:val="auto"/>
        </w:rPr>
        <w:t xml:space="preserve">that multiple consuming applications can </w:t>
      </w:r>
      <w:r w:rsidR="00BF4CDC">
        <w:rPr>
          <w:rFonts w:asciiTheme="minorHAnsi" w:eastAsiaTheme="minorEastAsia" w:hAnsiTheme="minorHAnsi" w:cstheme="minorBidi"/>
          <w:color w:val="auto"/>
        </w:rPr>
        <w:t>consume</w:t>
      </w:r>
      <w:r w:rsidR="001426B6">
        <w:rPr>
          <w:rFonts w:asciiTheme="minorHAnsi" w:eastAsiaTheme="minorEastAsia" w:hAnsiTheme="minorHAnsi" w:cstheme="minorBidi"/>
          <w:color w:val="auto"/>
        </w:rPr>
        <w:t xml:space="preserve"> in real time </w:t>
      </w:r>
      <w:r w:rsidR="001426B6">
        <w:rPr>
          <w:rFonts w:asciiTheme="minorHAnsi" w:eastAsiaTheme="minorEastAsia" w:hAnsiTheme="minorHAnsi" w:cstheme="minorBidi"/>
          <w:color w:val="auto"/>
        </w:rPr>
        <w:fldChar w:fldCharType="begin"/>
      </w:r>
      <w:r w:rsidR="00A02701">
        <w:rPr>
          <w:rFonts w:asciiTheme="minorHAnsi" w:eastAsiaTheme="minorEastAsia" w:hAnsiTheme="minorHAnsi" w:cstheme="minorBidi"/>
          <w:color w:val="auto"/>
        </w:rPr>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Pr>
          <w:rFonts w:asciiTheme="minorHAnsi" w:eastAsiaTheme="minorEastAsia" w:hAnsiTheme="minorHAnsi" w:cstheme="minorBidi"/>
          <w:color w:val="auto"/>
        </w:rPr>
        <w:fldChar w:fldCharType="separate"/>
      </w:r>
      <w:r w:rsidR="00A02701">
        <w:rPr>
          <w:rFonts w:asciiTheme="minorHAnsi" w:eastAsiaTheme="minorEastAsia" w:hAnsiTheme="minorHAnsi" w:cstheme="minorBidi"/>
          <w:noProof/>
          <w:color w:val="auto"/>
        </w:rPr>
        <w:t>(Ijsrset and Dr. Susheel Kumar Tiwari 2024)</w:t>
      </w:r>
      <w:r w:rsidR="001426B6">
        <w:rPr>
          <w:rFonts w:asciiTheme="minorHAnsi" w:eastAsiaTheme="minorEastAsia" w:hAnsiTheme="minorHAnsi" w:cstheme="minorBidi"/>
          <w:color w:val="auto"/>
        </w:rPr>
        <w:fldChar w:fldCharType="end"/>
      </w:r>
      <w:r w:rsidR="00AC49B4">
        <w:rPr>
          <w:rFonts w:asciiTheme="minorHAnsi" w:eastAsiaTheme="minorEastAsia" w:hAnsiTheme="minorHAnsi" w:cstheme="minorBidi"/>
          <w:color w:val="auto"/>
        </w:rPr>
        <w:t>, without being directly connected to the producers. This means that more consumers can be added without any impact o</w:t>
      </w:r>
      <w:r w:rsidR="00B4157D">
        <w:rPr>
          <w:rFonts w:asciiTheme="minorHAnsi" w:eastAsiaTheme="minorEastAsia" w:hAnsiTheme="minorHAnsi" w:cstheme="minorBidi"/>
          <w:color w:val="auto"/>
        </w:rPr>
        <w:t>n</w:t>
      </w:r>
      <w:r w:rsidR="00AC49B4">
        <w:rPr>
          <w:rFonts w:asciiTheme="minorHAnsi" w:eastAsiaTheme="minorEastAsia" w:hAnsiTheme="minorHAnsi" w:cstheme="minorBidi"/>
          <w:color w:val="auto"/>
        </w:rPr>
        <w:t xml:space="preserve"> producers</w:t>
      </w:r>
      <w:r w:rsidR="00B4157D">
        <w:rPr>
          <w:rFonts w:asciiTheme="minorHAnsi" w:eastAsiaTheme="minorEastAsia" w:hAnsiTheme="minorHAnsi" w:cstheme="minorBidi"/>
          <w:color w:val="auto"/>
        </w:rPr>
        <w:t xml:space="preserve"> and thus avoiding extra development effort</w:t>
      </w:r>
      <w:r w:rsidR="00AC49B4">
        <w:rPr>
          <w:rFonts w:asciiTheme="minorHAnsi" w:eastAsiaTheme="minorEastAsia" w:hAnsiTheme="minorHAnsi" w:cstheme="minorBidi"/>
          <w:color w:val="auto"/>
        </w:rPr>
        <w:t xml:space="preserve">. </w:t>
      </w:r>
      <w:r w:rsidR="00ED181F">
        <w:rPr>
          <w:rFonts w:asciiTheme="minorHAnsi" w:eastAsiaTheme="minorEastAsia" w:hAnsiTheme="minorHAnsi" w:cstheme="minorBidi"/>
          <w:color w:val="auto"/>
        </w:rPr>
        <w:t xml:space="preserve">This makes EDA an attractive option when </w:t>
      </w:r>
      <w:r w:rsidR="005D6BF9">
        <w:rPr>
          <w:rFonts w:asciiTheme="minorHAnsi" w:eastAsiaTheme="minorEastAsia" w:hAnsiTheme="minorHAnsi" w:cstheme="minorBidi"/>
          <w:color w:val="auto"/>
        </w:rPr>
        <w:t>designing a modern, resilient and scalable enterprise architecture.</w:t>
      </w:r>
      <w:r w:rsidR="00ED181F">
        <w:rPr>
          <w:rFonts w:asciiTheme="minorHAnsi" w:eastAsiaTheme="minorEastAsia" w:hAnsiTheme="minorHAnsi" w:cstheme="minorBidi"/>
          <w:color w:val="auto"/>
        </w:rPr>
        <w:t xml:space="preserve"> </w:t>
      </w:r>
    </w:p>
    <w:p w14:paraId="504132A1" w14:textId="09DB145A" w:rsidR="00961E91" w:rsidRDefault="00961E91" w:rsidP="000B296E">
      <w:pPr>
        <w:pStyle w:val="Disslevel3"/>
        <w:numPr>
          <w:ilvl w:val="0"/>
          <w:numId w:val="0"/>
        </w:numPr>
        <w:rPr>
          <w:rFonts w:asciiTheme="minorHAnsi" w:eastAsiaTheme="minorEastAsia" w:hAnsiTheme="minorHAnsi" w:cstheme="minorBidi"/>
          <w:color w:val="auto"/>
        </w:rPr>
      </w:pPr>
    </w:p>
    <w:p w14:paraId="6E32BCBD" w14:textId="77777777" w:rsidR="000B296E" w:rsidRPr="003D79BE" w:rsidRDefault="000B296E" w:rsidP="000B296E">
      <w:pPr>
        <w:pStyle w:val="Disslevel3"/>
        <w:numPr>
          <w:ilvl w:val="0"/>
          <w:numId w:val="0"/>
        </w:numPr>
      </w:pPr>
    </w:p>
    <w:p w14:paraId="5649A8E2" w14:textId="6777BD6C" w:rsidR="003D79BE" w:rsidRDefault="003D79BE" w:rsidP="00573B17">
      <w:pPr>
        <w:pStyle w:val="Disslevel3"/>
      </w:pPr>
      <w:bookmarkStart w:id="40" w:name="_Toc233796064"/>
      <w:r>
        <w:t>Event Streaming Systems and fault tolerance</w:t>
      </w:r>
      <w:bookmarkEnd w:id="40"/>
    </w:p>
    <w:p w14:paraId="7F9F8A7F" w14:textId="7790571B" w:rsidR="003D79BE" w:rsidRPr="003D79BE" w:rsidRDefault="00355DA0" w:rsidP="000B296E">
      <w:pPr>
        <w:pStyle w:val="Disslevel3"/>
        <w:numPr>
          <w:ilvl w:val="0"/>
          <w:numId w:val="0"/>
        </w:numPr>
      </w:pPr>
      <w:r>
        <w:rPr>
          <w:rFonts w:asciiTheme="minorHAnsi" w:eastAsiaTheme="minorEastAsia" w:hAnsiTheme="minorHAnsi" w:cstheme="minorBidi"/>
          <w:color w:val="auto"/>
        </w:rPr>
        <w:t>If data</w:t>
      </w:r>
      <w:r>
        <w:rPr>
          <w:rFonts w:asciiTheme="minorHAnsi" w:eastAsiaTheme="minorEastAsia" w:hAnsiTheme="minorHAnsi" w:cstheme="minorBidi"/>
          <w:color w:val="auto"/>
        </w:rPr>
        <w:t xml:space="preserve"> is lost on the consumer level the history is simply played back from the topic and rebuilt on the local level. </w:t>
      </w:r>
    </w:p>
    <w:p w14:paraId="478EAC9D" w14:textId="1D33E09E" w:rsidR="003D79BE" w:rsidRDefault="003D79BE" w:rsidP="00573B17">
      <w:pPr>
        <w:pStyle w:val="Disslevel3"/>
      </w:pPr>
      <w:bookmarkStart w:id="41" w:name="_Toc233796065"/>
      <w:r>
        <w:t>Event Aggregation</w:t>
      </w:r>
      <w:bookmarkEnd w:id="41"/>
    </w:p>
    <w:p w14:paraId="2C315255" w14:textId="6A69605B" w:rsidR="00A806B5" w:rsidRPr="008E68F6" w:rsidRDefault="000B296E" w:rsidP="00EE4C5B">
      <w:r>
        <w:t>The</w:t>
      </w:r>
    </w:p>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573B17">
      <w:pPr>
        <w:pStyle w:val="DissChHeading"/>
        <w:numPr>
          <w:ilvl w:val="1"/>
          <w:numId w:val="21"/>
        </w:numPr>
      </w:pPr>
      <w:bookmarkStart w:id="42" w:name="_Toc233796066"/>
      <w:r w:rsidRPr="008E68F6">
        <w:t xml:space="preserve">Patterns for Data access in </w:t>
      </w:r>
      <w:r w:rsidR="000C4BCF" w:rsidRPr="008E68F6">
        <w:t>Distributed Event Systems</w:t>
      </w:r>
      <w:bookmarkEnd w:id="42"/>
    </w:p>
    <w:p w14:paraId="5ABB2AC8" w14:textId="06FFD212" w:rsidR="00E50D2F" w:rsidRDefault="00E50D2F" w:rsidP="00573B17">
      <w:pPr>
        <w:pStyle w:val="Disslevel3"/>
      </w:pPr>
      <w:bookmarkStart w:id="43" w:name="_Toc233796067"/>
      <w:r>
        <w:t>Challenges in data access in distributed systems of systems</w:t>
      </w:r>
      <w:bookmarkEnd w:id="43"/>
    </w:p>
    <w:p w14:paraId="1F2AB629" w14:textId="290E4DC0" w:rsidR="00E50D2F" w:rsidRPr="00E50D2F" w:rsidRDefault="000B296E" w:rsidP="00E50D2F">
      <w:r>
        <w:t>The</w:t>
      </w:r>
    </w:p>
    <w:p w14:paraId="0AABC9DF" w14:textId="449B1085" w:rsidR="00E50D2F" w:rsidRDefault="00E50D2F" w:rsidP="00573B17">
      <w:pPr>
        <w:pStyle w:val="Disslevel3"/>
      </w:pPr>
      <w:bookmarkStart w:id="44" w:name="_Toc233796068"/>
      <w:r>
        <w:t>Command Query Responsibility Segregation</w:t>
      </w:r>
      <w:bookmarkEnd w:id="44"/>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573B17">
      <w:pPr>
        <w:pStyle w:val="Disslevel3"/>
      </w:pPr>
      <w:bookmarkStart w:id="45" w:name="_Toc233796069"/>
      <w:r>
        <w:t>Materialised View</w:t>
      </w:r>
      <w:bookmarkEnd w:id="45"/>
    </w:p>
    <w:p w14:paraId="41049A39" w14:textId="65EF34C7" w:rsidR="00E50D2F" w:rsidRPr="00E50D2F" w:rsidRDefault="000B296E" w:rsidP="00E50D2F">
      <w:r>
        <w:t>The</w:t>
      </w:r>
    </w:p>
    <w:p w14:paraId="44F62E76" w14:textId="689D4709" w:rsidR="00E50D2F" w:rsidRDefault="00E50D2F" w:rsidP="00573B17">
      <w:pPr>
        <w:pStyle w:val="Disslevel3"/>
      </w:pPr>
      <w:bookmarkStart w:id="46" w:name="_Toc233796070"/>
      <w:r>
        <w:t>Event replay and state reconstruction</w:t>
      </w:r>
      <w:bookmarkEnd w:id="46"/>
    </w:p>
    <w:p w14:paraId="74BB054C" w14:textId="2A48AC53" w:rsidR="00E50D2F" w:rsidRPr="00E50D2F" w:rsidRDefault="000B296E" w:rsidP="00E50D2F">
      <w:r>
        <w:t>The</w:t>
      </w:r>
    </w:p>
    <w:p w14:paraId="00AD8E65" w14:textId="271BFA2D" w:rsidR="00E50D2F" w:rsidRDefault="00E50D2F" w:rsidP="00573B17">
      <w:pPr>
        <w:pStyle w:val="Disslevel3"/>
      </w:pPr>
      <w:bookmarkStart w:id="47" w:name="_Toc233796071"/>
      <w:r>
        <w:t>Distributed Caching Techniques</w:t>
      </w:r>
      <w:bookmarkEnd w:id="47"/>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573B17">
      <w:pPr>
        <w:pStyle w:val="DissChHeading"/>
        <w:numPr>
          <w:ilvl w:val="1"/>
          <w:numId w:val="21"/>
        </w:numPr>
      </w:pPr>
      <w:bookmarkStart w:id="48" w:name="_Toc233796072"/>
      <w:r w:rsidRPr="008E68F6">
        <w:lastRenderedPageBreak/>
        <w:t>Cloud-Native Resilience, High Availability and Disaster Recovery</w:t>
      </w:r>
      <w:bookmarkEnd w:id="48"/>
    </w:p>
    <w:p w14:paraId="1194913D" w14:textId="612AE7FD" w:rsidR="00AB4FBF" w:rsidRDefault="00AB4FBF" w:rsidP="00573B17">
      <w:pPr>
        <w:pStyle w:val="Disslevel3"/>
      </w:pPr>
      <w:bookmarkStart w:id="49" w:name="_Toc233796073"/>
      <w:r>
        <w:t>Cloud Native Architecture</w:t>
      </w:r>
      <w:bookmarkEnd w:id="49"/>
    </w:p>
    <w:p w14:paraId="4612C2FB" w14:textId="4FCD3C19" w:rsidR="000B296E" w:rsidRDefault="000B296E" w:rsidP="000B296E">
      <w:pPr>
        <w:pStyle w:val="Disslevel3"/>
        <w:numPr>
          <w:ilvl w:val="0"/>
          <w:numId w:val="0"/>
        </w:numPr>
      </w:pPr>
      <w:r>
        <w:rPr>
          <w:rFonts w:asciiTheme="minorHAnsi" w:eastAsiaTheme="minorEastAsia" w:hAnsiTheme="minorHAnsi" w:cstheme="minorBidi"/>
          <w:color w:val="auto"/>
        </w:rPr>
        <w:t>The</w:t>
      </w:r>
    </w:p>
    <w:p w14:paraId="27EE2465" w14:textId="02D131E1" w:rsidR="000B296E" w:rsidRDefault="00AB4FBF" w:rsidP="000B296E">
      <w:pPr>
        <w:pStyle w:val="Disslevel3"/>
      </w:pPr>
      <w:bookmarkStart w:id="50" w:name="_Toc233796074"/>
      <w:r>
        <w:t>High Availability and Resilience</w:t>
      </w:r>
      <w:bookmarkEnd w:id="50"/>
    </w:p>
    <w:p w14:paraId="2E7341A8" w14:textId="33FE5187" w:rsidR="000B296E" w:rsidRDefault="000B296E" w:rsidP="000B296E">
      <w:pPr>
        <w:pStyle w:val="Disslevel3"/>
        <w:numPr>
          <w:ilvl w:val="0"/>
          <w:numId w:val="0"/>
        </w:numPr>
      </w:pPr>
      <w:r>
        <w:rPr>
          <w:rFonts w:asciiTheme="minorHAnsi" w:eastAsiaTheme="minorEastAsia" w:hAnsiTheme="minorHAnsi" w:cstheme="minorBidi"/>
          <w:color w:val="auto"/>
        </w:rPr>
        <w:t>The</w:t>
      </w:r>
    </w:p>
    <w:p w14:paraId="1A919D36" w14:textId="66961B81" w:rsidR="00AB4FBF" w:rsidRDefault="00AB4FBF" w:rsidP="00573B17">
      <w:pPr>
        <w:pStyle w:val="Disslevel3"/>
      </w:pPr>
      <w:bookmarkStart w:id="51" w:name="_Toc233796075"/>
      <w:r>
        <w:t>Disaster Recovery Strategies</w:t>
      </w:r>
      <w:bookmarkEnd w:id="51"/>
    </w:p>
    <w:p w14:paraId="27AA10F6" w14:textId="45AC543A" w:rsidR="000B296E" w:rsidRDefault="000B296E" w:rsidP="000B296E">
      <w:pPr>
        <w:pStyle w:val="Disslevel3"/>
        <w:numPr>
          <w:ilvl w:val="0"/>
          <w:numId w:val="0"/>
        </w:numPr>
      </w:pPr>
      <w:r>
        <w:rPr>
          <w:rFonts w:asciiTheme="minorHAnsi" w:eastAsiaTheme="minorEastAsia" w:hAnsiTheme="minorHAnsi" w:cstheme="minorBidi"/>
          <w:color w:val="auto"/>
        </w:rPr>
        <w:t>The</w:t>
      </w:r>
    </w:p>
    <w:p w14:paraId="22C5C6B2" w14:textId="76CB0152" w:rsidR="00B32679" w:rsidRDefault="00B32679" w:rsidP="00573B17">
      <w:pPr>
        <w:pStyle w:val="Disslevel3"/>
      </w:pPr>
      <w:bookmarkStart w:id="52" w:name="_Toc233796076"/>
      <w:r>
        <w:t>Cloud Resilience with Kubernetes</w:t>
      </w:r>
      <w:bookmarkEnd w:id="52"/>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573B17">
      <w:pPr>
        <w:pStyle w:val="Disslevel3"/>
      </w:pPr>
      <w:bookmarkStart w:id="53" w:name="_Toc233796077"/>
      <w:r>
        <w:t>Cloud Portability and sovereignty</w:t>
      </w:r>
      <w:bookmarkEnd w:id="53"/>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4" w:name="_Toc233796078"/>
      <w:r w:rsidRPr="008E68F6">
        <w:t>Software Quality standards</w:t>
      </w:r>
      <w:bookmarkEnd w:id="54"/>
    </w:p>
    <w:p w14:paraId="35D33ECD" w14:textId="1E1D5BC2" w:rsidR="00A51058" w:rsidRDefault="00A51058" w:rsidP="00573B17">
      <w:pPr>
        <w:pStyle w:val="Disslevel3"/>
      </w:pPr>
      <w:bookmarkStart w:id="55" w:name="_Toc233796079"/>
      <w:r>
        <w:t>Software Quality standards</w:t>
      </w:r>
      <w:r w:rsidR="00DD3BB8">
        <w:t xml:space="preserve"> and measurement</w:t>
      </w:r>
      <w:bookmarkEnd w:id="55"/>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6" w:name="_Toc233796080"/>
      <w:r>
        <w:t>Reliability</w:t>
      </w:r>
      <w:bookmarkEnd w:id="56"/>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57" w:name="_Toc233796081"/>
      <w:r>
        <w:t>Availability</w:t>
      </w:r>
      <w:bookmarkEnd w:id="57"/>
    </w:p>
    <w:p w14:paraId="67D3B6A7" w14:textId="048C9EA8" w:rsidR="00A51058" w:rsidRPr="00A51058" w:rsidRDefault="000B296E" w:rsidP="00A51058">
      <w:r>
        <w:t>The</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58" w:name="_Toc233796082"/>
      <w:r w:rsidRPr="008E68F6">
        <w:lastRenderedPageBreak/>
        <w:t>Research Gap and Conclusion</w:t>
      </w:r>
      <w:bookmarkEnd w:id="58"/>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9" w:name="_Toc233796083"/>
      <w:r>
        <w:t>Design</w:t>
      </w:r>
      <w:bookmarkEnd w:id="59"/>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0" w:name="_Toc233796084"/>
      <w:r w:rsidRPr="008E68F6">
        <w:lastRenderedPageBreak/>
        <w:t>References</w:t>
      </w:r>
      <w:bookmarkEnd w:id="60"/>
    </w:p>
    <w:p w14:paraId="07D0926D" w14:textId="49324D0C" w:rsidR="00BF2AD7" w:rsidRPr="008E68F6" w:rsidRDefault="00611A66" w:rsidP="00D35DDF">
      <w:pPr>
        <w:ind w:left="1701" w:hanging="1701"/>
      </w:pPr>
    </w:p>
    <w:p w14:paraId="6A0F4D12" w14:textId="77777777" w:rsidR="00A02701" w:rsidRPr="00A02701" w:rsidRDefault="00D849BA" w:rsidP="00A02701">
      <w:pPr>
        <w:pStyle w:val="Bibliography"/>
        <w:rPr>
          <w:rFonts w:ascii="Calibri" w:eastAsiaTheme="minorHAnsi" w:cs="Calibri"/>
          <w:lang w:val="en-GB"/>
        </w:rPr>
      </w:pPr>
      <w:r w:rsidRPr="008E68F6">
        <w:fldChar w:fldCharType="begin"/>
      </w:r>
      <w:r w:rsidR="00A02701">
        <w:instrText xml:space="preserve"> ADDIN ZOTERO_BIBL {"uncited":[],"omitted":[],"custom":[]} CSL_BIBLIOGRAPHY </w:instrText>
      </w:r>
      <w:r w:rsidRPr="008E68F6">
        <w:fldChar w:fldCharType="separate"/>
      </w:r>
      <w:proofErr w:type="spellStart"/>
      <w:r w:rsidR="00A02701" w:rsidRPr="00A02701">
        <w:rPr>
          <w:rFonts w:ascii="Calibri" w:eastAsiaTheme="minorHAnsi" w:cs="Calibri"/>
          <w:lang w:val="en-GB"/>
        </w:rPr>
        <w:t>Alyahya</w:t>
      </w:r>
      <w:proofErr w:type="spellEnd"/>
      <w:r w:rsidR="00A02701" w:rsidRPr="00A02701">
        <w:rPr>
          <w:rFonts w:ascii="Calibri" w:eastAsiaTheme="minorHAnsi" w:cs="Calibri"/>
          <w:lang w:val="en-GB"/>
        </w:rPr>
        <w:t xml:space="preserve">, A., Tipper, D., and </w:t>
      </w:r>
      <w:proofErr w:type="spellStart"/>
      <w:r w:rsidR="00A02701" w:rsidRPr="00A02701">
        <w:rPr>
          <w:rFonts w:ascii="Calibri" w:eastAsiaTheme="minorHAnsi" w:cs="Calibri"/>
          <w:lang w:val="en-GB"/>
        </w:rPr>
        <w:t>Babay</w:t>
      </w:r>
      <w:proofErr w:type="spellEnd"/>
      <w:r w:rsidR="00A02701" w:rsidRPr="00A02701">
        <w:rPr>
          <w:rFonts w:ascii="Calibri" w:eastAsiaTheme="minorHAnsi" w:cs="Calibri"/>
          <w:lang w:val="en-GB"/>
        </w:rPr>
        <w:t xml:space="preserve">, A. (2025) ‘Availability and Cost Analysis of Network-Attack-Resilient Byzantine Fault Tolerant Systems’, </w:t>
      </w:r>
      <w:r w:rsidR="00A02701" w:rsidRPr="00A02701">
        <w:rPr>
          <w:rFonts w:ascii="Calibri" w:eastAsiaTheme="minorHAnsi" w:cs="Calibri"/>
          <w:i/>
          <w:iCs/>
          <w:lang w:val="en-GB"/>
        </w:rPr>
        <w:t>IEEE Transactions on Network and Service Management</w:t>
      </w:r>
      <w:r w:rsidR="00A02701" w:rsidRPr="00A02701">
        <w:rPr>
          <w:rFonts w:ascii="Calibri" w:eastAsiaTheme="minorHAnsi" w:cs="Calibri"/>
          <w:lang w:val="en-GB"/>
        </w:rPr>
        <w:t>, 22(5), 3895–3908, available: https://doi.org/10.1109/TNSM.2025.3589936.</w:t>
      </w:r>
    </w:p>
    <w:p w14:paraId="680C9B8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Angela Dawn Lawson (2020) </w:t>
      </w:r>
      <w:r w:rsidRPr="00A02701">
        <w:rPr>
          <w:rFonts w:ascii="Calibri" w:eastAsiaTheme="minorHAnsi" w:cs="Calibri"/>
          <w:i/>
          <w:iCs/>
          <w:lang w:val="en-GB"/>
        </w:rPr>
        <w:t>Deploying the Right Technology- a Framework for Digital Strategy and Selection at the United States Postal Service to Shape the Future of Work</w:t>
      </w:r>
      <w:r w:rsidRPr="00A02701">
        <w:rPr>
          <w:rFonts w:ascii="Calibri" w:eastAsiaTheme="minorHAnsi" w:cs="Calibri"/>
          <w:lang w:val="en-GB"/>
        </w:rPr>
        <w:t>, Thesis.</w:t>
      </w:r>
    </w:p>
    <w:p w14:paraId="46B885A1"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2FEB52AC"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Choudhary, S.K. (2025) ‘IMPLEMENTING EVENT-DRIVEN ARCHITECTURE FOR REAL-TIME DATA INTEGRATION IN CLOUD ENVIRONMENTS’, </w:t>
      </w:r>
      <w:r w:rsidRPr="00A02701">
        <w:rPr>
          <w:rFonts w:ascii="Calibri" w:eastAsiaTheme="minorHAnsi" w:cs="Calibri"/>
          <w:i/>
          <w:iCs/>
          <w:lang w:val="en-GB"/>
        </w:rPr>
        <w:t>INTERNATIONAL JOURNAL OF COMPUTER ENGINEERING AND TECHNOLOGY</w:t>
      </w:r>
      <w:r w:rsidRPr="00A02701">
        <w:rPr>
          <w:rFonts w:ascii="Calibri" w:eastAsiaTheme="minorHAnsi" w:cs="Calibri"/>
          <w:lang w:val="en-GB"/>
        </w:rPr>
        <w:t>, 16(1), 1535–1552, available: https://doi.org/10.34218/IJCET_16_01_113.</w:t>
      </w:r>
    </w:p>
    <w:p w14:paraId="71CF5A83"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Costa, A.B. and Brito, M.A. (2022) ‘Enterprise Architecture Management : Constant maintenance and updating of the Enterprise Architecture’, in </w:t>
      </w:r>
      <w:r w:rsidRPr="00A02701">
        <w:rPr>
          <w:rFonts w:ascii="Calibri" w:eastAsiaTheme="minorHAnsi" w:cs="Calibri"/>
          <w:i/>
          <w:iCs/>
          <w:lang w:val="en-GB"/>
        </w:rPr>
        <w:t>2022 17th Iberian Conference on Information Systems and Technologies (CISTI)</w:t>
      </w:r>
      <w:r w:rsidRPr="00A02701">
        <w:rPr>
          <w:rFonts w:ascii="Calibri" w:eastAsiaTheme="minorHAnsi" w:cs="Calibri"/>
          <w:lang w:val="en-GB"/>
        </w:rPr>
        <w:t>, Presented at the 2022 17th Iberian Conference on Information Systems and Technologies (CISTI), Madrid, Spain: IEEE, 1–5, available: https://doi.org/10.23919/CISTI54924.2022.9820068.</w:t>
      </w:r>
    </w:p>
    <w:p w14:paraId="3AD03F1D"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Evans, E. (2004) </w:t>
      </w:r>
      <w:r w:rsidRPr="00A02701">
        <w:rPr>
          <w:rFonts w:ascii="Calibri" w:eastAsiaTheme="minorHAnsi" w:cs="Calibri"/>
          <w:i/>
          <w:iCs/>
          <w:lang w:val="en-GB"/>
        </w:rPr>
        <w:t>Domain-Driven Design: Tackling Complexity in the Heart of Software</w:t>
      </w:r>
      <w:r w:rsidRPr="00A02701">
        <w:rPr>
          <w:rFonts w:ascii="Calibri" w:eastAsiaTheme="minorHAnsi" w:cs="Calibri"/>
          <w:lang w:val="en-GB"/>
        </w:rPr>
        <w:t>, Boston: Addison-Wesley.</w:t>
      </w:r>
    </w:p>
    <w:p w14:paraId="6212082F"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Florian Springer and Christoph </w:t>
      </w:r>
      <w:proofErr w:type="spellStart"/>
      <w:r w:rsidRPr="00A02701">
        <w:rPr>
          <w:rFonts w:ascii="Calibri" w:eastAsiaTheme="minorHAnsi" w:cs="Calibri"/>
          <w:lang w:val="en-GB"/>
        </w:rPr>
        <w:t>Emmersberger</w:t>
      </w:r>
      <w:proofErr w:type="spellEnd"/>
      <w:r w:rsidRPr="00A02701">
        <w:rPr>
          <w:rFonts w:ascii="Calibri" w:eastAsiaTheme="minorHAnsi" w:cs="Calibri"/>
          <w:lang w:val="en-GB"/>
        </w:rPr>
        <w:t xml:space="preserve"> (2008) </w:t>
      </w:r>
      <w:r w:rsidRPr="00A02701">
        <w:rPr>
          <w:rFonts w:ascii="Calibri" w:eastAsiaTheme="minorHAnsi" w:cs="Calibri"/>
          <w:i/>
          <w:iCs/>
          <w:lang w:val="en-GB"/>
        </w:rPr>
        <w:t>Event Driven Business Process Management Taking the Example of Deutsche Post AG: An Evaluation of the Approach of Oracle and the SOPERA Open Source SOA Framework</w:t>
      </w:r>
      <w:r w:rsidRPr="00A02701">
        <w:rPr>
          <w:rFonts w:ascii="Calibri" w:eastAsiaTheme="minorHAnsi" w:cs="Calibri"/>
          <w:lang w:val="en-GB"/>
        </w:rPr>
        <w:t>, Diploma Thesis.</w:t>
      </w:r>
    </w:p>
    <w:p w14:paraId="68D0EC4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Ghosh, A. (2025) ‘Transforming Enterprise Systems through Event-Driven Architecture: Implementation, Benefits, and Future Trends’, </w:t>
      </w:r>
      <w:r w:rsidRPr="00A02701">
        <w:rPr>
          <w:rFonts w:ascii="Calibri" w:eastAsiaTheme="minorHAnsi" w:cs="Calibri"/>
          <w:i/>
          <w:iCs/>
          <w:lang w:val="en-GB"/>
        </w:rPr>
        <w:t>International Journal of Scientific Research in Computer Science, Engineering and Information Technology</w:t>
      </w:r>
      <w:r w:rsidRPr="00A02701">
        <w:rPr>
          <w:rFonts w:ascii="Calibri" w:eastAsiaTheme="minorHAnsi" w:cs="Calibri"/>
          <w:lang w:val="en-GB"/>
        </w:rPr>
        <w:t>, 11(1), 3507–3514, available: https://doi.org/10.32628/CSEIT251112347.</w:t>
      </w:r>
    </w:p>
    <w:p w14:paraId="3206687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Hassel, A. and </w:t>
      </w:r>
      <w:proofErr w:type="spellStart"/>
      <w:r w:rsidRPr="00A02701">
        <w:rPr>
          <w:rFonts w:ascii="Calibri" w:eastAsiaTheme="minorHAnsi" w:cs="Calibri"/>
          <w:lang w:val="en-GB"/>
        </w:rPr>
        <w:t>Sieker</w:t>
      </w:r>
      <w:proofErr w:type="spellEnd"/>
      <w:r w:rsidRPr="00A02701">
        <w:rPr>
          <w:rFonts w:ascii="Calibri" w:eastAsiaTheme="minorHAnsi" w:cs="Calibri"/>
          <w:lang w:val="en-GB"/>
        </w:rPr>
        <w:t xml:space="preserve">, F. (2022) ‘The platform effect: How Amazon changed work in logistics in Germany, the United States and the United Kingdom’, </w:t>
      </w:r>
      <w:r w:rsidRPr="00A02701">
        <w:rPr>
          <w:rFonts w:ascii="Calibri" w:eastAsiaTheme="minorHAnsi" w:cs="Calibri"/>
          <w:i/>
          <w:iCs/>
          <w:lang w:val="en-GB"/>
        </w:rPr>
        <w:t>European Journal of Industrial Relations</w:t>
      </w:r>
      <w:r w:rsidRPr="00A02701">
        <w:rPr>
          <w:rFonts w:ascii="Calibri" w:eastAsiaTheme="minorHAnsi" w:cs="Calibri"/>
          <w:lang w:val="en-GB"/>
        </w:rPr>
        <w:t>, 28(3), 363–382, available: https://doi.org/10.1177/09596801221082456.</w:t>
      </w:r>
    </w:p>
    <w:p w14:paraId="3AE382CA"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Hippchen</w:t>
      </w:r>
      <w:proofErr w:type="spellEnd"/>
      <w:r w:rsidRPr="00A02701">
        <w:rPr>
          <w:rFonts w:ascii="Calibri" w:eastAsiaTheme="minorHAnsi" w:cs="Calibri"/>
          <w:lang w:val="en-GB"/>
        </w:rPr>
        <w:t xml:space="preserve">, B., </w:t>
      </w:r>
      <w:proofErr w:type="spellStart"/>
      <w:r w:rsidRPr="00A02701">
        <w:rPr>
          <w:rFonts w:ascii="Calibri" w:eastAsiaTheme="minorHAnsi" w:cs="Calibri"/>
          <w:lang w:val="en-GB"/>
        </w:rPr>
        <w:t>Giessler</w:t>
      </w:r>
      <w:proofErr w:type="spellEnd"/>
      <w:r w:rsidRPr="00A02701">
        <w:rPr>
          <w:rFonts w:ascii="Calibri" w:eastAsiaTheme="minorHAnsi" w:cs="Calibri"/>
          <w:lang w:val="en-GB"/>
        </w:rPr>
        <w:t xml:space="preserve">, P., </w:t>
      </w:r>
      <w:proofErr w:type="spellStart"/>
      <w:r w:rsidRPr="00A02701">
        <w:rPr>
          <w:rFonts w:ascii="Calibri" w:eastAsiaTheme="minorHAnsi" w:cs="Calibri"/>
          <w:lang w:val="en-GB"/>
        </w:rPr>
        <w:t>Steinegger</w:t>
      </w:r>
      <w:proofErr w:type="spellEnd"/>
      <w:r w:rsidRPr="00A02701">
        <w:rPr>
          <w:rFonts w:ascii="Calibri" w:eastAsiaTheme="minorHAnsi" w:cs="Calibri"/>
          <w:lang w:val="en-GB"/>
        </w:rPr>
        <w:t xml:space="preserve">, R.H., Schneider, M., and </w:t>
      </w:r>
      <w:proofErr w:type="spellStart"/>
      <w:r w:rsidRPr="00A02701">
        <w:rPr>
          <w:rFonts w:ascii="Calibri" w:eastAsiaTheme="minorHAnsi" w:cs="Calibri"/>
          <w:lang w:val="en-GB"/>
        </w:rPr>
        <w:t>Abeck</w:t>
      </w:r>
      <w:proofErr w:type="spellEnd"/>
      <w:r w:rsidRPr="00A02701">
        <w:rPr>
          <w:rFonts w:ascii="Calibri" w:eastAsiaTheme="minorHAnsi" w:cs="Calibri"/>
          <w:lang w:val="en-GB"/>
        </w:rPr>
        <w:t>, S. (2017) ‘Designing Microservice-Based Applications by Using a Domain-Driven Design Approach’.</w:t>
      </w:r>
    </w:p>
    <w:p w14:paraId="451D5121"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Ijsrset</w:t>
      </w:r>
      <w:proofErr w:type="spellEnd"/>
      <w:r w:rsidRPr="00A02701">
        <w:rPr>
          <w:rFonts w:ascii="Calibri" w:eastAsiaTheme="minorHAnsi" w:cs="Calibri"/>
          <w:lang w:val="en-GB"/>
        </w:rPr>
        <w:t xml:space="preserve"> and </w:t>
      </w:r>
      <w:proofErr w:type="spellStart"/>
      <w:r w:rsidRPr="00A02701">
        <w:rPr>
          <w:rFonts w:ascii="Calibri" w:eastAsiaTheme="minorHAnsi" w:cs="Calibri"/>
          <w:lang w:val="en-GB"/>
        </w:rPr>
        <w:t>Dr.</w:t>
      </w:r>
      <w:proofErr w:type="spellEnd"/>
      <w:r w:rsidRPr="00A02701">
        <w:rPr>
          <w:rFonts w:ascii="Calibri" w:eastAsiaTheme="minorHAnsi" w:cs="Calibri"/>
          <w:lang w:val="en-GB"/>
        </w:rPr>
        <w:t xml:space="preserve"> </w:t>
      </w:r>
      <w:proofErr w:type="spellStart"/>
      <w:r w:rsidRPr="00A02701">
        <w:rPr>
          <w:rFonts w:ascii="Calibri" w:eastAsiaTheme="minorHAnsi" w:cs="Calibri"/>
          <w:lang w:val="en-GB"/>
        </w:rPr>
        <w:t>Susheel</w:t>
      </w:r>
      <w:proofErr w:type="spellEnd"/>
      <w:r w:rsidRPr="00A02701">
        <w:rPr>
          <w:rFonts w:ascii="Calibri" w:eastAsiaTheme="minorHAnsi" w:cs="Calibri"/>
          <w:lang w:val="en-GB"/>
        </w:rPr>
        <w:t xml:space="preserve"> Kumar Tiwari (2024) ‘International Journal of Scientific Research in Science, Engineering and Technology’, </w:t>
      </w:r>
      <w:r w:rsidRPr="00A02701">
        <w:rPr>
          <w:rFonts w:ascii="Calibri" w:eastAsiaTheme="minorHAnsi" w:cs="Calibri"/>
          <w:i/>
          <w:iCs/>
          <w:lang w:val="en-GB"/>
        </w:rPr>
        <w:t>International Journal of Scientific Research in Science Engineering and Technology</w:t>
      </w:r>
      <w:r w:rsidRPr="00A02701">
        <w:rPr>
          <w:rFonts w:ascii="Calibri" w:eastAsiaTheme="minorHAnsi" w:cs="Calibri"/>
          <w:lang w:val="en-GB"/>
        </w:rPr>
        <w:t>, 1(1), 1, available: https://doi.org/10.32628/IJSRSET.</w:t>
      </w:r>
    </w:p>
    <w:p w14:paraId="10BE3F59"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Ilieva</w:t>
      </w:r>
      <w:proofErr w:type="spellEnd"/>
      <w:r w:rsidRPr="00A02701">
        <w:rPr>
          <w:rFonts w:ascii="Calibri" w:eastAsiaTheme="minorHAnsi" w:cs="Calibri"/>
          <w:lang w:val="en-GB"/>
        </w:rPr>
        <w:t xml:space="preserve">, D., Kolev, D., and </w:t>
      </w:r>
      <w:proofErr w:type="spellStart"/>
      <w:r w:rsidRPr="00A02701">
        <w:rPr>
          <w:rFonts w:ascii="Calibri" w:eastAsiaTheme="minorHAnsi" w:cs="Calibri"/>
          <w:lang w:val="en-GB"/>
        </w:rPr>
        <w:t>Gladchenko</w:t>
      </w:r>
      <w:proofErr w:type="spellEnd"/>
      <w:r w:rsidRPr="00A02701">
        <w:rPr>
          <w:rFonts w:ascii="Calibri" w:eastAsiaTheme="minorHAnsi" w:cs="Calibri"/>
          <w:lang w:val="en-GB"/>
        </w:rPr>
        <w:t xml:space="preserve">, V. (2024) ‘Investigation of the Impact of Artificial Intelligence and Automation in the Postal Services Sector Labour Market’, in </w:t>
      </w:r>
      <w:r w:rsidRPr="00A02701">
        <w:rPr>
          <w:rFonts w:ascii="Calibri" w:eastAsiaTheme="minorHAnsi" w:cs="Calibri"/>
          <w:i/>
          <w:iCs/>
          <w:lang w:val="en-GB"/>
        </w:rPr>
        <w:t>2024 5th International Conference on Communications, Information, Electronic and Energy Systems (CIEES)</w:t>
      </w:r>
      <w:r w:rsidRPr="00A02701">
        <w:rPr>
          <w:rFonts w:ascii="Calibri" w:eastAsiaTheme="minorHAnsi" w:cs="Calibri"/>
          <w:lang w:val="en-GB"/>
        </w:rPr>
        <w:t xml:space="preserve">, Presented at the 2024 5th International Conference on Communications, Information, Electronic and Energy Systems (CIEES), </w:t>
      </w:r>
      <w:proofErr w:type="spellStart"/>
      <w:r w:rsidRPr="00A02701">
        <w:rPr>
          <w:rFonts w:ascii="Calibri" w:eastAsiaTheme="minorHAnsi" w:cs="Calibri"/>
          <w:lang w:val="en-GB"/>
        </w:rPr>
        <w:t>Veliko</w:t>
      </w:r>
      <w:proofErr w:type="spellEnd"/>
      <w:r w:rsidRPr="00A02701">
        <w:rPr>
          <w:rFonts w:ascii="Calibri" w:eastAsiaTheme="minorHAnsi" w:cs="Calibri"/>
          <w:lang w:val="en-GB"/>
        </w:rPr>
        <w:t xml:space="preserve"> </w:t>
      </w:r>
      <w:proofErr w:type="spellStart"/>
      <w:r w:rsidRPr="00A02701">
        <w:rPr>
          <w:rFonts w:ascii="Calibri" w:eastAsiaTheme="minorHAnsi" w:cs="Calibri"/>
          <w:lang w:val="en-GB"/>
        </w:rPr>
        <w:t>Tarnovo</w:t>
      </w:r>
      <w:proofErr w:type="spellEnd"/>
      <w:r w:rsidRPr="00A02701">
        <w:rPr>
          <w:rFonts w:ascii="Calibri" w:eastAsiaTheme="minorHAnsi" w:cs="Calibri"/>
          <w:lang w:val="en-GB"/>
        </w:rPr>
        <w:t>, Bulgaria: IEEE, 1–7, available: https://doi.org/10.1109/CIEES62939.2024.10811359.</w:t>
      </w:r>
    </w:p>
    <w:p w14:paraId="6D91036F"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Ivanov, N. and </w:t>
      </w:r>
      <w:proofErr w:type="spellStart"/>
      <w:r w:rsidRPr="00A02701">
        <w:rPr>
          <w:rFonts w:ascii="Calibri" w:eastAsiaTheme="minorHAnsi" w:cs="Calibri"/>
          <w:lang w:val="en-GB"/>
        </w:rPr>
        <w:t>Tasheva</w:t>
      </w:r>
      <w:proofErr w:type="spellEnd"/>
      <w:r w:rsidRPr="00A02701">
        <w:rPr>
          <w:rFonts w:ascii="Calibri" w:eastAsiaTheme="minorHAnsi" w:cs="Calibri"/>
          <w:lang w:val="en-GB"/>
        </w:rPr>
        <w:t xml:space="preserve">, A. (2021) ‘A Hot Decomposition Procedure: Operational Monolith System to Microservices’, in </w:t>
      </w:r>
      <w:r w:rsidRPr="00A02701">
        <w:rPr>
          <w:rFonts w:ascii="Calibri" w:eastAsiaTheme="minorHAnsi" w:cs="Calibri"/>
          <w:i/>
          <w:iCs/>
          <w:lang w:val="en-GB"/>
        </w:rPr>
        <w:t>2021 International Conference Automatics and Informatics (ICAI)</w:t>
      </w:r>
      <w:r w:rsidRPr="00A02701">
        <w:rPr>
          <w:rFonts w:ascii="Calibri" w:eastAsiaTheme="minorHAnsi" w:cs="Calibri"/>
          <w:lang w:val="en-GB"/>
        </w:rPr>
        <w:t>, Presented at the 2021 International Conference Automatics and Informatics (ICAI), Varna, Bulgaria: IEEE, 182–187, available: https://doi.org/10.1109/ICAI52893.2021.9639494.</w:t>
      </w:r>
    </w:p>
    <w:p w14:paraId="6F3DABD0"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Jovanović, B., </w:t>
      </w:r>
      <w:proofErr w:type="spellStart"/>
      <w:r w:rsidRPr="00A02701">
        <w:rPr>
          <w:rFonts w:ascii="Calibri" w:eastAsiaTheme="minorHAnsi" w:cs="Calibri"/>
          <w:lang w:val="en-GB"/>
        </w:rPr>
        <w:t>Šarac</w:t>
      </w:r>
      <w:proofErr w:type="spellEnd"/>
      <w:r w:rsidRPr="00A02701">
        <w:rPr>
          <w:rFonts w:ascii="Calibri" w:eastAsiaTheme="minorHAnsi" w:cs="Calibri"/>
          <w:lang w:val="en-GB"/>
        </w:rPr>
        <w:t xml:space="preserve">, D., and </w:t>
      </w:r>
      <w:proofErr w:type="spellStart"/>
      <w:r w:rsidRPr="00A02701">
        <w:rPr>
          <w:rFonts w:ascii="Calibri" w:eastAsiaTheme="minorHAnsi" w:cs="Calibri"/>
          <w:lang w:val="en-GB"/>
        </w:rPr>
        <w:t>Čačić</w:t>
      </w:r>
      <w:proofErr w:type="spellEnd"/>
      <w:r w:rsidRPr="00A02701">
        <w:rPr>
          <w:rFonts w:ascii="Calibri" w:eastAsiaTheme="minorHAnsi" w:cs="Calibri"/>
          <w:lang w:val="en-GB"/>
        </w:rPr>
        <w:t xml:space="preserve">, N. (2025) ‘Delphi and fuzzy TOPSIS approach for redefining the scope of postal universal service obligation’, </w:t>
      </w:r>
      <w:r w:rsidRPr="00A02701">
        <w:rPr>
          <w:rFonts w:ascii="Calibri" w:eastAsiaTheme="minorHAnsi" w:cs="Calibri"/>
          <w:i/>
          <w:iCs/>
          <w:lang w:val="en-GB"/>
        </w:rPr>
        <w:t>Journal of Regulatory Economics</w:t>
      </w:r>
      <w:r w:rsidRPr="00A02701">
        <w:rPr>
          <w:rFonts w:ascii="Calibri" w:eastAsiaTheme="minorHAnsi" w:cs="Calibri"/>
          <w:lang w:val="en-GB"/>
        </w:rPr>
        <w:t>, 68(1), 38–52, available: https://doi.org/10.1007/s11149-025-09489-6.</w:t>
      </w:r>
    </w:p>
    <w:p w14:paraId="2BF53962"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lastRenderedPageBreak/>
        <w:t>Kalske</w:t>
      </w:r>
      <w:proofErr w:type="spellEnd"/>
      <w:r w:rsidRPr="00A02701">
        <w:rPr>
          <w:rFonts w:ascii="Calibri" w:eastAsiaTheme="minorHAnsi" w:cs="Calibri"/>
          <w:lang w:val="en-GB"/>
        </w:rPr>
        <w:t xml:space="preserve">, M., </w:t>
      </w:r>
      <w:proofErr w:type="spellStart"/>
      <w:r w:rsidRPr="00A02701">
        <w:rPr>
          <w:rFonts w:ascii="Calibri" w:eastAsiaTheme="minorHAnsi" w:cs="Calibri"/>
          <w:lang w:val="en-GB"/>
        </w:rPr>
        <w:t>Mäkitalo</w:t>
      </w:r>
      <w:proofErr w:type="spellEnd"/>
      <w:r w:rsidRPr="00A02701">
        <w:rPr>
          <w:rFonts w:ascii="Calibri" w:eastAsiaTheme="minorHAnsi" w:cs="Calibri"/>
          <w:lang w:val="en-GB"/>
        </w:rPr>
        <w:t xml:space="preserve">, N., and </w:t>
      </w:r>
      <w:proofErr w:type="spellStart"/>
      <w:r w:rsidRPr="00A02701">
        <w:rPr>
          <w:rFonts w:ascii="Calibri" w:eastAsiaTheme="minorHAnsi" w:cs="Calibri"/>
          <w:lang w:val="en-GB"/>
        </w:rPr>
        <w:t>Mikkonen</w:t>
      </w:r>
      <w:proofErr w:type="spellEnd"/>
      <w:r w:rsidRPr="00A02701">
        <w:rPr>
          <w:rFonts w:ascii="Calibri" w:eastAsiaTheme="minorHAnsi" w:cs="Calibri"/>
          <w:lang w:val="en-GB"/>
        </w:rPr>
        <w:t xml:space="preserve">, T. (2018) ‘Challenges When Moving from Monolith to Microservice Architecture’, in </w:t>
      </w:r>
      <w:proofErr w:type="spellStart"/>
      <w:r w:rsidRPr="00A02701">
        <w:rPr>
          <w:rFonts w:ascii="Calibri" w:eastAsiaTheme="minorHAnsi" w:cs="Calibri"/>
          <w:lang w:val="en-GB"/>
        </w:rPr>
        <w:t>Garrigós</w:t>
      </w:r>
      <w:proofErr w:type="spellEnd"/>
      <w:r w:rsidRPr="00A02701">
        <w:rPr>
          <w:rFonts w:ascii="Calibri" w:eastAsiaTheme="minorHAnsi" w:cs="Calibri"/>
          <w:lang w:val="en-GB"/>
        </w:rPr>
        <w:t xml:space="preserve">, I. and </w:t>
      </w:r>
      <w:proofErr w:type="spellStart"/>
      <w:r w:rsidRPr="00A02701">
        <w:rPr>
          <w:rFonts w:ascii="Calibri" w:eastAsiaTheme="minorHAnsi" w:cs="Calibri"/>
          <w:lang w:val="en-GB"/>
        </w:rPr>
        <w:t>Wimmer</w:t>
      </w:r>
      <w:proofErr w:type="spellEnd"/>
      <w:r w:rsidRPr="00A02701">
        <w:rPr>
          <w:rFonts w:ascii="Calibri" w:eastAsiaTheme="minorHAnsi" w:cs="Calibri"/>
          <w:lang w:val="en-GB"/>
        </w:rPr>
        <w:t xml:space="preserve">, M., eds, </w:t>
      </w:r>
      <w:r w:rsidRPr="00A02701">
        <w:rPr>
          <w:rFonts w:ascii="Calibri" w:eastAsiaTheme="minorHAnsi" w:cs="Calibri"/>
          <w:i/>
          <w:iCs/>
          <w:lang w:val="en-GB"/>
        </w:rPr>
        <w:t>Current Trends in Web Engineering</w:t>
      </w:r>
      <w:r w:rsidRPr="00A02701">
        <w:rPr>
          <w:rFonts w:ascii="Calibri" w:eastAsiaTheme="minorHAnsi" w:cs="Calibri"/>
          <w:lang w:val="en-GB"/>
        </w:rPr>
        <w:t>, Lecture Notes in Computer Science, Cham: Springer International Publishing, 32–47, available: https://doi.org/10.1007/978-3-319-74433-9_3.</w:t>
      </w:r>
    </w:p>
    <w:p w14:paraId="79A730F3"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Karthik Reddy </w:t>
      </w:r>
      <w:proofErr w:type="spellStart"/>
      <w:r w:rsidRPr="00A02701">
        <w:rPr>
          <w:rFonts w:ascii="Calibri" w:eastAsiaTheme="minorHAnsi" w:cs="Calibri"/>
          <w:lang w:val="en-GB"/>
        </w:rPr>
        <w:t>Thondalapally</w:t>
      </w:r>
      <w:proofErr w:type="spellEnd"/>
      <w:r w:rsidRPr="00A02701">
        <w:rPr>
          <w:rFonts w:ascii="Calibri" w:eastAsiaTheme="minorHAnsi" w:cs="Calibri"/>
          <w:lang w:val="en-GB"/>
        </w:rPr>
        <w:t xml:space="preserve"> (2025) ‘Event-Driven Architectures: The Foundation of Modern Distributed Systems’, </w:t>
      </w:r>
      <w:r w:rsidRPr="00A02701">
        <w:rPr>
          <w:rFonts w:ascii="Calibri" w:eastAsiaTheme="minorHAnsi" w:cs="Calibri"/>
          <w:i/>
          <w:iCs/>
          <w:lang w:val="en-GB"/>
        </w:rPr>
        <w:t>International Journal on Science and Technology</w:t>
      </w:r>
      <w:r w:rsidRPr="00A02701">
        <w:rPr>
          <w:rFonts w:ascii="Calibri" w:eastAsiaTheme="minorHAnsi" w:cs="Calibri"/>
          <w:lang w:val="en-GB"/>
        </w:rPr>
        <w:t>, 16(1), 2907, available: https://doi.org/10.71097/IJSAT.v16.i1.2907.</w:t>
      </w:r>
    </w:p>
    <w:p w14:paraId="1E0DDE01"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Kasaram</w:t>
      </w:r>
      <w:proofErr w:type="spellEnd"/>
      <w:r w:rsidRPr="00A02701">
        <w:rPr>
          <w:rFonts w:ascii="Calibri" w:eastAsiaTheme="minorHAnsi" w:cs="Calibri"/>
          <w:lang w:val="en-GB"/>
        </w:rPr>
        <w:t xml:space="preserve">, C.R. (2023) ‘Harnessing Asynchronous Patterns with Event Driven Kafka and Microservices Architectures’, </w:t>
      </w:r>
      <w:r w:rsidRPr="00A02701">
        <w:rPr>
          <w:rFonts w:ascii="Calibri" w:eastAsiaTheme="minorHAnsi" w:cs="Calibri"/>
          <w:i/>
          <w:iCs/>
          <w:lang w:val="en-GB"/>
        </w:rPr>
        <w:t>Journal of Artificial Intelligence &amp; Cloud Computing</w:t>
      </w:r>
      <w:r w:rsidRPr="00A02701">
        <w:rPr>
          <w:rFonts w:ascii="Calibri" w:eastAsiaTheme="minorHAnsi" w:cs="Calibri"/>
          <w:lang w:val="en-GB"/>
        </w:rPr>
        <w:t>, 2(4), 1, available: https://doi.org/10.47363/JAICC/2023(2)502.</w:t>
      </w:r>
    </w:p>
    <w:p w14:paraId="150A8C6E"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Kiani</w:t>
      </w:r>
      <w:proofErr w:type="spellEnd"/>
      <w:r w:rsidRPr="00A02701">
        <w:rPr>
          <w:rFonts w:ascii="Calibri" w:eastAsiaTheme="minorHAnsi" w:cs="Calibri"/>
          <w:lang w:val="en-GB"/>
        </w:rPr>
        <w:t xml:space="preserve">, A.A., Sarwar, A., Arshad, H., Bibi, A., Ahmad, F.B., and Ahmed, W. (2024) ‘Catalysing Monolithic to </w:t>
      </w:r>
      <w:proofErr w:type="spellStart"/>
      <w:r w:rsidRPr="00A02701">
        <w:rPr>
          <w:rFonts w:ascii="Calibri" w:eastAsiaTheme="minorHAnsi" w:cs="Calibri"/>
          <w:lang w:val="en-GB"/>
        </w:rPr>
        <w:t>Microsevices</w:t>
      </w:r>
      <w:proofErr w:type="spellEnd"/>
      <w:r w:rsidRPr="00A02701">
        <w:rPr>
          <w:rFonts w:ascii="Calibri" w:eastAsiaTheme="minorHAnsi" w:cs="Calibri"/>
          <w:lang w:val="en-GB"/>
        </w:rPr>
        <w:t xml:space="preserve"> Migration: A Strategic Approach Using Refactoring and Pilot Projects’, in </w:t>
      </w:r>
      <w:r w:rsidRPr="00A02701">
        <w:rPr>
          <w:rFonts w:ascii="Calibri" w:eastAsiaTheme="minorHAnsi" w:cs="Calibri"/>
          <w:i/>
          <w:iCs/>
          <w:lang w:val="en-GB"/>
        </w:rPr>
        <w:t>2024 International Conference on Engineering &amp;amp; Computing Technologies (ICECT)</w:t>
      </w:r>
      <w:r w:rsidRPr="00A02701">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50BA170D"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Laigner</w:t>
      </w:r>
      <w:proofErr w:type="spellEnd"/>
      <w:r w:rsidRPr="00A02701">
        <w:rPr>
          <w:rFonts w:ascii="Calibri" w:eastAsiaTheme="minorHAnsi" w:cs="Calibri"/>
          <w:lang w:val="en-GB"/>
        </w:rPr>
        <w:t xml:space="preserve">, R., Almeida, A.C., </w:t>
      </w:r>
      <w:proofErr w:type="spellStart"/>
      <w:r w:rsidRPr="00A02701">
        <w:rPr>
          <w:rFonts w:ascii="Calibri" w:eastAsiaTheme="minorHAnsi" w:cs="Calibri"/>
          <w:lang w:val="en-GB"/>
        </w:rPr>
        <w:t>Assunção</w:t>
      </w:r>
      <w:proofErr w:type="spellEnd"/>
      <w:r w:rsidRPr="00A02701">
        <w:rPr>
          <w:rFonts w:ascii="Calibri" w:eastAsiaTheme="minorHAnsi" w:cs="Calibri"/>
          <w:lang w:val="en-GB"/>
        </w:rPr>
        <w:t>, W.K.G., and Zhou, Y. (2024) ‘An Empirical Study on Challenges of Event Management in Microservice Architectures’, available: https://doi.org/10.48550/arXiv.2408.00440.</w:t>
      </w:r>
    </w:p>
    <w:p w14:paraId="0E132551"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Macías</w:t>
      </w:r>
      <w:proofErr w:type="spellEnd"/>
      <w:r w:rsidRPr="00A02701">
        <w:rPr>
          <w:rFonts w:ascii="Calibri" w:eastAsiaTheme="minorHAnsi" w:cs="Calibri"/>
          <w:lang w:val="en-GB"/>
        </w:rPr>
        <w:t xml:space="preserve">, A., Navarro, E., Cuesta, C.E., and Zdun, U. (2023) ‘Architecting Digital Twins Using a Domain-Driven Design-Based Approach*’, in </w:t>
      </w:r>
      <w:r w:rsidRPr="00A02701">
        <w:rPr>
          <w:rFonts w:ascii="Calibri" w:eastAsiaTheme="minorHAnsi" w:cs="Calibri"/>
          <w:i/>
          <w:iCs/>
          <w:lang w:val="en-GB"/>
        </w:rPr>
        <w:t>2023 IEEE 20th International Conference on Software Architecture (ICSA)</w:t>
      </w:r>
      <w:r w:rsidRPr="00A02701">
        <w:rPr>
          <w:rFonts w:ascii="Calibri" w:eastAsiaTheme="minorHAnsi" w:cs="Calibri"/>
          <w:lang w:val="en-GB"/>
        </w:rPr>
        <w:t>, Presented at the 2023 IEEE 20th International Conference on Software Architecture (ICSA), L’Aquila, Italy: IEEE, 153–163, available: https://doi.org/10.1109/ICSA56044.2023.00022.</w:t>
      </w:r>
    </w:p>
    <w:p w14:paraId="0F8B54D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McIlroy, M.D., Pinson, E.N., and Tague, B.A. (1978) ‘UNIX Time-Sharing System: Foreword’, </w:t>
      </w:r>
      <w:r w:rsidRPr="00A02701">
        <w:rPr>
          <w:rFonts w:ascii="Calibri" w:eastAsiaTheme="minorHAnsi" w:cs="Calibri"/>
          <w:i/>
          <w:iCs/>
          <w:lang w:val="en-GB"/>
        </w:rPr>
        <w:t>Bell System Technical Journal</w:t>
      </w:r>
      <w:r w:rsidRPr="00A02701">
        <w:rPr>
          <w:rFonts w:ascii="Calibri" w:eastAsiaTheme="minorHAnsi" w:cs="Calibri"/>
          <w:lang w:val="en-GB"/>
        </w:rPr>
        <w:t>, 57(6), 1899–1904, available: https://doi.org/10.1002/j.1538-7305.1978.tb02135.x.</w:t>
      </w:r>
    </w:p>
    <w:p w14:paraId="6F438437"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Mishra, R., Jaiswal, N., Prakash, R., and </w:t>
      </w:r>
      <w:proofErr w:type="spellStart"/>
      <w:r w:rsidRPr="00A02701">
        <w:rPr>
          <w:rFonts w:ascii="Calibri" w:eastAsiaTheme="minorHAnsi" w:cs="Calibri"/>
          <w:lang w:val="en-GB"/>
        </w:rPr>
        <w:t>Barwal</w:t>
      </w:r>
      <w:proofErr w:type="spellEnd"/>
      <w:r w:rsidRPr="00A02701">
        <w:rPr>
          <w:rFonts w:ascii="Calibri" w:eastAsiaTheme="minorHAnsi" w:cs="Calibri"/>
          <w:lang w:val="en-GB"/>
        </w:rPr>
        <w:t xml:space="preserve">, P.N. (2022) ‘Transition from Monolithic to Microservices Architecture: Need and proposed pipeline’, in </w:t>
      </w:r>
      <w:r w:rsidRPr="00A02701">
        <w:rPr>
          <w:rFonts w:ascii="Calibri" w:eastAsiaTheme="minorHAnsi" w:cs="Calibri"/>
          <w:i/>
          <w:iCs/>
          <w:lang w:val="en-GB"/>
        </w:rPr>
        <w:t>2022 International Conference on Futuristic Technologies (INCOFT)</w:t>
      </w:r>
      <w:r w:rsidRPr="00A02701">
        <w:rPr>
          <w:rFonts w:ascii="Calibri" w:eastAsiaTheme="minorHAnsi" w:cs="Calibri"/>
          <w:lang w:val="en-GB"/>
        </w:rPr>
        <w:t>, Presented at the 2022 International Conference on Futuristic Technologies (INCOFT), Belgaum, India: IEEE, 1–6, available: https://doi.org/10.1109/INCOFT55651.2022.10094556.</w:t>
      </w:r>
    </w:p>
    <w:p w14:paraId="0C341B55"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Miyachi, C. (2021) ‘The Rise of Kubernetes’, in </w:t>
      </w:r>
      <w:r w:rsidRPr="00A02701">
        <w:rPr>
          <w:rFonts w:ascii="Calibri" w:eastAsiaTheme="minorHAnsi" w:cs="Calibri"/>
          <w:i/>
          <w:iCs/>
          <w:lang w:val="en-GB"/>
        </w:rPr>
        <w:t>2021 Cloud Continuum</w:t>
      </w:r>
      <w:r w:rsidRPr="00A02701">
        <w:rPr>
          <w:rFonts w:ascii="Calibri" w:eastAsiaTheme="minorHAnsi" w:cs="Calibri"/>
          <w:lang w:val="en-GB"/>
        </w:rPr>
        <w:t>, Presented at the 2021 Cloud Continuum, Los Alamitos, CA, USA: IEEE, 1–5, available: https://doi.org/10.1109/CloudContinuum54760.2021.00002.</w:t>
      </w:r>
    </w:p>
    <w:p w14:paraId="46094E57"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Myllynen</w:t>
      </w:r>
      <w:proofErr w:type="spellEnd"/>
      <w:r w:rsidRPr="00A02701">
        <w:rPr>
          <w:rFonts w:ascii="Calibri" w:eastAsiaTheme="minorHAnsi" w:cs="Calibri"/>
          <w:lang w:val="en-GB"/>
        </w:rPr>
        <w:t xml:space="preserve">, T., Kamau, E., Mustapha, S.D., Babatunde, G.O., and Alabi, A.A. (2023) ‘Developing a Conceptual Model for Cross-Domain Microservices Using Event-Driven and Domain-Driven Design’, </w:t>
      </w:r>
      <w:r w:rsidRPr="00A02701">
        <w:rPr>
          <w:rFonts w:ascii="Calibri" w:eastAsiaTheme="minorHAnsi" w:cs="Calibri"/>
          <w:i/>
          <w:iCs/>
          <w:lang w:val="en-GB"/>
        </w:rPr>
        <w:t>International Journal of Multidisciplinary Research and Growth Evaluation</w:t>
      </w:r>
      <w:r w:rsidRPr="00A02701">
        <w:rPr>
          <w:rFonts w:ascii="Calibri" w:eastAsiaTheme="minorHAnsi" w:cs="Calibri"/>
          <w:lang w:val="en-GB"/>
        </w:rPr>
        <w:t>, 4(1), 635–638, available: https://doi.org/10.54660/.IJMRGE.2023.4.1.635-638.</w:t>
      </w:r>
    </w:p>
    <w:p w14:paraId="6E0F3DDD"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Otsetova</w:t>
      </w:r>
      <w:proofErr w:type="spellEnd"/>
      <w:r w:rsidRPr="00A02701">
        <w:rPr>
          <w:rFonts w:ascii="Calibri" w:eastAsiaTheme="minorHAnsi" w:cs="Calibri"/>
          <w:lang w:val="en-GB"/>
        </w:rPr>
        <w:t xml:space="preserve">, A. (2019) ‘Postal Sector Transformation in Digital Economy’, </w:t>
      </w:r>
      <w:r w:rsidRPr="00A02701">
        <w:rPr>
          <w:rFonts w:ascii="Calibri" w:eastAsiaTheme="minorHAnsi" w:cs="Calibri"/>
          <w:i/>
          <w:iCs/>
          <w:lang w:val="en-GB"/>
        </w:rPr>
        <w:t>International Journal</w:t>
      </w:r>
      <w:r w:rsidRPr="00A02701">
        <w:rPr>
          <w:rFonts w:ascii="Calibri" w:eastAsiaTheme="minorHAnsi" w:cs="Calibri"/>
          <w:lang w:val="en-GB"/>
        </w:rPr>
        <w:t>, 8(2).</w:t>
      </w:r>
    </w:p>
    <w:p w14:paraId="59C53474"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Oumoussa</w:t>
      </w:r>
      <w:proofErr w:type="spellEnd"/>
      <w:r w:rsidRPr="00A02701">
        <w:rPr>
          <w:rFonts w:ascii="Calibri" w:eastAsiaTheme="minorHAnsi" w:cs="Calibri"/>
          <w:lang w:val="en-GB"/>
        </w:rPr>
        <w:t xml:space="preserve">, I. and </w:t>
      </w:r>
      <w:proofErr w:type="spellStart"/>
      <w:r w:rsidRPr="00A02701">
        <w:rPr>
          <w:rFonts w:ascii="Calibri" w:eastAsiaTheme="minorHAnsi" w:cs="Calibri"/>
          <w:lang w:val="en-GB"/>
        </w:rPr>
        <w:t>Saidi</w:t>
      </w:r>
      <w:proofErr w:type="spellEnd"/>
      <w:r w:rsidRPr="00A02701">
        <w:rPr>
          <w:rFonts w:ascii="Calibri" w:eastAsiaTheme="minorHAnsi" w:cs="Calibri"/>
          <w:lang w:val="en-GB"/>
        </w:rPr>
        <w:t xml:space="preserve">, R. (2024) ‘Evolution of Microservices Identification in Monolith Decomposition: A Systematic Review’, </w:t>
      </w:r>
      <w:r w:rsidRPr="00A02701">
        <w:rPr>
          <w:rFonts w:ascii="Calibri" w:eastAsiaTheme="minorHAnsi" w:cs="Calibri"/>
          <w:i/>
          <w:iCs/>
          <w:lang w:val="en-GB"/>
        </w:rPr>
        <w:t>IEEE Access</w:t>
      </w:r>
      <w:r w:rsidRPr="00A02701">
        <w:rPr>
          <w:rFonts w:ascii="Calibri" w:eastAsiaTheme="minorHAnsi" w:cs="Calibri"/>
          <w:lang w:val="en-GB"/>
        </w:rPr>
        <w:t>, 12, 23389–23405, available: https://doi.org/10.1109/ACCESS.2024.3365079.</w:t>
      </w:r>
    </w:p>
    <w:p w14:paraId="7D7A3901"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Pallempati</w:t>
      </w:r>
      <w:proofErr w:type="spellEnd"/>
      <w:r w:rsidRPr="00A02701">
        <w:rPr>
          <w:rFonts w:ascii="Calibri" w:eastAsiaTheme="minorHAnsi" w:cs="Calibri"/>
          <w:lang w:val="en-GB"/>
        </w:rPr>
        <w:t xml:space="preserve">, I., Lakshmi, D.V., and Das, M.S. (2024) ‘Handwritten Character Recognition and Vehicle Number Recognition using OCR Method’, in </w:t>
      </w:r>
      <w:r w:rsidRPr="00A02701">
        <w:rPr>
          <w:rFonts w:ascii="Calibri" w:eastAsiaTheme="minorHAnsi" w:cs="Calibri"/>
          <w:i/>
          <w:iCs/>
          <w:lang w:val="en-GB"/>
        </w:rPr>
        <w:t>2024 Third International Conference on Trends in Electrical, Electronics, and Computer Engineering (TEECCON)</w:t>
      </w:r>
      <w:r w:rsidRPr="00A02701">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54E9C6A9"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Platunina</w:t>
      </w:r>
      <w:proofErr w:type="spellEnd"/>
      <w:r w:rsidRPr="00A02701">
        <w:rPr>
          <w:rFonts w:ascii="Calibri" w:eastAsiaTheme="minorHAnsi" w:cs="Calibri"/>
          <w:lang w:val="en-GB"/>
        </w:rPr>
        <w:t xml:space="preserve">, G.P., </w:t>
      </w:r>
      <w:proofErr w:type="spellStart"/>
      <w:r w:rsidRPr="00A02701">
        <w:rPr>
          <w:rFonts w:ascii="Calibri" w:eastAsiaTheme="minorHAnsi" w:cs="Calibri"/>
          <w:lang w:val="en-GB"/>
        </w:rPr>
        <w:t>Salutina</w:t>
      </w:r>
      <w:proofErr w:type="spellEnd"/>
      <w:r w:rsidRPr="00A02701">
        <w:rPr>
          <w:rFonts w:ascii="Calibri" w:eastAsiaTheme="minorHAnsi" w:cs="Calibri"/>
          <w:lang w:val="en-GB"/>
        </w:rPr>
        <w:t xml:space="preserve">, T.Y., </w:t>
      </w:r>
      <w:proofErr w:type="spellStart"/>
      <w:r w:rsidRPr="00A02701">
        <w:rPr>
          <w:rFonts w:ascii="Calibri" w:eastAsiaTheme="minorHAnsi" w:cs="Calibri"/>
          <w:lang w:val="en-GB"/>
        </w:rPr>
        <w:t>Gnezdova</w:t>
      </w:r>
      <w:proofErr w:type="spellEnd"/>
      <w:r w:rsidRPr="00A02701">
        <w:rPr>
          <w:rFonts w:ascii="Calibri" w:eastAsiaTheme="minorHAnsi" w:cs="Calibri"/>
          <w:lang w:val="en-GB"/>
        </w:rPr>
        <w:t xml:space="preserve">, Y.V., and Frank, I.A. (2025) ‘Technological controlling: digital transformation of management decisions’, in </w:t>
      </w:r>
      <w:r w:rsidRPr="00A02701">
        <w:rPr>
          <w:rFonts w:ascii="Calibri" w:eastAsiaTheme="minorHAnsi" w:cs="Calibri"/>
          <w:i/>
          <w:iCs/>
          <w:lang w:val="en-GB"/>
        </w:rPr>
        <w:t xml:space="preserve">2025 International Conference on Engineering </w:t>
      </w:r>
      <w:r w:rsidRPr="00A02701">
        <w:rPr>
          <w:rFonts w:ascii="Calibri" w:eastAsiaTheme="minorHAnsi" w:cs="Calibri"/>
          <w:i/>
          <w:iCs/>
          <w:lang w:val="en-GB"/>
        </w:rPr>
        <w:lastRenderedPageBreak/>
        <w:t>Management of Communication and Technology (EMCTECH)</w:t>
      </w:r>
      <w:r w:rsidRPr="00A02701">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27771F6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Qi, J., Li, S., Wang, H., Yuan, S., Li, P., Qian, H., Liu, Z., and He, X. (2023) ‘Critical System Design Based on High Availability Cluster Technology’, in </w:t>
      </w:r>
      <w:r w:rsidRPr="00A02701">
        <w:rPr>
          <w:rFonts w:ascii="Calibri" w:eastAsiaTheme="minorHAnsi" w:cs="Calibri"/>
          <w:i/>
          <w:iCs/>
          <w:lang w:val="en-GB"/>
        </w:rPr>
        <w:t>2023 4th International Conference on Big Data &amp; Artificial Intelligence &amp; Software Engineering (ICBASE)</w:t>
      </w:r>
      <w:r w:rsidRPr="00A02701">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1FFD973B"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Samambet</w:t>
      </w:r>
      <w:proofErr w:type="spellEnd"/>
      <w:r w:rsidRPr="00A02701">
        <w:rPr>
          <w:rFonts w:ascii="Calibri" w:eastAsiaTheme="minorHAnsi" w:cs="Calibri"/>
          <w:lang w:val="en-GB"/>
        </w:rPr>
        <w:t xml:space="preserve">, M. and </w:t>
      </w:r>
      <w:proofErr w:type="spellStart"/>
      <w:r w:rsidRPr="00A02701">
        <w:rPr>
          <w:rFonts w:ascii="Calibri" w:eastAsiaTheme="minorHAnsi" w:cs="Calibri"/>
          <w:lang w:val="en-GB"/>
        </w:rPr>
        <w:t>Khouangvichit</w:t>
      </w:r>
      <w:proofErr w:type="spellEnd"/>
      <w:r w:rsidRPr="00A02701">
        <w:rPr>
          <w:rFonts w:ascii="Calibri" w:eastAsiaTheme="minorHAnsi" w:cs="Calibri"/>
          <w:lang w:val="en-GB"/>
        </w:rPr>
        <w:t xml:space="preserve">, C. (2025) ‘OUTSMARTING THE HURDLES TO DIGITALIZING THE POSTAL SECTOR: THE CASE OF DEUTSCHE POST, POSTE ITALIANE, AND ROYAL MAIL’, </w:t>
      </w:r>
      <w:r w:rsidRPr="00A02701">
        <w:rPr>
          <w:rFonts w:ascii="Calibri" w:eastAsiaTheme="minorHAnsi" w:cs="Calibri"/>
          <w:i/>
          <w:iCs/>
          <w:lang w:val="en-GB"/>
        </w:rPr>
        <w:t>International Journal of Professional Business Review</w:t>
      </w:r>
      <w:r w:rsidRPr="00A02701">
        <w:rPr>
          <w:rFonts w:ascii="Calibri" w:eastAsiaTheme="minorHAnsi" w:cs="Calibri"/>
          <w:lang w:val="en-GB"/>
        </w:rPr>
        <w:t>, 10(3), e05355, available: https://doi.org/10.26668/businessreview/2025.v10i3.5355.</w:t>
      </w:r>
    </w:p>
    <w:p w14:paraId="5E9F64DC"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Saxena, A., Singh, S., Prakash, S., Yang, T., and Rathore, R.S. (2024) ‘DevOps Automation Pipeline Deployment with </w:t>
      </w:r>
      <w:proofErr w:type="spellStart"/>
      <w:r w:rsidRPr="00A02701">
        <w:rPr>
          <w:rFonts w:ascii="Calibri" w:eastAsiaTheme="minorHAnsi" w:cs="Calibri"/>
          <w:lang w:val="en-GB"/>
        </w:rPr>
        <w:t>IaC</w:t>
      </w:r>
      <w:proofErr w:type="spellEnd"/>
      <w:r w:rsidRPr="00A02701">
        <w:rPr>
          <w:rFonts w:ascii="Calibri" w:eastAsiaTheme="minorHAnsi" w:cs="Calibri"/>
          <w:lang w:val="en-GB"/>
        </w:rPr>
        <w:t xml:space="preserve"> (Infrastructure as Code)’, in </w:t>
      </w:r>
      <w:r w:rsidRPr="00A02701">
        <w:rPr>
          <w:rFonts w:ascii="Calibri" w:eastAsiaTheme="minorHAnsi" w:cs="Calibri"/>
          <w:i/>
          <w:iCs/>
          <w:lang w:val="en-GB"/>
        </w:rPr>
        <w:t xml:space="preserve">2024 IEEE </w:t>
      </w:r>
      <w:proofErr w:type="spellStart"/>
      <w:r w:rsidRPr="00A02701">
        <w:rPr>
          <w:rFonts w:ascii="Calibri" w:eastAsiaTheme="minorHAnsi" w:cs="Calibri"/>
          <w:i/>
          <w:iCs/>
          <w:lang w:val="en-GB"/>
        </w:rPr>
        <w:t>Silchar</w:t>
      </w:r>
      <w:proofErr w:type="spellEnd"/>
      <w:r w:rsidRPr="00A02701">
        <w:rPr>
          <w:rFonts w:ascii="Calibri" w:eastAsiaTheme="minorHAnsi" w:cs="Calibri"/>
          <w:i/>
          <w:iCs/>
          <w:lang w:val="en-GB"/>
        </w:rPr>
        <w:t xml:space="preserve"> Subsection Conference (SILCON 2024)</w:t>
      </w:r>
      <w:r w:rsidRPr="00A02701">
        <w:rPr>
          <w:rFonts w:ascii="Calibri" w:eastAsiaTheme="minorHAnsi" w:cs="Calibri"/>
          <w:lang w:val="en-GB"/>
        </w:rPr>
        <w:t xml:space="preserve">, Presented at the 2024 IEEE </w:t>
      </w:r>
      <w:proofErr w:type="spellStart"/>
      <w:r w:rsidRPr="00A02701">
        <w:rPr>
          <w:rFonts w:ascii="Calibri" w:eastAsiaTheme="minorHAnsi" w:cs="Calibri"/>
          <w:lang w:val="en-GB"/>
        </w:rPr>
        <w:t>Silchar</w:t>
      </w:r>
      <w:proofErr w:type="spellEnd"/>
      <w:r w:rsidRPr="00A02701">
        <w:rPr>
          <w:rFonts w:ascii="Calibri" w:eastAsiaTheme="minorHAnsi" w:cs="Calibri"/>
          <w:lang w:val="en-GB"/>
        </w:rPr>
        <w:t xml:space="preserve"> Subsection Conference (SILCON), Agartala, India: IEEE, 1–6, available: https://doi.org/10.1109/SILCON63976.2024.10910699.</w:t>
      </w:r>
    </w:p>
    <w:p w14:paraId="23ED2F21"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Sharavova</w:t>
      </w:r>
      <w:proofErr w:type="spellEnd"/>
      <w:r w:rsidRPr="00A02701">
        <w:rPr>
          <w:rFonts w:ascii="Calibri" w:eastAsiaTheme="minorHAnsi" w:cs="Calibri"/>
          <w:lang w:val="en-GB"/>
        </w:rPr>
        <w:t xml:space="preserve">, O.I., </w:t>
      </w:r>
      <w:proofErr w:type="spellStart"/>
      <w:r w:rsidRPr="00A02701">
        <w:rPr>
          <w:rFonts w:ascii="Calibri" w:eastAsiaTheme="minorHAnsi" w:cs="Calibri"/>
          <w:lang w:val="en-GB"/>
        </w:rPr>
        <w:t>Sharavova</w:t>
      </w:r>
      <w:proofErr w:type="spellEnd"/>
      <w:r w:rsidRPr="00A02701">
        <w:rPr>
          <w:rFonts w:ascii="Calibri" w:eastAsiaTheme="minorHAnsi" w:cs="Calibri"/>
          <w:lang w:val="en-GB"/>
        </w:rPr>
        <w:t xml:space="preserve">, M.M., </w:t>
      </w:r>
      <w:proofErr w:type="spellStart"/>
      <w:r w:rsidRPr="00A02701">
        <w:rPr>
          <w:rFonts w:ascii="Calibri" w:eastAsiaTheme="minorHAnsi" w:cs="Calibri"/>
          <w:lang w:val="en-GB"/>
        </w:rPr>
        <w:t>Kuzovkova</w:t>
      </w:r>
      <w:proofErr w:type="spellEnd"/>
      <w:r w:rsidRPr="00A02701">
        <w:rPr>
          <w:rFonts w:ascii="Calibri" w:eastAsiaTheme="minorHAnsi" w:cs="Calibri"/>
          <w:lang w:val="en-GB"/>
        </w:rPr>
        <w:t xml:space="preserve">, T.A., and </w:t>
      </w:r>
      <w:proofErr w:type="spellStart"/>
      <w:r w:rsidRPr="00A02701">
        <w:rPr>
          <w:rFonts w:ascii="Calibri" w:eastAsiaTheme="minorHAnsi" w:cs="Calibri"/>
          <w:lang w:val="en-GB"/>
        </w:rPr>
        <w:t>Zholtikova</w:t>
      </w:r>
      <w:proofErr w:type="spellEnd"/>
      <w:r w:rsidRPr="00A02701">
        <w:rPr>
          <w:rFonts w:ascii="Calibri" w:eastAsiaTheme="minorHAnsi" w:cs="Calibri"/>
          <w:lang w:val="en-GB"/>
        </w:rPr>
        <w:t xml:space="preserve">, P.A. (2025) ‘Digital Transformation and the Evolution of its Socio-Economic Consequences’, in </w:t>
      </w:r>
      <w:r w:rsidRPr="00A02701">
        <w:rPr>
          <w:rFonts w:ascii="Calibri" w:eastAsiaTheme="minorHAnsi" w:cs="Calibri"/>
          <w:i/>
          <w:iCs/>
          <w:lang w:val="en-GB"/>
        </w:rPr>
        <w:t>2025 International Conference on Engineering Management of Communication and Technology (EMCTECH)</w:t>
      </w:r>
      <w:r w:rsidRPr="00A02701">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5D35CB58"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Solanki, J.M. (2026) ‘AI Driven Multi Cloud Strategies for Financial Services: Ensuring High Availability with AWS and Kubernetes’, in </w:t>
      </w:r>
      <w:r w:rsidRPr="00A02701">
        <w:rPr>
          <w:rFonts w:ascii="Calibri" w:eastAsiaTheme="minorHAnsi" w:cs="Calibri"/>
          <w:i/>
          <w:iCs/>
          <w:lang w:val="en-GB"/>
        </w:rPr>
        <w:t>2026 IEEE 5th International Conference on AI in Cybersecurity (ICAIC)</w:t>
      </w:r>
      <w:r w:rsidRPr="00A02701">
        <w:rPr>
          <w:rFonts w:ascii="Calibri" w:eastAsiaTheme="minorHAnsi" w:cs="Calibri"/>
          <w:lang w:val="en-GB"/>
        </w:rPr>
        <w:t>, Presented at the 2026 IEEE 5th International Conference on AI in Cybersecurity (ICAIC), Houston, TX, USA: IEEE, 1–5, available: https://doi.org/10.1109/ICAIC67076.2026.11395684.</w:t>
      </w:r>
    </w:p>
    <w:p w14:paraId="73C6DE4F"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Tcukanova</w:t>
      </w:r>
      <w:proofErr w:type="spellEnd"/>
      <w:r w:rsidRPr="00A02701">
        <w:rPr>
          <w:rFonts w:ascii="Calibri" w:eastAsiaTheme="minorHAnsi" w:cs="Calibri"/>
          <w:lang w:val="en-GB"/>
        </w:rPr>
        <w:t xml:space="preserve">, O.A., Torosyan, E.K., </w:t>
      </w:r>
      <w:proofErr w:type="spellStart"/>
      <w:r w:rsidRPr="00A02701">
        <w:rPr>
          <w:rFonts w:ascii="Calibri" w:eastAsiaTheme="minorHAnsi" w:cs="Calibri"/>
          <w:lang w:val="en-GB"/>
        </w:rPr>
        <w:t>Kiykova</w:t>
      </w:r>
      <w:proofErr w:type="spellEnd"/>
      <w:r w:rsidRPr="00A02701">
        <w:rPr>
          <w:rFonts w:ascii="Calibri" w:eastAsiaTheme="minorHAnsi" w:cs="Calibri"/>
          <w:lang w:val="en-GB"/>
        </w:rPr>
        <w:t xml:space="preserve">, D.A., and </w:t>
      </w:r>
      <w:proofErr w:type="spellStart"/>
      <w:r w:rsidRPr="00A02701">
        <w:rPr>
          <w:rFonts w:ascii="Calibri" w:eastAsiaTheme="minorHAnsi" w:cs="Calibri"/>
          <w:lang w:val="en-GB"/>
        </w:rPr>
        <w:t>Panteleev</w:t>
      </w:r>
      <w:proofErr w:type="spellEnd"/>
      <w:r w:rsidRPr="00A02701">
        <w:rPr>
          <w:rFonts w:ascii="Calibri" w:eastAsiaTheme="minorHAnsi" w:cs="Calibri"/>
          <w:lang w:val="en-GB"/>
        </w:rPr>
        <w:t xml:space="preserve">, M.V. (2022) ‘Features of Managing the Digital Transformation of Medical Institutions’, in </w:t>
      </w:r>
      <w:r w:rsidRPr="00A02701">
        <w:rPr>
          <w:rFonts w:ascii="Calibri" w:eastAsiaTheme="minorHAnsi" w:cs="Calibri"/>
          <w:i/>
          <w:iCs/>
          <w:lang w:val="en-GB"/>
        </w:rPr>
        <w:t>2022 International Conference on Quality Management, Transport and Information Security, Information Technologies (IT&amp;QM&amp;IS)</w:t>
      </w:r>
      <w:r w:rsidRPr="00A02701">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2F4B79C2"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The Open Group (2022a) </w:t>
      </w:r>
      <w:r w:rsidRPr="00A02701">
        <w:rPr>
          <w:rFonts w:ascii="Calibri" w:eastAsiaTheme="minorHAnsi" w:cs="Calibri"/>
          <w:i/>
          <w:iCs/>
          <w:lang w:val="en-GB"/>
        </w:rPr>
        <w:t>TOGAF® Standard – Introduction and Core Concepts</w:t>
      </w:r>
      <w:r w:rsidRPr="00A02701">
        <w:rPr>
          <w:rFonts w:ascii="Calibri" w:eastAsiaTheme="minorHAnsi" w:cs="Calibri"/>
          <w:lang w:val="en-GB"/>
        </w:rPr>
        <w:t xml:space="preserve">, 10th </w:t>
      </w:r>
      <w:proofErr w:type="spellStart"/>
      <w:r w:rsidRPr="00A02701">
        <w:rPr>
          <w:rFonts w:ascii="Calibri" w:eastAsiaTheme="minorHAnsi" w:cs="Calibri"/>
          <w:lang w:val="en-GB"/>
        </w:rPr>
        <w:t>edn</w:t>
      </w:r>
      <w:proofErr w:type="spellEnd"/>
      <w:r w:rsidRPr="00A02701">
        <w:rPr>
          <w:rFonts w:ascii="Calibri" w:eastAsiaTheme="minorHAnsi" w:cs="Calibri"/>
          <w:lang w:val="en-GB"/>
        </w:rPr>
        <w:t>.</w:t>
      </w:r>
    </w:p>
    <w:p w14:paraId="7D8AC118"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The Open Group (2022b) </w:t>
      </w:r>
      <w:r w:rsidRPr="00A02701">
        <w:rPr>
          <w:rFonts w:ascii="Calibri" w:eastAsiaTheme="minorHAnsi" w:cs="Calibri"/>
          <w:i/>
          <w:iCs/>
          <w:lang w:val="en-GB"/>
        </w:rPr>
        <w:t>TOGAF® Standard — Architecture Development Method</w:t>
      </w:r>
      <w:r w:rsidRPr="00A02701">
        <w:rPr>
          <w:rFonts w:ascii="Calibri" w:eastAsiaTheme="minorHAnsi" w:cs="Calibri"/>
          <w:lang w:val="en-GB"/>
        </w:rPr>
        <w:t xml:space="preserve">, 10th </w:t>
      </w:r>
      <w:proofErr w:type="spellStart"/>
      <w:r w:rsidRPr="00A02701">
        <w:rPr>
          <w:rFonts w:ascii="Calibri" w:eastAsiaTheme="minorHAnsi" w:cs="Calibri"/>
          <w:lang w:val="en-GB"/>
        </w:rPr>
        <w:t>edn</w:t>
      </w:r>
      <w:proofErr w:type="spellEnd"/>
      <w:r w:rsidRPr="00A02701">
        <w:rPr>
          <w:rFonts w:ascii="Calibri" w:eastAsiaTheme="minorHAnsi" w:cs="Calibri"/>
          <w:lang w:val="en-GB"/>
        </w:rPr>
        <w:t>.</w:t>
      </w:r>
    </w:p>
    <w:p w14:paraId="4F1EA9B5"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Vural</w:t>
      </w:r>
      <w:proofErr w:type="spellEnd"/>
      <w:r w:rsidRPr="00A02701">
        <w:rPr>
          <w:rFonts w:ascii="Calibri" w:eastAsiaTheme="minorHAnsi" w:cs="Calibri"/>
          <w:lang w:val="en-GB"/>
        </w:rPr>
        <w:t xml:space="preserve">, H. and </w:t>
      </w:r>
      <w:proofErr w:type="spellStart"/>
      <w:r w:rsidRPr="00A02701">
        <w:rPr>
          <w:rFonts w:ascii="Calibri" w:eastAsiaTheme="minorHAnsi" w:cs="Calibri"/>
          <w:lang w:val="en-GB"/>
        </w:rPr>
        <w:t>Koyuncu</w:t>
      </w:r>
      <w:proofErr w:type="spellEnd"/>
      <w:r w:rsidRPr="00A02701">
        <w:rPr>
          <w:rFonts w:ascii="Calibri" w:eastAsiaTheme="minorHAnsi" w:cs="Calibri"/>
          <w:lang w:val="en-GB"/>
        </w:rPr>
        <w:t xml:space="preserve">, M. (2021) ‘Does Domain-Driven Design Lead to Finding the Optimal Modularity of a Microservice?’, </w:t>
      </w:r>
      <w:r w:rsidRPr="00A02701">
        <w:rPr>
          <w:rFonts w:ascii="Calibri" w:eastAsiaTheme="minorHAnsi" w:cs="Calibri"/>
          <w:i/>
          <w:iCs/>
          <w:lang w:val="en-GB"/>
        </w:rPr>
        <w:t>IEEE Access</w:t>
      </w:r>
      <w:r w:rsidRPr="00A02701">
        <w:rPr>
          <w:rFonts w:ascii="Calibri" w:eastAsiaTheme="minorHAnsi" w:cs="Calibri"/>
          <w:lang w:val="en-GB"/>
        </w:rPr>
        <w:t>, 9, 32721–32733, available: https://doi.org/10.1109/ACCESS.2021.3060895.</w:t>
      </w:r>
    </w:p>
    <w:p w14:paraId="6661657C"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Wolfart</w:t>
      </w:r>
      <w:proofErr w:type="spellEnd"/>
      <w:r w:rsidRPr="00A02701">
        <w:rPr>
          <w:rFonts w:ascii="Calibri" w:eastAsiaTheme="minorHAnsi" w:cs="Calibri"/>
          <w:lang w:val="en-GB"/>
        </w:rPr>
        <w:t xml:space="preserve">, D., </w:t>
      </w:r>
      <w:proofErr w:type="spellStart"/>
      <w:r w:rsidRPr="00A02701">
        <w:rPr>
          <w:rFonts w:ascii="Calibri" w:eastAsiaTheme="minorHAnsi" w:cs="Calibri"/>
          <w:lang w:val="en-GB"/>
        </w:rPr>
        <w:t>Assunção</w:t>
      </w:r>
      <w:proofErr w:type="spellEnd"/>
      <w:r w:rsidRPr="00A02701">
        <w:rPr>
          <w:rFonts w:ascii="Calibri" w:eastAsiaTheme="minorHAnsi" w:cs="Calibri"/>
          <w:lang w:val="en-GB"/>
        </w:rPr>
        <w:t xml:space="preserve">, W.K.G., Da Silva, I.F., </w:t>
      </w:r>
      <w:proofErr w:type="spellStart"/>
      <w:r w:rsidRPr="00A02701">
        <w:rPr>
          <w:rFonts w:ascii="Calibri" w:eastAsiaTheme="minorHAnsi" w:cs="Calibri"/>
          <w:lang w:val="en-GB"/>
        </w:rPr>
        <w:t>Domingos</w:t>
      </w:r>
      <w:proofErr w:type="spellEnd"/>
      <w:r w:rsidRPr="00A02701">
        <w:rPr>
          <w:rFonts w:ascii="Calibri" w:eastAsiaTheme="minorHAnsi" w:cs="Calibri"/>
          <w:lang w:val="en-GB"/>
        </w:rPr>
        <w:t xml:space="preserve">, D.C.P., </w:t>
      </w:r>
      <w:proofErr w:type="spellStart"/>
      <w:r w:rsidRPr="00A02701">
        <w:rPr>
          <w:rFonts w:ascii="Calibri" w:eastAsiaTheme="minorHAnsi" w:cs="Calibri"/>
          <w:lang w:val="en-GB"/>
        </w:rPr>
        <w:t>Schmeing</w:t>
      </w:r>
      <w:proofErr w:type="spellEnd"/>
      <w:r w:rsidRPr="00A02701">
        <w:rPr>
          <w:rFonts w:ascii="Calibri" w:eastAsiaTheme="minorHAnsi" w:cs="Calibri"/>
          <w:lang w:val="en-GB"/>
        </w:rPr>
        <w:t xml:space="preserve">, E., </w:t>
      </w:r>
      <w:proofErr w:type="spellStart"/>
      <w:r w:rsidRPr="00A02701">
        <w:rPr>
          <w:rFonts w:ascii="Calibri" w:eastAsiaTheme="minorHAnsi" w:cs="Calibri"/>
          <w:lang w:val="en-GB"/>
        </w:rPr>
        <w:t>Villaca</w:t>
      </w:r>
      <w:proofErr w:type="spellEnd"/>
      <w:r w:rsidRPr="00A02701">
        <w:rPr>
          <w:rFonts w:ascii="Calibri" w:eastAsiaTheme="minorHAnsi" w:cs="Calibri"/>
          <w:lang w:val="en-GB"/>
        </w:rPr>
        <w:t xml:space="preserve">, G.L.D., and </w:t>
      </w:r>
      <w:proofErr w:type="spellStart"/>
      <w:r w:rsidRPr="00A02701">
        <w:rPr>
          <w:rFonts w:ascii="Calibri" w:eastAsiaTheme="minorHAnsi" w:cs="Calibri"/>
          <w:lang w:val="en-GB"/>
        </w:rPr>
        <w:t>Paza</w:t>
      </w:r>
      <w:proofErr w:type="spellEnd"/>
      <w:r w:rsidRPr="00A02701">
        <w:rPr>
          <w:rFonts w:ascii="Calibri" w:eastAsiaTheme="minorHAnsi" w:cs="Calibri"/>
          <w:lang w:val="en-GB"/>
        </w:rPr>
        <w:t xml:space="preserve">, D.D.N. (2021) ‘Modernizing Legacy Systems with Microservices: A Roadmap’, in </w:t>
      </w:r>
      <w:r w:rsidRPr="00A02701">
        <w:rPr>
          <w:rFonts w:ascii="Calibri" w:eastAsiaTheme="minorHAnsi" w:cs="Calibri"/>
          <w:i/>
          <w:iCs/>
          <w:lang w:val="en-GB"/>
        </w:rPr>
        <w:t>Evaluation and Assessment in Software Engineering</w:t>
      </w:r>
      <w:r w:rsidRPr="00A02701">
        <w:rPr>
          <w:rFonts w:ascii="Calibri" w:eastAsiaTheme="minorHAnsi" w:cs="Calibri"/>
          <w:lang w:val="en-GB"/>
        </w:rPr>
        <w:t>, Presented at the EASE 2021: Evaluation and Assessment in Software Engineering, Trondheim Norway: ACM, 149–159, available: https://doi.org/10.1145/3463274.3463334.</w:t>
      </w:r>
    </w:p>
    <w:p w14:paraId="417F32F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Xu, Y. and Villiers, C. (2025) ‘The takeover of Royal Mail: lessons for the new owners from past corporate governance and trust failures’, </w:t>
      </w:r>
      <w:r w:rsidRPr="00A02701">
        <w:rPr>
          <w:rFonts w:ascii="Calibri" w:eastAsiaTheme="minorHAnsi" w:cs="Calibri"/>
          <w:i/>
          <w:iCs/>
          <w:lang w:val="en-GB"/>
        </w:rPr>
        <w:t>Journal of Corporate Law Studies</w:t>
      </w:r>
      <w:r w:rsidRPr="00A02701">
        <w:rPr>
          <w:rFonts w:ascii="Calibri" w:eastAsiaTheme="minorHAnsi" w:cs="Calibri"/>
          <w:lang w:val="en-GB"/>
        </w:rPr>
        <w:t>, 1–40, available: https://doi.org/10.1080/14735970.2025.2553430.</w:t>
      </w:r>
    </w:p>
    <w:p w14:paraId="47D41829"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Yoder, J.W. and Merson, P. (2020) ‘Strangler Patterns’.</w:t>
      </w:r>
    </w:p>
    <w:p w14:paraId="2EAFA73A"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Zeng, R., </w:t>
      </w:r>
      <w:proofErr w:type="spellStart"/>
      <w:r w:rsidRPr="00A02701">
        <w:rPr>
          <w:rFonts w:ascii="Calibri" w:eastAsiaTheme="minorHAnsi" w:cs="Calibri"/>
          <w:lang w:val="en-GB"/>
        </w:rPr>
        <w:t>Niu</w:t>
      </w:r>
      <w:proofErr w:type="spellEnd"/>
      <w:r w:rsidRPr="00A02701">
        <w:rPr>
          <w:rFonts w:ascii="Calibri" w:eastAsiaTheme="minorHAnsi" w:cs="Calibri"/>
          <w:lang w:val="en-GB"/>
        </w:rPr>
        <w:t xml:space="preserve">, Y., and </w:t>
      </w:r>
      <w:proofErr w:type="spellStart"/>
      <w:r w:rsidRPr="00A02701">
        <w:rPr>
          <w:rFonts w:ascii="Calibri" w:eastAsiaTheme="minorHAnsi" w:cs="Calibri"/>
          <w:lang w:val="en-GB"/>
        </w:rPr>
        <w:t>Qiao</w:t>
      </w:r>
      <w:proofErr w:type="spellEnd"/>
      <w:r w:rsidRPr="00A02701">
        <w:rPr>
          <w:rFonts w:ascii="Calibri" w:eastAsiaTheme="minorHAnsi" w:cs="Calibri"/>
          <w:lang w:val="en-GB"/>
        </w:rPr>
        <w:t xml:space="preserve">, L. (2023) ‘A Novel Construction Technology of Microservice Multi-Instance System Automatic Deployment and Upgrade’, in </w:t>
      </w:r>
      <w:r w:rsidRPr="00A02701">
        <w:rPr>
          <w:rFonts w:ascii="Calibri" w:eastAsiaTheme="minorHAnsi" w:cs="Calibri"/>
          <w:i/>
          <w:iCs/>
          <w:lang w:val="en-GB"/>
        </w:rPr>
        <w:t xml:space="preserve">2023 International Conference on </w:t>
      </w:r>
      <w:r w:rsidRPr="00A02701">
        <w:rPr>
          <w:rFonts w:ascii="Calibri" w:eastAsiaTheme="minorHAnsi" w:cs="Calibri"/>
          <w:i/>
          <w:iCs/>
          <w:lang w:val="en-GB"/>
        </w:rPr>
        <w:lastRenderedPageBreak/>
        <w:t>Networking and Network Applications (</w:t>
      </w:r>
      <w:proofErr w:type="spellStart"/>
      <w:r w:rsidRPr="00A02701">
        <w:rPr>
          <w:rFonts w:ascii="Calibri" w:eastAsiaTheme="minorHAnsi" w:cs="Calibri"/>
          <w:i/>
          <w:iCs/>
          <w:lang w:val="en-GB"/>
        </w:rPr>
        <w:t>NaNA</w:t>
      </w:r>
      <w:proofErr w:type="spellEnd"/>
      <w:r w:rsidRPr="00A02701">
        <w:rPr>
          <w:rFonts w:ascii="Calibri" w:eastAsiaTheme="minorHAnsi" w:cs="Calibri"/>
          <w:i/>
          <w:iCs/>
          <w:lang w:val="en-GB"/>
        </w:rPr>
        <w:t>)</w:t>
      </w:r>
      <w:r w:rsidRPr="00A02701">
        <w:rPr>
          <w:rFonts w:ascii="Calibri" w:eastAsiaTheme="minorHAnsi" w:cs="Calibri"/>
          <w:lang w:val="en-GB"/>
        </w:rPr>
        <w:t>, Presented at the 2023 International Conference on Networking and Network Applications (</w:t>
      </w:r>
      <w:proofErr w:type="spellStart"/>
      <w:r w:rsidRPr="00A02701">
        <w:rPr>
          <w:rFonts w:ascii="Calibri" w:eastAsiaTheme="minorHAnsi" w:cs="Calibri"/>
          <w:lang w:val="en-GB"/>
        </w:rPr>
        <w:t>NaNA</w:t>
      </w:r>
      <w:proofErr w:type="spellEnd"/>
      <w:r w:rsidRPr="00A02701">
        <w:rPr>
          <w:rFonts w:ascii="Calibri" w:eastAsiaTheme="minorHAnsi" w:cs="Calibri"/>
          <w:lang w:val="en-GB"/>
        </w:rPr>
        <w:t>), Qingdao, China: IEEE, 674–679, available: https://doi.org/10.1109/NaNA60121.2023.00116.</w:t>
      </w:r>
    </w:p>
    <w:p w14:paraId="23AF16B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Zhong, C., Li, S., Huang, H., Liu, X., Chen, Z., Zhang, Y., and Zhang, H. (2024) ‘Domain-Driven Design for Microservices: An Evidence-Based Investigation’, </w:t>
      </w:r>
      <w:r w:rsidRPr="00A02701">
        <w:rPr>
          <w:rFonts w:ascii="Calibri" w:eastAsiaTheme="minorHAnsi" w:cs="Calibri"/>
          <w:i/>
          <w:iCs/>
          <w:lang w:val="en-GB"/>
        </w:rPr>
        <w:t>IEEE Transactions on Software Engineering</w:t>
      </w:r>
      <w:r w:rsidRPr="00A02701">
        <w:rPr>
          <w:rFonts w:ascii="Calibri" w:eastAsiaTheme="minorHAnsi" w:cs="Calibri"/>
          <w:lang w:val="en-GB"/>
        </w:rPr>
        <w:t>, 50(6), 1425–1449, available: https://doi.org/10.1109/TSE.2024.3385835.</w:t>
      </w:r>
    </w:p>
    <w:p w14:paraId="29C2A1BF" w14:textId="0F08331F" w:rsidR="00D849BA" w:rsidRPr="008E68F6" w:rsidRDefault="00D849BA" w:rsidP="00A02701">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1" w:name="_Toc233796085"/>
      <w:r w:rsidRPr="008E68F6">
        <w:lastRenderedPageBreak/>
        <w:t>Appendices</w:t>
      </w:r>
      <w:bookmarkEnd w:id="61"/>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2" w:name="_Toc233796086"/>
      <w:r w:rsidRPr="008E68F6">
        <w:lastRenderedPageBreak/>
        <w:t xml:space="preserve">Appendix </w:t>
      </w:r>
      <w:r w:rsidR="00917E79" w:rsidRPr="008E68F6">
        <w:t>A</w:t>
      </w:r>
      <w:r w:rsidRPr="008E68F6">
        <w:t>:  Code Listing</w:t>
      </w:r>
      <w:bookmarkEnd w:id="62"/>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66114D" w14:textId="77777777" w:rsidR="00611A66" w:rsidRDefault="00611A66">
      <w:pPr>
        <w:spacing w:after="0" w:line="240" w:lineRule="auto"/>
      </w:pPr>
      <w:r>
        <w:separator/>
      </w:r>
    </w:p>
  </w:endnote>
  <w:endnote w:type="continuationSeparator" w:id="0">
    <w:p w14:paraId="41625BAA" w14:textId="77777777" w:rsidR="00611A66" w:rsidRDefault="00611A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611A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44E7F3" w14:textId="77777777" w:rsidR="00611A66" w:rsidRDefault="00611A66">
      <w:pPr>
        <w:spacing w:after="0" w:line="240" w:lineRule="auto"/>
      </w:pPr>
      <w:r>
        <w:separator/>
      </w:r>
    </w:p>
  </w:footnote>
  <w:footnote w:type="continuationSeparator" w:id="0">
    <w:p w14:paraId="3D99594D" w14:textId="77777777" w:rsidR="00611A66" w:rsidRDefault="00611A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25FE8"/>
    <w:rsid w:val="00035AEC"/>
    <w:rsid w:val="000374D4"/>
    <w:rsid w:val="0005114A"/>
    <w:rsid w:val="000522BB"/>
    <w:rsid w:val="000653C1"/>
    <w:rsid w:val="0006696D"/>
    <w:rsid w:val="0007499D"/>
    <w:rsid w:val="0008031A"/>
    <w:rsid w:val="000832F5"/>
    <w:rsid w:val="00091587"/>
    <w:rsid w:val="000A04A2"/>
    <w:rsid w:val="000A508F"/>
    <w:rsid w:val="000B296E"/>
    <w:rsid w:val="000B5477"/>
    <w:rsid w:val="000C1093"/>
    <w:rsid w:val="000C1F01"/>
    <w:rsid w:val="000C4BCF"/>
    <w:rsid w:val="000C7AE3"/>
    <w:rsid w:val="000D1527"/>
    <w:rsid w:val="000D2C9F"/>
    <w:rsid w:val="000D58CB"/>
    <w:rsid w:val="000E2FB1"/>
    <w:rsid w:val="000E4B89"/>
    <w:rsid w:val="000E5D7E"/>
    <w:rsid w:val="000F11BA"/>
    <w:rsid w:val="000F1A21"/>
    <w:rsid w:val="000F4DD4"/>
    <w:rsid w:val="000F5453"/>
    <w:rsid w:val="000F705B"/>
    <w:rsid w:val="001146FE"/>
    <w:rsid w:val="00121193"/>
    <w:rsid w:val="001217D2"/>
    <w:rsid w:val="00123811"/>
    <w:rsid w:val="00126BD1"/>
    <w:rsid w:val="001335F4"/>
    <w:rsid w:val="00142668"/>
    <w:rsid w:val="001426B6"/>
    <w:rsid w:val="001562DE"/>
    <w:rsid w:val="00161B20"/>
    <w:rsid w:val="00165DCD"/>
    <w:rsid w:val="001677DE"/>
    <w:rsid w:val="00174696"/>
    <w:rsid w:val="001754EC"/>
    <w:rsid w:val="0017584F"/>
    <w:rsid w:val="00177EF0"/>
    <w:rsid w:val="001838E2"/>
    <w:rsid w:val="001859E9"/>
    <w:rsid w:val="00192E25"/>
    <w:rsid w:val="00195F73"/>
    <w:rsid w:val="00196A68"/>
    <w:rsid w:val="001A5E83"/>
    <w:rsid w:val="001A6BF5"/>
    <w:rsid w:val="001B16DE"/>
    <w:rsid w:val="001B2D1A"/>
    <w:rsid w:val="001D3032"/>
    <w:rsid w:val="001D4633"/>
    <w:rsid w:val="001F26BF"/>
    <w:rsid w:val="00201C8C"/>
    <w:rsid w:val="00202819"/>
    <w:rsid w:val="00220298"/>
    <w:rsid w:val="00226E22"/>
    <w:rsid w:val="002330CE"/>
    <w:rsid w:val="00241248"/>
    <w:rsid w:val="00253C1B"/>
    <w:rsid w:val="00261BA4"/>
    <w:rsid w:val="00262980"/>
    <w:rsid w:val="002714DE"/>
    <w:rsid w:val="00274AE3"/>
    <w:rsid w:val="00277E00"/>
    <w:rsid w:val="00281BBA"/>
    <w:rsid w:val="002858DE"/>
    <w:rsid w:val="0029079D"/>
    <w:rsid w:val="00295F48"/>
    <w:rsid w:val="002A169D"/>
    <w:rsid w:val="002A29F5"/>
    <w:rsid w:val="002A2DF8"/>
    <w:rsid w:val="002A5824"/>
    <w:rsid w:val="002B0709"/>
    <w:rsid w:val="002B0DE0"/>
    <w:rsid w:val="002B4AD3"/>
    <w:rsid w:val="002C4504"/>
    <w:rsid w:val="002C4F28"/>
    <w:rsid w:val="002D3625"/>
    <w:rsid w:val="002E0A36"/>
    <w:rsid w:val="002E40B8"/>
    <w:rsid w:val="002E632B"/>
    <w:rsid w:val="002F19CA"/>
    <w:rsid w:val="00300979"/>
    <w:rsid w:val="0030275E"/>
    <w:rsid w:val="0031154C"/>
    <w:rsid w:val="00314AD6"/>
    <w:rsid w:val="00320D6B"/>
    <w:rsid w:val="0032134B"/>
    <w:rsid w:val="00334295"/>
    <w:rsid w:val="0034510A"/>
    <w:rsid w:val="00351870"/>
    <w:rsid w:val="00355DA0"/>
    <w:rsid w:val="0036391F"/>
    <w:rsid w:val="003661B7"/>
    <w:rsid w:val="00373992"/>
    <w:rsid w:val="00382251"/>
    <w:rsid w:val="0038259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402446"/>
    <w:rsid w:val="00404F7E"/>
    <w:rsid w:val="00411ED7"/>
    <w:rsid w:val="00432EF0"/>
    <w:rsid w:val="00440194"/>
    <w:rsid w:val="00440F82"/>
    <w:rsid w:val="00450D4B"/>
    <w:rsid w:val="00456DAF"/>
    <w:rsid w:val="004619E3"/>
    <w:rsid w:val="00462BBB"/>
    <w:rsid w:val="004656B7"/>
    <w:rsid w:val="0046727C"/>
    <w:rsid w:val="004729A6"/>
    <w:rsid w:val="00475FA3"/>
    <w:rsid w:val="00477F2F"/>
    <w:rsid w:val="004827A4"/>
    <w:rsid w:val="00487385"/>
    <w:rsid w:val="00493927"/>
    <w:rsid w:val="004A0BFA"/>
    <w:rsid w:val="004B4026"/>
    <w:rsid w:val="004C6411"/>
    <w:rsid w:val="004C691A"/>
    <w:rsid w:val="004C7C7C"/>
    <w:rsid w:val="004D5AA9"/>
    <w:rsid w:val="004D5BF7"/>
    <w:rsid w:val="004D72FF"/>
    <w:rsid w:val="004E3F9B"/>
    <w:rsid w:val="004E7204"/>
    <w:rsid w:val="004F204D"/>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726FA"/>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B2A"/>
    <w:rsid w:val="005B7D4E"/>
    <w:rsid w:val="005C0F3A"/>
    <w:rsid w:val="005C78EA"/>
    <w:rsid w:val="005D6BF9"/>
    <w:rsid w:val="005D7338"/>
    <w:rsid w:val="005E2A12"/>
    <w:rsid w:val="005E470D"/>
    <w:rsid w:val="005F25E6"/>
    <w:rsid w:val="005F41E1"/>
    <w:rsid w:val="005F7AA0"/>
    <w:rsid w:val="00611A66"/>
    <w:rsid w:val="00617760"/>
    <w:rsid w:val="0063413F"/>
    <w:rsid w:val="00634A9E"/>
    <w:rsid w:val="006372CA"/>
    <w:rsid w:val="00646EB7"/>
    <w:rsid w:val="0065055F"/>
    <w:rsid w:val="00656043"/>
    <w:rsid w:val="006565C2"/>
    <w:rsid w:val="00661D17"/>
    <w:rsid w:val="0066622B"/>
    <w:rsid w:val="00673648"/>
    <w:rsid w:val="006769DA"/>
    <w:rsid w:val="006879D3"/>
    <w:rsid w:val="00696FB8"/>
    <w:rsid w:val="006B0526"/>
    <w:rsid w:val="006B4EDA"/>
    <w:rsid w:val="006D10E0"/>
    <w:rsid w:val="006D45CF"/>
    <w:rsid w:val="006D6A0E"/>
    <w:rsid w:val="006E4CDE"/>
    <w:rsid w:val="006F2E37"/>
    <w:rsid w:val="00700E24"/>
    <w:rsid w:val="00703417"/>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67DF"/>
    <w:rsid w:val="007815B3"/>
    <w:rsid w:val="007836BF"/>
    <w:rsid w:val="0078715A"/>
    <w:rsid w:val="007973F4"/>
    <w:rsid w:val="007B1D15"/>
    <w:rsid w:val="007C171A"/>
    <w:rsid w:val="007C26CA"/>
    <w:rsid w:val="007C31FE"/>
    <w:rsid w:val="007D3584"/>
    <w:rsid w:val="007E6C38"/>
    <w:rsid w:val="007F3004"/>
    <w:rsid w:val="007F354E"/>
    <w:rsid w:val="007F3C7B"/>
    <w:rsid w:val="007F78D6"/>
    <w:rsid w:val="00801CEF"/>
    <w:rsid w:val="0080273D"/>
    <w:rsid w:val="0081191F"/>
    <w:rsid w:val="0081363A"/>
    <w:rsid w:val="008160D2"/>
    <w:rsid w:val="0081706E"/>
    <w:rsid w:val="00835534"/>
    <w:rsid w:val="0083675A"/>
    <w:rsid w:val="00855EA7"/>
    <w:rsid w:val="0085757D"/>
    <w:rsid w:val="0086100F"/>
    <w:rsid w:val="00863140"/>
    <w:rsid w:val="00863D61"/>
    <w:rsid w:val="008653F7"/>
    <w:rsid w:val="00866111"/>
    <w:rsid w:val="00873CCB"/>
    <w:rsid w:val="008755DB"/>
    <w:rsid w:val="0089746A"/>
    <w:rsid w:val="008A3685"/>
    <w:rsid w:val="008A4365"/>
    <w:rsid w:val="008A4A49"/>
    <w:rsid w:val="008B4476"/>
    <w:rsid w:val="008B7C81"/>
    <w:rsid w:val="008C060F"/>
    <w:rsid w:val="008C0F6B"/>
    <w:rsid w:val="008C1231"/>
    <w:rsid w:val="008C37E8"/>
    <w:rsid w:val="008C3A24"/>
    <w:rsid w:val="008C4C3D"/>
    <w:rsid w:val="008C6B91"/>
    <w:rsid w:val="008D1D0E"/>
    <w:rsid w:val="008D27F0"/>
    <w:rsid w:val="008D4AA1"/>
    <w:rsid w:val="008D7200"/>
    <w:rsid w:val="008E1ACA"/>
    <w:rsid w:val="008E2F14"/>
    <w:rsid w:val="008E68F6"/>
    <w:rsid w:val="008F0971"/>
    <w:rsid w:val="008F380A"/>
    <w:rsid w:val="008F7B12"/>
    <w:rsid w:val="00901CD0"/>
    <w:rsid w:val="009047D2"/>
    <w:rsid w:val="0090556F"/>
    <w:rsid w:val="00913B91"/>
    <w:rsid w:val="009148D4"/>
    <w:rsid w:val="00915948"/>
    <w:rsid w:val="009168B3"/>
    <w:rsid w:val="00917E79"/>
    <w:rsid w:val="0092104C"/>
    <w:rsid w:val="00927677"/>
    <w:rsid w:val="009277EB"/>
    <w:rsid w:val="00934336"/>
    <w:rsid w:val="0093739A"/>
    <w:rsid w:val="009425A7"/>
    <w:rsid w:val="00942840"/>
    <w:rsid w:val="00942F99"/>
    <w:rsid w:val="009468A2"/>
    <w:rsid w:val="0094735E"/>
    <w:rsid w:val="00957263"/>
    <w:rsid w:val="00961133"/>
    <w:rsid w:val="00961E91"/>
    <w:rsid w:val="0096202A"/>
    <w:rsid w:val="00964B5E"/>
    <w:rsid w:val="00965800"/>
    <w:rsid w:val="00973E10"/>
    <w:rsid w:val="00981F80"/>
    <w:rsid w:val="00984EE8"/>
    <w:rsid w:val="0098575C"/>
    <w:rsid w:val="009930F5"/>
    <w:rsid w:val="009A7E3B"/>
    <w:rsid w:val="009B2286"/>
    <w:rsid w:val="009B6929"/>
    <w:rsid w:val="009B797A"/>
    <w:rsid w:val="009C204D"/>
    <w:rsid w:val="009C20CE"/>
    <w:rsid w:val="009C7B19"/>
    <w:rsid w:val="009C7E68"/>
    <w:rsid w:val="009D467D"/>
    <w:rsid w:val="009D65D1"/>
    <w:rsid w:val="009D67AF"/>
    <w:rsid w:val="009D7791"/>
    <w:rsid w:val="009E0829"/>
    <w:rsid w:val="009E58B2"/>
    <w:rsid w:val="009E6517"/>
    <w:rsid w:val="009F061B"/>
    <w:rsid w:val="009F095C"/>
    <w:rsid w:val="009F1437"/>
    <w:rsid w:val="009F1887"/>
    <w:rsid w:val="009F2452"/>
    <w:rsid w:val="009F2666"/>
    <w:rsid w:val="009F4987"/>
    <w:rsid w:val="009F57F0"/>
    <w:rsid w:val="009F61EA"/>
    <w:rsid w:val="009F65B0"/>
    <w:rsid w:val="00A02701"/>
    <w:rsid w:val="00A13C61"/>
    <w:rsid w:val="00A1650F"/>
    <w:rsid w:val="00A213BA"/>
    <w:rsid w:val="00A31979"/>
    <w:rsid w:val="00A34863"/>
    <w:rsid w:val="00A348C3"/>
    <w:rsid w:val="00A37796"/>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A6BC1"/>
    <w:rsid w:val="00AB4418"/>
    <w:rsid w:val="00AB4FBF"/>
    <w:rsid w:val="00AB5E06"/>
    <w:rsid w:val="00AC49B4"/>
    <w:rsid w:val="00AC58E2"/>
    <w:rsid w:val="00AD53B9"/>
    <w:rsid w:val="00AD6DBB"/>
    <w:rsid w:val="00AE08F8"/>
    <w:rsid w:val="00AE2458"/>
    <w:rsid w:val="00AE2771"/>
    <w:rsid w:val="00AE49B0"/>
    <w:rsid w:val="00AE49FA"/>
    <w:rsid w:val="00AE5383"/>
    <w:rsid w:val="00AE7626"/>
    <w:rsid w:val="00AF10A1"/>
    <w:rsid w:val="00AF1B3B"/>
    <w:rsid w:val="00B04816"/>
    <w:rsid w:val="00B0582D"/>
    <w:rsid w:val="00B11FCB"/>
    <w:rsid w:val="00B14F02"/>
    <w:rsid w:val="00B17053"/>
    <w:rsid w:val="00B2269B"/>
    <w:rsid w:val="00B24A0A"/>
    <w:rsid w:val="00B25C84"/>
    <w:rsid w:val="00B3051E"/>
    <w:rsid w:val="00B32679"/>
    <w:rsid w:val="00B32DC3"/>
    <w:rsid w:val="00B37FAE"/>
    <w:rsid w:val="00B40755"/>
    <w:rsid w:val="00B4157D"/>
    <w:rsid w:val="00B457B0"/>
    <w:rsid w:val="00B51835"/>
    <w:rsid w:val="00B53132"/>
    <w:rsid w:val="00B5677B"/>
    <w:rsid w:val="00B64704"/>
    <w:rsid w:val="00B65949"/>
    <w:rsid w:val="00B75C23"/>
    <w:rsid w:val="00B77D21"/>
    <w:rsid w:val="00B8268B"/>
    <w:rsid w:val="00B8650D"/>
    <w:rsid w:val="00B91A80"/>
    <w:rsid w:val="00B92466"/>
    <w:rsid w:val="00B9304E"/>
    <w:rsid w:val="00BA4DF7"/>
    <w:rsid w:val="00BB37EC"/>
    <w:rsid w:val="00BB49B6"/>
    <w:rsid w:val="00BC2DC7"/>
    <w:rsid w:val="00BC4372"/>
    <w:rsid w:val="00BC6665"/>
    <w:rsid w:val="00BC733D"/>
    <w:rsid w:val="00BC78E7"/>
    <w:rsid w:val="00BF4CDC"/>
    <w:rsid w:val="00BF5227"/>
    <w:rsid w:val="00C00B15"/>
    <w:rsid w:val="00C03328"/>
    <w:rsid w:val="00C06891"/>
    <w:rsid w:val="00C15B58"/>
    <w:rsid w:val="00C15D19"/>
    <w:rsid w:val="00C2235C"/>
    <w:rsid w:val="00C2256E"/>
    <w:rsid w:val="00C2582C"/>
    <w:rsid w:val="00C3483A"/>
    <w:rsid w:val="00C34B2B"/>
    <w:rsid w:val="00C35EFB"/>
    <w:rsid w:val="00C42EB1"/>
    <w:rsid w:val="00C507B6"/>
    <w:rsid w:val="00C5460D"/>
    <w:rsid w:val="00C57E06"/>
    <w:rsid w:val="00C61E03"/>
    <w:rsid w:val="00C66BD8"/>
    <w:rsid w:val="00C70096"/>
    <w:rsid w:val="00C71A0B"/>
    <w:rsid w:val="00C75756"/>
    <w:rsid w:val="00C76402"/>
    <w:rsid w:val="00C83DE2"/>
    <w:rsid w:val="00C9203D"/>
    <w:rsid w:val="00CA108C"/>
    <w:rsid w:val="00CA44A4"/>
    <w:rsid w:val="00CA4A3E"/>
    <w:rsid w:val="00CC4CE2"/>
    <w:rsid w:val="00CD0789"/>
    <w:rsid w:val="00CD5B30"/>
    <w:rsid w:val="00CD6B1D"/>
    <w:rsid w:val="00CD6DA3"/>
    <w:rsid w:val="00CE7B6B"/>
    <w:rsid w:val="00CF3FE4"/>
    <w:rsid w:val="00CF6257"/>
    <w:rsid w:val="00D045F9"/>
    <w:rsid w:val="00D04ED9"/>
    <w:rsid w:val="00D14D1D"/>
    <w:rsid w:val="00D213EE"/>
    <w:rsid w:val="00D35DDF"/>
    <w:rsid w:val="00D37C4C"/>
    <w:rsid w:val="00D404C5"/>
    <w:rsid w:val="00D51AED"/>
    <w:rsid w:val="00D532D7"/>
    <w:rsid w:val="00D533EF"/>
    <w:rsid w:val="00D5388F"/>
    <w:rsid w:val="00D55424"/>
    <w:rsid w:val="00D56CF4"/>
    <w:rsid w:val="00D57F0B"/>
    <w:rsid w:val="00D64916"/>
    <w:rsid w:val="00D754DD"/>
    <w:rsid w:val="00D849BA"/>
    <w:rsid w:val="00DA0E43"/>
    <w:rsid w:val="00DA2D56"/>
    <w:rsid w:val="00DA5E75"/>
    <w:rsid w:val="00DB1577"/>
    <w:rsid w:val="00DC1B20"/>
    <w:rsid w:val="00DC3C12"/>
    <w:rsid w:val="00DC4469"/>
    <w:rsid w:val="00DD3BB8"/>
    <w:rsid w:val="00DD4F01"/>
    <w:rsid w:val="00DD5B3F"/>
    <w:rsid w:val="00DD5E13"/>
    <w:rsid w:val="00DE133F"/>
    <w:rsid w:val="00DF61DF"/>
    <w:rsid w:val="00DF66F5"/>
    <w:rsid w:val="00E01A94"/>
    <w:rsid w:val="00E01EEB"/>
    <w:rsid w:val="00E02448"/>
    <w:rsid w:val="00E027D8"/>
    <w:rsid w:val="00E0432B"/>
    <w:rsid w:val="00E0737D"/>
    <w:rsid w:val="00E1016D"/>
    <w:rsid w:val="00E272CC"/>
    <w:rsid w:val="00E430F0"/>
    <w:rsid w:val="00E44F88"/>
    <w:rsid w:val="00E50D2F"/>
    <w:rsid w:val="00E531E0"/>
    <w:rsid w:val="00E53A5E"/>
    <w:rsid w:val="00E72B61"/>
    <w:rsid w:val="00E8200C"/>
    <w:rsid w:val="00E82F2F"/>
    <w:rsid w:val="00E83183"/>
    <w:rsid w:val="00E86334"/>
    <w:rsid w:val="00E868D1"/>
    <w:rsid w:val="00E8719E"/>
    <w:rsid w:val="00E9015F"/>
    <w:rsid w:val="00E901E0"/>
    <w:rsid w:val="00E90663"/>
    <w:rsid w:val="00E97260"/>
    <w:rsid w:val="00EB1DD2"/>
    <w:rsid w:val="00EB2A13"/>
    <w:rsid w:val="00EB51EC"/>
    <w:rsid w:val="00EB632F"/>
    <w:rsid w:val="00EB67A7"/>
    <w:rsid w:val="00EC0E75"/>
    <w:rsid w:val="00EC6332"/>
    <w:rsid w:val="00EC6D7F"/>
    <w:rsid w:val="00ED181F"/>
    <w:rsid w:val="00EE4C5B"/>
    <w:rsid w:val="00EE5186"/>
    <w:rsid w:val="00EE69C3"/>
    <w:rsid w:val="00EF2C31"/>
    <w:rsid w:val="00EF3A10"/>
    <w:rsid w:val="00EF3DCF"/>
    <w:rsid w:val="00F00CE1"/>
    <w:rsid w:val="00F033E0"/>
    <w:rsid w:val="00F0345E"/>
    <w:rsid w:val="00F03B8F"/>
    <w:rsid w:val="00F05DD6"/>
    <w:rsid w:val="00F1009A"/>
    <w:rsid w:val="00F1511E"/>
    <w:rsid w:val="00F24FE2"/>
    <w:rsid w:val="00F32B84"/>
    <w:rsid w:val="00F37793"/>
    <w:rsid w:val="00F41BC0"/>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8D1"/>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6934</TotalTime>
  <Pages>42</Pages>
  <Words>30595</Words>
  <Characters>174393</Characters>
  <Application>Microsoft Office Word</Application>
  <DocSecurity>0</DocSecurity>
  <Lines>1453</Lines>
  <Paragraphs>409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204579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440</cp:revision>
  <dcterms:created xsi:type="dcterms:W3CDTF">2026-05-31T08:55:00Z</dcterms:created>
  <dcterms:modified xsi:type="dcterms:W3CDTF">2026-07-20T06:40:00Z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