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2455"/>
        <w:gridCol w:w="4163"/>
        <w:gridCol w:w="7659"/>
      </w:tblGrid>
      <w:tr w:rsidR="00112119" w:rsidTr="00A16542">
        <w:tc>
          <w:tcPr>
            <w:tcW w:w="2455" w:type="dxa"/>
          </w:tcPr>
          <w:p w:rsidR="00112119" w:rsidRPr="00112119" w:rsidRDefault="00112119" w:rsidP="00A16542">
            <w:pPr>
              <w:ind w:left="708" w:hanging="708"/>
              <w:rPr>
                <w:b/>
              </w:rPr>
            </w:pPr>
            <w:r w:rsidRPr="00112119">
              <w:rPr>
                <w:b/>
              </w:rPr>
              <w:t>Qualitätskriterium</w:t>
            </w:r>
          </w:p>
        </w:tc>
        <w:tc>
          <w:tcPr>
            <w:tcW w:w="4163" w:type="dxa"/>
          </w:tcPr>
          <w:p w:rsidR="00112119" w:rsidRPr="00112119" w:rsidRDefault="00112119" w:rsidP="00A16542">
            <w:pPr>
              <w:tabs>
                <w:tab w:val="left" w:pos="1304"/>
              </w:tabs>
              <w:ind w:left="708" w:hanging="708"/>
              <w:rPr>
                <w:b/>
              </w:rPr>
            </w:pPr>
            <w:r w:rsidRPr="00112119">
              <w:rPr>
                <w:b/>
              </w:rPr>
              <w:t>Umsetzung</w:t>
            </w:r>
          </w:p>
        </w:tc>
        <w:tc>
          <w:tcPr>
            <w:tcW w:w="7659" w:type="dxa"/>
          </w:tcPr>
          <w:p w:rsidR="00112119" w:rsidRPr="00112119" w:rsidRDefault="00112119" w:rsidP="00A16542">
            <w:pPr>
              <w:ind w:left="708" w:hanging="708"/>
              <w:rPr>
                <w:b/>
              </w:rPr>
            </w:pPr>
            <w:r w:rsidRPr="00112119">
              <w:rPr>
                <w:b/>
              </w:rPr>
              <w:t>Exemplarisches Beispiel</w:t>
            </w:r>
          </w:p>
        </w:tc>
      </w:tr>
      <w:tr w:rsidR="00112119" w:rsidTr="00A16542">
        <w:tc>
          <w:tcPr>
            <w:tcW w:w="2455" w:type="dxa"/>
          </w:tcPr>
          <w:p w:rsidR="00112119" w:rsidRPr="00533EF8" w:rsidRDefault="00112119" w:rsidP="00A16542">
            <w:pPr>
              <w:ind w:left="708" w:hanging="708"/>
            </w:pPr>
            <w:r w:rsidRPr="00533EF8">
              <w:t>Funktionalität</w:t>
            </w:r>
            <w:r w:rsidRPr="00533EF8">
              <w:br/>
            </w:r>
            <w:r w:rsidRPr="00533EF8">
              <w:br/>
            </w:r>
            <w:r w:rsidRPr="00533EF8">
              <w:br/>
            </w:r>
            <w:r w:rsidRPr="00533EF8">
              <w:br/>
            </w:r>
            <w:r w:rsidRPr="00533EF8">
              <w:br/>
            </w:r>
          </w:p>
        </w:tc>
        <w:tc>
          <w:tcPr>
            <w:tcW w:w="4163" w:type="dxa"/>
          </w:tcPr>
          <w:p w:rsidR="00112119" w:rsidRDefault="00112119" w:rsidP="00A16542">
            <w:pPr>
              <w:ind w:left="-30"/>
            </w:pPr>
            <w:r>
              <w:t>Es ist bei d</w:t>
            </w:r>
            <w:r w:rsidR="00A16542">
              <w:t xml:space="preserve">er Login-Seite möglich sich als </w:t>
            </w:r>
            <w:r>
              <w:t xml:space="preserve">Teilnehmer eines </w:t>
            </w:r>
            <w:proofErr w:type="spellStart"/>
            <w:r>
              <w:t>Quizes</w:t>
            </w:r>
            <w:proofErr w:type="spellEnd"/>
            <w:r>
              <w:t xml:space="preserve"> anzumelden </w:t>
            </w:r>
            <w:r w:rsidR="004471E6">
              <w:t xml:space="preserve">oder als </w:t>
            </w:r>
            <w:r w:rsidR="00DE17B4">
              <w:t>Quizmaster</w:t>
            </w:r>
            <w:r>
              <w:t>, um ein Quiz zu erstellen. Durch das Betätigen der Buttons „Spieler“ und „</w:t>
            </w:r>
            <w:r w:rsidR="00EE0FE7">
              <w:t>Quiz</w:t>
            </w:r>
            <w:r>
              <w:t>master“ unterscheiden sich die Login-Seiten minimal. Nachdem Login als Quizmaster gelangt man zur „Quizmaster-</w:t>
            </w:r>
            <w:proofErr w:type="spellStart"/>
            <w:r>
              <w:t>LandingPage</w:t>
            </w:r>
            <w:proofErr w:type="spellEnd"/>
            <w:r>
              <w:t>“.</w:t>
            </w:r>
          </w:p>
        </w:tc>
        <w:tc>
          <w:tcPr>
            <w:tcW w:w="7659" w:type="dxa"/>
          </w:tcPr>
          <w:p w:rsidR="00112119" w:rsidRDefault="00112119" w:rsidP="00A16542">
            <w:pPr>
              <w:ind w:left="708" w:hanging="708"/>
            </w:pPr>
            <w:r>
              <w:br/>
            </w:r>
          </w:p>
          <w:p w:rsidR="00112119" w:rsidRDefault="00112119" w:rsidP="00A16542">
            <w:pPr>
              <w:ind w:left="708" w:hanging="708"/>
            </w:pPr>
            <w:r w:rsidRPr="00112119">
              <w:drawing>
                <wp:inline distT="0" distB="0" distL="0" distR="0" wp14:anchorId="0BCE8A0F" wp14:editId="470D7E77">
                  <wp:extent cx="3191773" cy="1914237"/>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4031" cy="1921588"/>
                          </a:xfrm>
                          <a:prstGeom prst="rect">
                            <a:avLst/>
                          </a:prstGeom>
                        </pic:spPr>
                      </pic:pic>
                    </a:graphicData>
                  </a:graphic>
                </wp:inline>
              </w:drawing>
            </w:r>
          </w:p>
          <w:p w:rsidR="00112119" w:rsidRDefault="00112119" w:rsidP="00A16542">
            <w:pPr>
              <w:ind w:left="708" w:hanging="708"/>
            </w:pPr>
            <w:r w:rsidRPr="00112119">
              <w:drawing>
                <wp:inline distT="0" distB="0" distL="0" distR="0" wp14:anchorId="51EC8E00" wp14:editId="5482B174">
                  <wp:extent cx="3209026" cy="202389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053" cy="2038421"/>
                          </a:xfrm>
                          <a:prstGeom prst="rect">
                            <a:avLst/>
                          </a:prstGeom>
                        </pic:spPr>
                      </pic:pic>
                    </a:graphicData>
                  </a:graphic>
                </wp:inline>
              </w:drawing>
            </w:r>
          </w:p>
          <w:p w:rsidR="00112119" w:rsidRDefault="00112119" w:rsidP="00A16542">
            <w:pPr>
              <w:ind w:left="708" w:hanging="708"/>
            </w:pPr>
          </w:p>
          <w:p w:rsidR="00112119" w:rsidRDefault="00112119" w:rsidP="00A16542">
            <w:pPr>
              <w:ind w:left="708" w:hanging="708"/>
            </w:pPr>
          </w:p>
        </w:tc>
      </w:tr>
      <w:tr w:rsidR="00112119" w:rsidTr="00A16542">
        <w:tc>
          <w:tcPr>
            <w:tcW w:w="2455" w:type="dxa"/>
          </w:tcPr>
          <w:p w:rsidR="00112119" w:rsidRDefault="00112119" w:rsidP="00A16542">
            <w:r>
              <w:t>Benutzbarkeit</w:t>
            </w:r>
            <w:r w:rsidR="00007744">
              <w:t xml:space="preserve"> – Bedienbarkeit</w:t>
            </w:r>
            <w:r>
              <w:br/>
            </w:r>
            <w:r>
              <w:br/>
            </w:r>
            <w:r>
              <w:br/>
            </w:r>
            <w:r>
              <w:br/>
            </w:r>
            <w:r>
              <w:lastRenderedPageBreak/>
              <w:br/>
            </w:r>
          </w:p>
          <w:p w:rsidR="00112119" w:rsidRDefault="00112119" w:rsidP="00A16542">
            <w:pPr>
              <w:ind w:left="708" w:hanging="708"/>
            </w:pPr>
          </w:p>
        </w:tc>
        <w:tc>
          <w:tcPr>
            <w:tcW w:w="4163" w:type="dxa"/>
          </w:tcPr>
          <w:p w:rsidR="00112119" w:rsidRDefault="00007744" w:rsidP="00A16542">
            <w:pPr>
              <w:ind w:left="-30"/>
            </w:pPr>
            <w:r>
              <w:lastRenderedPageBreak/>
              <w:t xml:space="preserve">Die Seiten sind sehr einfach und übersichtlich gehalten, wodurch die Bedienbarkeit auch sehr einfach ist und der Benutzer weiß direkt, was er auf dieser Seite gemacht werden kann. </w:t>
            </w:r>
          </w:p>
        </w:tc>
        <w:tc>
          <w:tcPr>
            <w:tcW w:w="7659" w:type="dxa"/>
          </w:tcPr>
          <w:p w:rsidR="00007744" w:rsidRDefault="00007744" w:rsidP="00A16542">
            <w:pPr>
              <w:ind w:left="79"/>
            </w:pPr>
            <w:r>
              <w:t>Das abgebildete Fragezeichen dient als Platzhalter für das Fragebild.</w:t>
            </w:r>
            <w:r w:rsidR="00A16542">
              <w:t xml:space="preserve"> Da wir noch </w:t>
            </w:r>
            <w:bookmarkStart w:id="0" w:name="_GoBack"/>
            <w:bookmarkEnd w:id="0"/>
            <w:r w:rsidR="00A16542">
              <w:t>keine Verbindung zwischen Backend und Frontend haben</w:t>
            </w:r>
          </w:p>
          <w:p w:rsidR="00007744" w:rsidRDefault="00007744" w:rsidP="00A16542">
            <w:pPr>
              <w:ind w:left="708" w:hanging="708"/>
            </w:pPr>
          </w:p>
          <w:p w:rsidR="00007744" w:rsidRDefault="00007744" w:rsidP="00A16542">
            <w:pPr>
              <w:ind w:left="708" w:hanging="708"/>
            </w:pPr>
            <w:r w:rsidRPr="00007744">
              <w:lastRenderedPageBreak/>
              <w:drawing>
                <wp:inline distT="0" distB="0" distL="0" distR="0" wp14:anchorId="361BF12E" wp14:editId="245A354F">
                  <wp:extent cx="4726659" cy="196682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100" cy="1971167"/>
                          </a:xfrm>
                          <a:prstGeom prst="rect">
                            <a:avLst/>
                          </a:prstGeom>
                        </pic:spPr>
                      </pic:pic>
                    </a:graphicData>
                  </a:graphic>
                </wp:inline>
              </w:drawing>
            </w:r>
          </w:p>
          <w:p w:rsidR="00112119" w:rsidRPr="00007744" w:rsidRDefault="00112119" w:rsidP="00A16542"/>
        </w:tc>
      </w:tr>
      <w:tr w:rsidR="00112119" w:rsidTr="00A16542">
        <w:tc>
          <w:tcPr>
            <w:tcW w:w="2455" w:type="dxa"/>
          </w:tcPr>
          <w:p w:rsidR="00112119" w:rsidRDefault="00112119" w:rsidP="00A16542">
            <w:r>
              <w:lastRenderedPageBreak/>
              <w:t>Änderbarkeit</w:t>
            </w:r>
            <w:r w:rsidR="00007744">
              <w:t xml:space="preserve"> – Modif</w:t>
            </w:r>
            <w:r w:rsidR="004471E6">
              <w:t>i</w:t>
            </w:r>
            <w:r w:rsidR="00007744">
              <w:t xml:space="preserve">zierbarkeit </w:t>
            </w:r>
          </w:p>
          <w:p w:rsidR="00112119" w:rsidRDefault="00112119" w:rsidP="00A16542"/>
          <w:p w:rsidR="00112119" w:rsidRDefault="00112119" w:rsidP="00A16542">
            <w:pPr>
              <w:ind w:left="708" w:hanging="708"/>
            </w:pPr>
          </w:p>
          <w:p w:rsidR="00112119" w:rsidRDefault="00112119" w:rsidP="00A16542">
            <w:pPr>
              <w:ind w:left="708" w:hanging="708"/>
            </w:pPr>
          </w:p>
          <w:p w:rsidR="00112119" w:rsidRDefault="00112119" w:rsidP="00A16542">
            <w:pPr>
              <w:ind w:left="708" w:hanging="708"/>
            </w:pPr>
          </w:p>
          <w:p w:rsidR="00112119" w:rsidRDefault="00112119" w:rsidP="00A16542">
            <w:pPr>
              <w:ind w:left="708" w:hanging="708"/>
            </w:pPr>
          </w:p>
        </w:tc>
        <w:tc>
          <w:tcPr>
            <w:tcW w:w="4163" w:type="dxa"/>
          </w:tcPr>
          <w:p w:rsidR="00112119" w:rsidRDefault="004471E6" w:rsidP="00A16542">
            <w:pPr>
              <w:ind w:left="-30"/>
            </w:pPr>
            <w:r>
              <w:t xml:space="preserve">Dadurch, dass die Anwendung sich noch in einem sehr frühen Stadium befindet ist die </w:t>
            </w:r>
            <w:r>
              <w:t xml:space="preserve">Modifizierbarkeit </w:t>
            </w:r>
            <w:r>
              <w:t>sehr stark geben.</w:t>
            </w:r>
          </w:p>
        </w:tc>
        <w:tc>
          <w:tcPr>
            <w:tcW w:w="7659" w:type="dxa"/>
          </w:tcPr>
          <w:p w:rsidR="00112119" w:rsidRDefault="00112119" w:rsidP="00A16542">
            <w:pPr>
              <w:ind w:left="708" w:hanging="708"/>
            </w:pPr>
          </w:p>
        </w:tc>
      </w:tr>
      <w:tr w:rsidR="00112119" w:rsidTr="00A16542">
        <w:tc>
          <w:tcPr>
            <w:tcW w:w="2455" w:type="dxa"/>
          </w:tcPr>
          <w:p w:rsidR="00112119" w:rsidRDefault="00112119" w:rsidP="00A16542">
            <w:r>
              <w:t>Übertragbarkeit</w:t>
            </w:r>
            <w:r w:rsidR="00007744">
              <w:t xml:space="preserve"> –Anpassbarkeit</w:t>
            </w:r>
          </w:p>
          <w:p w:rsidR="00112119" w:rsidRDefault="00112119" w:rsidP="00A16542">
            <w:pPr>
              <w:ind w:left="-30"/>
            </w:pPr>
          </w:p>
          <w:p w:rsidR="00112119" w:rsidRDefault="00112119" w:rsidP="00A16542">
            <w:pPr>
              <w:ind w:left="708" w:hanging="708"/>
            </w:pPr>
          </w:p>
          <w:p w:rsidR="00112119" w:rsidRDefault="00112119" w:rsidP="00A16542">
            <w:pPr>
              <w:ind w:left="708" w:hanging="708"/>
            </w:pPr>
          </w:p>
        </w:tc>
        <w:tc>
          <w:tcPr>
            <w:tcW w:w="4163" w:type="dxa"/>
          </w:tcPr>
          <w:p w:rsidR="00112119" w:rsidRDefault="00007744" w:rsidP="00A16542">
            <w:pPr>
              <w:ind w:left="-30"/>
            </w:pPr>
            <w:r>
              <w:t>Die Anwendung kann schnell und einfach bearbeitet werden. Es müssen keine zusätzlichen Pakete installiert werden. Die einzige Erweiterung, die verwendet wurde ist „Bootstrap“ und diese befindet sich bereits in dem Projektordner.</w:t>
            </w:r>
          </w:p>
        </w:tc>
        <w:tc>
          <w:tcPr>
            <w:tcW w:w="7659" w:type="dxa"/>
          </w:tcPr>
          <w:p w:rsidR="00112119" w:rsidRDefault="00112119" w:rsidP="00A16542">
            <w:pPr>
              <w:ind w:left="708" w:hanging="708"/>
            </w:pPr>
          </w:p>
        </w:tc>
      </w:tr>
    </w:tbl>
    <w:p w:rsidR="008A7853" w:rsidRDefault="008A7853" w:rsidP="00A16542"/>
    <w:p w:rsidR="00911E0E" w:rsidRDefault="00A16542" w:rsidP="00A16542">
      <w:r>
        <w:t>Es konnten bei der Ausführung des Sonderauftrags nicht zu jedem Punkt ein „Screen-</w:t>
      </w:r>
      <w:proofErr w:type="spellStart"/>
      <w:r>
        <w:t>Shot</w:t>
      </w:r>
      <w:proofErr w:type="spellEnd"/>
      <w:r>
        <w:t xml:space="preserve">“ hinzugefügt werden da die Implementierung des Projekts sich in einem </w:t>
      </w:r>
      <w:r>
        <w:t xml:space="preserve">frühen Stadium befindet. </w:t>
      </w:r>
    </w:p>
    <w:sectPr w:rsidR="00911E0E" w:rsidSect="00112119">
      <w:head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5AC" w:rsidRDefault="004C15AC" w:rsidP="00E007A3">
      <w:pPr>
        <w:spacing w:after="0" w:line="240" w:lineRule="auto"/>
      </w:pPr>
      <w:r>
        <w:separator/>
      </w:r>
    </w:p>
  </w:endnote>
  <w:endnote w:type="continuationSeparator" w:id="0">
    <w:p w:rsidR="004C15AC" w:rsidRDefault="004C15AC" w:rsidP="00E0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5AC" w:rsidRDefault="004C15AC" w:rsidP="00E007A3">
      <w:pPr>
        <w:spacing w:after="0" w:line="240" w:lineRule="auto"/>
      </w:pPr>
      <w:r>
        <w:separator/>
      </w:r>
    </w:p>
  </w:footnote>
  <w:footnote w:type="continuationSeparator" w:id="0">
    <w:p w:rsidR="004C15AC" w:rsidRDefault="004C15AC" w:rsidP="00E0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7A3" w:rsidRDefault="00E007A3" w:rsidP="00911E0E">
    <w:pPr>
      <w:pStyle w:val="Kopfzeile"/>
      <w:jc w:val="center"/>
    </w:pPr>
    <w:r>
      <w:t>Softwarequalität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8"/>
    <w:rsid w:val="00007744"/>
    <w:rsid w:val="00112119"/>
    <w:rsid w:val="003D73FC"/>
    <w:rsid w:val="004471E6"/>
    <w:rsid w:val="004C15AC"/>
    <w:rsid w:val="00533EF8"/>
    <w:rsid w:val="008A7853"/>
    <w:rsid w:val="00911E0E"/>
    <w:rsid w:val="00A16542"/>
    <w:rsid w:val="00DE17B4"/>
    <w:rsid w:val="00E007A3"/>
    <w:rsid w:val="00EE0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8B63"/>
  <w15:chartTrackingRefBased/>
  <w15:docId w15:val="{0A556F9E-E8BC-42DD-9AA7-69AF6D8D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007A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07A3"/>
  </w:style>
  <w:style w:type="paragraph" w:styleId="Fuzeile">
    <w:name w:val="footer"/>
    <w:basedOn w:val="Standard"/>
    <w:link w:val="FuzeileZchn"/>
    <w:uiPriority w:val="99"/>
    <w:unhideWhenUsed/>
    <w:rsid w:val="00E007A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07A3"/>
  </w:style>
  <w:style w:type="paragraph" w:styleId="Listenabsatz">
    <w:name w:val="List Paragraph"/>
    <w:basedOn w:val="Standard"/>
    <w:uiPriority w:val="34"/>
    <w:qFormat/>
    <w:rsid w:val="00911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TecAlliance</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Zilke, Kevin</dc:creator>
  <cp:keywords/>
  <dc:description/>
  <cp:lastModifiedBy>Zilke, Kevin</cp:lastModifiedBy>
  <cp:revision>6</cp:revision>
  <dcterms:created xsi:type="dcterms:W3CDTF">2018-02-26T10:58:00Z</dcterms:created>
  <dcterms:modified xsi:type="dcterms:W3CDTF">2018-03-01T10:10:00Z</dcterms:modified>
</cp:coreProperties>
</file>