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text" w:horzAnchor="margin" w:tblpY="-1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842"/>
      </w:tblGrid>
      <w:tr w14:paraId="12A1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101" w:type="dxa"/>
            <w:noWrap w:val="0"/>
            <w:vAlign w:val="top"/>
          </w:tcPr>
          <w:p w14:paraId="6038369B">
            <w:pPr>
              <w:spacing w:line="240" w:lineRule="auto"/>
              <w:ind w:firstLine="0" w:firstLineChars="0"/>
              <w:rPr>
                <w:sz w:val="21"/>
                <w:szCs w:val="21"/>
              </w:rPr>
            </w:pPr>
            <w:r>
              <w:rPr>
                <w:rFonts w:hint="eastAsia"/>
                <w:sz w:val="21"/>
                <w:szCs w:val="21"/>
              </w:rPr>
              <w:t>项目编号</w:t>
            </w:r>
          </w:p>
        </w:tc>
        <w:tc>
          <w:tcPr>
            <w:tcW w:w="1842" w:type="dxa"/>
            <w:noWrap w:val="0"/>
            <w:vAlign w:val="top"/>
          </w:tcPr>
          <w:p w14:paraId="42838E9C">
            <w:r>
              <w:t>ENC-2024-001</w:t>
            </w:r>
          </w:p>
        </w:tc>
      </w:tr>
      <w:tr w14:paraId="1F2E1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101" w:type="dxa"/>
            <w:noWrap w:val="0"/>
            <w:vAlign w:val="top"/>
          </w:tcPr>
          <w:p w14:paraId="4644FAD4">
            <w:pPr>
              <w:spacing w:line="240" w:lineRule="auto"/>
              <w:ind w:firstLine="0" w:firstLineChars="0"/>
              <w:rPr>
                <w:sz w:val="21"/>
              </w:rPr>
            </w:pPr>
            <w:r>
              <w:rPr>
                <w:rFonts w:hint="eastAsia"/>
                <w:sz w:val="21"/>
                <w:szCs w:val="21"/>
              </w:rPr>
              <w:t>文档编号</w:t>
            </w:r>
          </w:p>
        </w:tc>
        <w:tc>
          <w:tcPr>
            <w:tcW w:w="1842" w:type="dxa"/>
            <w:noWrap w:val="0"/>
            <w:vAlign w:val="top"/>
          </w:tcPr>
          <w:p w14:paraId="3D1012C9">
            <w:r>
              <w:t>ENC-SRS-001</w:t>
            </w:r>
          </w:p>
        </w:tc>
      </w:tr>
      <w:tr w14:paraId="7C04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1101" w:type="dxa"/>
            <w:noWrap w:val="0"/>
            <w:vAlign w:val="top"/>
          </w:tcPr>
          <w:p w14:paraId="27603E67">
            <w:pPr>
              <w:spacing w:line="240" w:lineRule="auto"/>
              <w:ind w:firstLine="0" w:firstLineChars="0"/>
              <w:rPr>
                <w:sz w:val="21"/>
                <w:szCs w:val="21"/>
              </w:rPr>
            </w:pPr>
            <w:r>
              <w:rPr>
                <w:rFonts w:hint="eastAsia"/>
                <w:sz w:val="21"/>
                <w:szCs w:val="21"/>
              </w:rPr>
              <w:t>密    级</w:t>
            </w:r>
          </w:p>
        </w:tc>
        <w:tc>
          <w:tcPr>
            <w:tcW w:w="1842" w:type="dxa"/>
            <w:noWrap w:val="0"/>
            <w:vAlign w:val="top"/>
          </w:tcPr>
          <w:p w14:paraId="382BC556">
            <w:r>
              <w:t>内部</w:t>
            </w:r>
          </w:p>
        </w:tc>
      </w:tr>
    </w:tbl>
    <w:p w14:paraId="45C8FD2A">
      <w:pPr>
        <w:pStyle w:val="28"/>
        <w:ind w:firstLine="0" w:firstLineChars="0"/>
        <w:rPr>
          <w:rFonts w:hint="eastAsia"/>
          <w:bCs/>
          <w:szCs w:val="48"/>
        </w:rPr>
      </w:pPr>
    </w:p>
    <w:p w14:paraId="330A9022">
      <w:pPr>
        <w:pStyle w:val="28"/>
        <w:ind w:firstLine="0" w:firstLineChars="0"/>
        <w:rPr>
          <w:bCs/>
          <w:szCs w:val="48"/>
        </w:rPr>
      </w:pPr>
    </w:p>
    <w:p w14:paraId="3E647AAE">
      <w:pPr>
        <w:pStyle w:val="28"/>
        <w:ind w:firstLine="0" w:firstLineChars="0"/>
        <w:rPr>
          <w:bCs/>
          <w:szCs w:val="48"/>
        </w:rPr>
      </w:pPr>
      <w:r>
        <w:pict>
          <v:shape id="_x0000_i1025" o:spt="75" alt="13715a1bdab" type="#_x0000_t75" style="height:63.3pt;width:314.2pt;" filled="f" stroked="f" coordsize="21600,21600">
            <v:path/>
            <v:fill on="f" focussize="0,0"/>
            <v:stroke on="f"/>
            <v:imagedata r:id="rId16" grayscale="f" bilevel="f" o:title="13715a1bdab"/>
            <o:lock v:ext="edit" aspectratio="t"/>
            <w10:wrap type="none"/>
            <w10:anchorlock/>
          </v:shape>
        </w:pict>
      </w:r>
    </w:p>
    <w:p w14:paraId="120A0389">
      <w:pPr>
        <w:pStyle w:val="13"/>
        <w:spacing w:before="326" w:beforeLines="100"/>
        <w:ind w:firstLine="0" w:firstLineChars="0"/>
        <w:rPr>
          <w:sz w:val="24"/>
        </w:rPr>
      </w:pPr>
      <w:r>
        <w:rPr>
          <w:rFonts w:hint="eastAsia" w:ascii="黑体" w:hAnsi="黑体"/>
          <w:b w:val="0"/>
          <w:iCs/>
          <w:kern w:val="52"/>
          <w:sz w:val="52"/>
          <w:szCs w:val="52"/>
        </w:rPr>
        <w:t>ENCORE 票务管理系统</w:t>
      </w:r>
    </w:p>
    <w:p w14:paraId="35AF9D77">
      <w:pPr>
        <w:pStyle w:val="28"/>
        <w:ind w:firstLine="0" w:firstLineChars="0"/>
        <w:rPr>
          <w:rFonts w:ascii="宋体" w:hAnsi="宋体" w:eastAsia="宋体"/>
          <w:sz w:val="72"/>
          <w:szCs w:val="72"/>
        </w:rPr>
      </w:pPr>
      <w:r>
        <w:rPr>
          <w:rFonts w:hint="eastAsia" w:ascii="宋体" w:hAnsi="宋体" w:eastAsia="宋体"/>
          <w:sz w:val="72"/>
          <w:szCs w:val="72"/>
        </w:rPr>
        <w:t>软件需求规格说明</w:t>
      </w:r>
    </w:p>
    <w:p w14:paraId="147A2F7E">
      <w:pPr>
        <w:pStyle w:val="13"/>
        <w:ind w:firstLineChars="0"/>
        <w:rPr>
          <w:rFonts w:hint="eastAsia"/>
          <w:b w:val="0"/>
          <w:bCs/>
          <w:sz w:val="48"/>
          <w:szCs w:val="48"/>
        </w:rPr>
      </w:pPr>
      <w:r>
        <w:rPr>
          <w:rFonts w:hint="eastAsia"/>
          <w:b w:val="0"/>
          <w:bCs/>
          <w:sz w:val="48"/>
          <w:szCs w:val="48"/>
        </w:rPr>
        <w:t>版本：V1.1</w:t>
      </w:r>
    </w:p>
    <w:p w14:paraId="1EE63133">
      <w:pPr>
        <w:pStyle w:val="13"/>
        <w:ind w:firstLineChars="0"/>
        <w:rPr>
          <w:rFonts w:hint="eastAsia"/>
          <w:b w:val="0"/>
          <w:bCs/>
          <w:sz w:val="48"/>
          <w:szCs w:val="48"/>
        </w:rPr>
      </w:pPr>
    </w:p>
    <w:p w14:paraId="6C844D07">
      <w:pPr>
        <w:pStyle w:val="13"/>
        <w:ind w:firstLineChars="0"/>
        <w:rPr>
          <w:rFonts w:hint="eastAsia"/>
          <w:b w:val="0"/>
          <w:bCs/>
          <w:sz w:val="48"/>
          <w:szCs w:val="48"/>
        </w:rPr>
      </w:pPr>
    </w:p>
    <w:p w14:paraId="73D32CB8">
      <w:pPr>
        <w:pStyle w:val="13"/>
        <w:ind w:left="720" w:leftChars="300" w:firstLine="198" w:firstLineChars="0"/>
        <w:jc w:val="left"/>
        <w:rPr>
          <w:rFonts w:hint="eastAsia"/>
          <w:sz w:val="32"/>
          <w:szCs w:val="32"/>
        </w:rPr>
      </w:pPr>
      <w:r>
        <w:rPr>
          <w:rFonts w:hint="eastAsia"/>
          <w:sz w:val="32"/>
          <w:szCs w:val="32"/>
        </w:rPr>
        <w:t>团队成员：</w:t>
      </w:r>
    </w:p>
    <w:tbl>
      <w:tblPr>
        <w:tblStyle w:val="15"/>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418"/>
        <w:gridCol w:w="1559"/>
        <w:gridCol w:w="2977"/>
      </w:tblGrid>
      <w:tr w14:paraId="3D80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1C2F7E5B">
            <w:pPr>
              <w:ind w:firstLine="0" w:firstLineChars="0"/>
              <w:jc w:val="center"/>
              <w:rPr>
                <w:b/>
                <w:sz w:val="30"/>
                <w:szCs w:val="30"/>
              </w:rPr>
            </w:pPr>
            <w:r>
              <w:rPr>
                <w:rFonts w:hint="eastAsia"/>
                <w:b/>
                <w:sz w:val="30"/>
                <w:szCs w:val="30"/>
              </w:rPr>
              <w:t>学号</w:t>
            </w:r>
          </w:p>
        </w:tc>
        <w:tc>
          <w:tcPr>
            <w:tcW w:w="1418" w:type="dxa"/>
            <w:shd w:val="clear" w:color="auto" w:fill="auto"/>
            <w:noWrap w:val="0"/>
            <w:vAlign w:val="center"/>
          </w:tcPr>
          <w:p w14:paraId="690ED4DF">
            <w:pPr>
              <w:ind w:firstLine="0" w:firstLineChars="0"/>
              <w:jc w:val="center"/>
              <w:rPr>
                <w:b/>
                <w:sz w:val="30"/>
                <w:szCs w:val="30"/>
              </w:rPr>
            </w:pPr>
            <w:r>
              <w:rPr>
                <w:rFonts w:hint="eastAsia"/>
                <w:b/>
                <w:sz w:val="30"/>
                <w:szCs w:val="30"/>
              </w:rPr>
              <w:t>姓名</w:t>
            </w:r>
          </w:p>
        </w:tc>
        <w:tc>
          <w:tcPr>
            <w:tcW w:w="1559" w:type="dxa"/>
            <w:shd w:val="clear" w:color="auto" w:fill="auto"/>
            <w:noWrap w:val="0"/>
            <w:vAlign w:val="center"/>
          </w:tcPr>
          <w:p w14:paraId="0772E828">
            <w:pPr>
              <w:ind w:firstLine="0" w:firstLineChars="0"/>
              <w:jc w:val="center"/>
              <w:rPr>
                <w:b/>
                <w:sz w:val="30"/>
                <w:szCs w:val="30"/>
              </w:rPr>
            </w:pPr>
            <w:r>
              <w:rPr>
                <w:rFonts w:hint="eastAsia"/>
                <w:b/>
                <w:sz w:val="30"/>
                <w:szCs w:val="30"/>
              </w:rPr>
              <w:t>角色</w:t>
            </w:r>
          </w:p>
        </w:tc>
        <w:tc>
          <w:tcPr>
            <w:tcW w:w="2977" w:type="dxa"/>
            <w:shd w:val="clear" w:color="auto" w:fill="auto"/>
            <w:noWrap w:val="0"/>
            <w:vAlign w:val="center"/>
          </w:tcPr>
          <w:p w14:paraId="48EEA26D">
            <w:pPr>
              <w:ind w:firstLine="0" w:firstLineChars="0"/>
              <w:jc w:val="center"/>
              <w:rPr>
                <w:rFonts w:hint="eastAsia"/>
                <w:b/>
                <w:sz w:val="30"/>
                <w:szCs w:val="30"/>
              </w:rPr>
            </w:pPr>
            <w:r>
              <w:rPr>
                <w:rFonts w:hint="eastAsia"/>
                <w:b/>
                <w:sz w:val="30"/>
                <w:szCs w:val="30"/>
              </w:rPr>
              <w:t>本文档撰写分工</w:t>
            </w:r>
          </w:p>
        </w:tc>
      </w:tr>
      <w:tr w14:paraId="7536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161B9049">
            <w:pPr>
              <w:rPr>
                <w:rFonts w:hint="default" w:eastAsia="宋体"/>
                <w:lang w:val="en-US" w:eastAsia="zh-CN"/>
              </w:rPr>
            </w:pPr>
            <w:r>
              <w:rPr>
                <w:rFonts w:hint="eastAsia"/>
                <w:lang w:val="en-US" w:eastAsia="zh-CN"/>
              </w:rPr>
              <w:t>2400413020</w:t>
            </w:r>
          </w:p>
        </w:tc>
        <w:tc>
          <w:tcPr>
            <w:tcW w:w="1418" w:type="dxa"/>
            <w:shd w:val="clear" w:color="auto" w:fill="auto"/>
            <w:noWrap w:val="0"/>
            <w:vAlign w:val="center"/>
          </w:tcPr>
          <w:p w14:paraId="3D6CC1AE">
            <w:pPr>
              <w:rPr>
                <w:rFonts w:hint="eastAsia" w:eastAsia="宋体"/>
                <w:lang w:val="en-US" w:eastAsia="zh-CN"/>
              </w:rPr>
            </w:pPr>
            <w:r>
              <w:rPr>
                <w:rFonts w:hint="eastAsia"/>
                <w:lang w:val="en-US" w:eastAsia="zh-CN"/>
              </w:rPr>
              <w:t>张东旭</w:t>
            </w:r>
          </w:p>
        </w:tc>
        <w:tc>
          <w:tcPr>
            <w:tcW w:w="1559" w:type="dxa"/>
            <w:shd w:val="clear" w:color="auto" w:fill="auto"/>
            <w:noWrap w:val="0"/>
            <w:vAlign w:val="center"/>
          </w:tcPr>
          <w:p w14:paraId="3953CACC">
            <w:r>
              <w:rPr>
                <w:b w:val="0"/>
                <w:sz w:val="21"/>
              </w:rPr>
              <w:t>项目经理 / 产品负责人</w:t>
            </w:r>
          </w:p>
        </w:tc>
        <w:tc>
          <w:tcPr>
            <w:tcW w:w="2977" w:type="dxa"/>
            <w:shd w:val="clear" w:color="auto" w:fill="auto"/>
            <w:noWrap w:val="0"/>
            <w:vAlign w:val="center"/>
          </w:tcPr>
          <w:p w14:paraId="56299CFC">
            <w:r>
              <w:rPr>
                <w:b w:val="0"/>
                <w:sz w:val="21"/>
              </w:rPr>
              <w:t>统筹需求调研、范围控制、里程碑计划、答辩演示路线; 负责第 2 章项目综述与第 6 章验收准则总则; 协调 B/S 架构决策与风险管理.</w:t>
            </w:r>
          </w:p>
        </w:tc>
      </w:tr>
      <w:tr w14:paraId="65C71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12711D46"/>
        </w:tc>
        <w:tc>
          <w:tcPr>
            <w:tcW w:w="1418" w:type="dxa"/>
            <w:shd w:val="clear" w:color="auto" w:fill="auto"/>
            <w:noWrap w:val="0"/>
            <w:vAlign w:val="center"/>
          </w:tcPr>
          <w:p w14:paraId="4F894C4C">
            <w:pPr>
              <w:rPr>
                <w:rFonts w:hint="default" w:eastAsia="宋体"/>
                <w:lang w:val="en-US" w:eastAsia="zh-CN"/>
              </w:rPr>
            </w:pPr>
          </w:p>
        </w:tc>
        <w:tc>
          <w:tcPr>
            <w:tcW w:w="1559" w:type="dxa"/>
            <w:shd w:val="clear" w:color="auto" w:fill="auto"/>
            <w:noWrap w:val="0"/>
            <w:vAlign w:val="center"/>
          </w:tcPr>
          <w:p w14:paraId="3D589268">
            <w:r>
              <w:rPr>
                <w:b w:val="0"/>
                <w:sz w:val="21"/>
              </w:rPr>
              <w:t>前端开发 / 交互设计</w:t>
            </w:r>
          </w:p>
        </w:tc>
        <w:tc>
          <w:tcPr>
            <w:tcW w:w="2977" w:type="dxa"/>
            <w:shd w:val="clear" w:color="auto" w:fill="auto"/>
            <w:noWrap w:val="0"/>
            <w:vAlign w:val="center"/>
          </w:tcPr>
          <w:p w14:paraId="1978D28E">
            <w:r>
              <w:rPr>
                <w:b w:val="0"/>
                <w:sz w:val="21"/>
              </w:rPr>
              <w:t>负责用户端、管理端、检票端页面原型与交互; 编写第 3 章前端运行环境、第 5.1 节界面需求; 设计沉浸式剧院风格、座位图、电子票与看板视觉.</w:t>
            </w:r>
          </w:p>
        </w:tc>
      </w:tr>
      <w:tr w14:paraId="01DFB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535F1A56"/>
        </w:tc>
        <w:tc>
          <w:tcPr>
            <w:tcW w:w="1418" w:type="dxa"/>
            <w:shd w:val="clear" w:color="auto" w:fill="auto"/>
            <w:noWrap w:val="0"/>
            <w:vAlign w:val="center"/>
          </w:tcPr>
          <w:p w14:paraId="74CAA98F"/>
        </w:tc>
        <w:tc>
          <w:tcPr>
            <w:tcW w:w="1559" w:type="dxa"/>
            <w:shd w:val="clear" w:color="auto" w:fill="auto"/>
            <w:noWrap w:val="0"/>
            <w:vAlign w:val="center"/>
          </w:tcPr>
          <w:p w14:paraId="202AC6DD">
            <w:r>
              <w:rPr>
                <w:b w:val="0"/>
                <w:sz w:val="21"/>
              </w:rPr>
              <w:t>后端开发 / 架构设计</w:t>
            </w:r>
          </w:p>
        </w:tc>
        <w:tc>
          <w:tcPr>
            <w:tcW w:w="2977" w:type="dxa"/>
            <w:shd w:val="clear" w:color="auto" w:fill="auto"/>
            <w:noWrap w:val="0"/>
            <w:vAlign w:val="center"/>
          </w:tcPr>
          <w:p w14:paraId="1BE9D2D2">
            <w:r>
              <w:rPr>
                <w:b w:val="0"/>
                <w:sz w:val="21"/>
              </w:rPr>
              <w:t>负责 Spring Boot API、鉴权、订单、锁座、支付模拟、WebSocket 推送; 编写第 4 章核心用例、第 5.2~5.4 节性能/安全/可靠性需求.</w:t>
            </w:r>
          </w:p>
        </w:tc>
      </w:tr>
      <w:tr w14:paraId="350B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372621ED"/>
        </w:tc>
        <w:tc>
          <w:tcPr>
            <w:tcW w:w="1418" w:type="dxa"/>
            <w:shd w:val="clear" w:color="auto" w:fill="auto"/>
            <w:noWrap w:val="0"/>
            <w:vAlign w:val="center"/>
          </w:tcPr>
          <w:p w14:paraId="4A517540"/>
        </w:tc>
        <w:tc>
          <w:tcPr>
            <w:tcW w:w="1559" w:type="dxa"/>
            <w:shd w:val="clear" w:color="auto" w:fill="auto"/>
            <w:noWrap w:val="0"/>
            <w:vAlign w:val="center"/>
          </w:tcPr>
          <w:p w14:paraId="1EE7D5D9">
            <w:r>
              <w:rPr>
                <w:b w:val="0"/>
                <w:sz w:val="21"/>
              </w:rPr>
              <w:t>数据库 / 数据建模</w:t>
            </w:r>
          </w:p>
        </w:tc>
        <w:tc>
          <w:tcPr>
            <w:tcW w:w="2977" w:type="dxa"/>
            <w:shd w:val="clear" w:color="auto" w:fill="auto"/>
            <w:noWrap w:val="0"/>
            <w:vAlign w:val="center"/>
          </w:tcPr>
          <w:p w14:paraId="181400C0">
            <w:r>
              <w:rPr>
                <w:b w:val="0"/>
                <w:sz w:val="21"/>
              </w:rPr>
              <w:t>负责 MySQL 表结构、ER 图、索引、数据字典和初始化脚本; 编写数据库实体说明、状态机约束、统计报表口径和数据一致性说明.</w:t>
            </w:r>
          </w:p>
        </w:tc>
      </w:tr>
      <w:tr w14:paraId="766D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19183768"/>
        </w:tc>
        <w:tc>
          <w:tcPr>
            <w:tcW w:w="1418" w:type="dxa"/>
            <w:shd w:val="clear" w:color="auto" w:fill="auto"/>
            <w:noWrap w:val="0"/>
            <w:vAlign w:val="center"/>
          </w:tcPr>
          <w:p w14:paraId="22E768D8"/>
        </w:tc>
        <w:tc>
          <w:tcPr>
            <w:tcW w:w="1559" w:type="dxa"/>
            <w:shd w:val="clear" w:color="auto" w:fill="auto"/>
            <w:noWrap w:val="0"/>
            <w:vAlign w:val="center"/>
          </w:tcPr>
          <w:p w14:paraId="21469F40">
            <w:r>
              <w:rPr>
                <w:b w:val="0"/>
                <w:sz w:val="21"/>
              </w:rPr>
              <w:t>测试工程师 / 质量保证</w:t>
            </w:r>
          </w:p>
        </w:tc>
        <w:tc>
          <w:tcPr>
            <w:tcW w:w="2977" w:type="dxa"/>
            <w:shd w:val="clear" w:color="auto" w:fill="auto"/>
            <w:noWrap w:val="0"/>
            <w:vAlign w:val="center"/>
          </w:tcPr>
          <w:p w14:paraId="78AFC5AA">
            <w:r>
              <w:rPr>
                <w:b w:val="0"/>
                <w:sz w:val="21"/>
              </w:rPr>
              <w:t>负责功能测试、并发锁座测试、检票异常测试、性能验收脚本和缺陷跟踪; 编写第 6 章验收标准、测试场景与证据归档要求.</w:t>
            </w:r>
          </w:p>
        </w:tc>
      </w:tr>
      <w:tr w14:paraId="348D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066FF4F2"/>
        </w:tc>
        <w:tc>
          <w:tcPr>
            <w:tcW w:w="1418" w:type="dxa"/>
            <w:shd w:val="clear" w:color="auto" w:fill="auto"/>
            <w:noWrap w:val="0"/>
            <w:vAlign w:val="center"/>
          </w:tcPr>
          <w:p w14:paraId="2B269A43"/>
        </w:tc>
        <w:tc>
          <w:tcPr>
            <w:tcW w:w="1559" w:type="dxa"/>
            <w:shd w:val="clear" w:color="auto" w:fill="auto"/>
            <w:noWrap w:val="0"/>
            <w:vAlign w:val="center"/>
          </w:tcPr>
          <w:p w14:paraId="5958079B">
            <w:r>
              <w:rPr>
                <w:b w:val="0"/>
                <w:sz w:val="21"/>
              </w:rPr>
              <w:t>文档工程师 / 配置管理员</w:t>
            </w:r>
          </w:p>
        </w:tc>
        <w:tc>
          <w:tcPr>
            <w:tcW w:w="2977" w:type="dxa"/>
            <w:shd w:val="clear" w:color="auto" w:fill="auto"/>
            <w:noWrap w:val="0"/>
            <w:vAlign w:val="center"/>
          </w:tcPr>
          <w:p w14:paraId="451E0147">
            <w:r>
              <w:rPr>
                <w:b w:val="0"/>
                <w:sz w:val="21"/>
              </w:rPr>
              <w:t>负责 SRS 模板适配、目录/图表/页眉页脚检查、版本记录、UML 图导出、交付物清单和最终 PDF/DOCX 归档; 负责第 1/7/8 章与全文校对.</w:t>
            </w:r>
          </w:p>
        </w:tc>
      </w:tr>
      <w:tr w14:paraId="5F74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248E66FC"/>
        </w:tc>
        <w:tc>
          <w:tcPr>
            <w:tcW w:w="1418" w:type="dxa"/>
            <w:shd w:val="clear" w:color="auto" w:fill="auto"/>
            <w:noWrap w:val="0"/>
            <w:vAlign w:val="center"/>
          </w:tcPr>
          <w:p w14:paraId="74A19810"/>
        </w:tc>
        <w:tc>
          <w:tcPr>
            <w:tcW w:w="1559" w:type="dxa"/>
            <w:shd w:val="clear" w:color="auto" w:fill="auto"/>
            <w:noWrap w:val="0"/>
            <w:vAlign w:val="center"/>
          </w:tcPr>
          <w:p w14:paraId="390D0792">
            <w:pPr>
              <w:rPr>
                <w:b w:val="0"/>
                <w:sz w:val="21"/>
              </w:rPr>
            </w:pPr>
            <w:r>
              <w:rPr>
                <w:rFonts w:ascii="Segoe UI" w:hAnsi="Segoe UI" w:eastAsia="Segoe UI" w:cs="Segoe UI"/>
                <w:i w:val="0"/>
                <w:iCs w:val="0"/>
                <w:caps w:val="0"/>
                <w:spacing w:val="0"/>
                <w:sz w:val="21"/>
                <w:szCs w:val="21"/>
              </w:rPr>
              <w:t>AI 与运营分析工程师 / 创新功能负责人</w:t>
            </w:r>
            <w:bookmarkStart w:id="49" w:name="_GoBack"/>
            <w:bookmarkEnd w:id="49"/>
          </w:p>
        </w:tc>
        <w:tc>
          <w:tcPr>
            <w:tcW w:w="2977" w:type="dxa"/>
            <w:shd w:val="clear" w:color="auto" w:fill="auto"/>
            <w:noWrap w:val="0"/>
            <w:vAlign w:val="center"/>
          </w:tcPr>
          <w:p w14:paraId="44CB85B5">
            <w:pPr>
              <w:rPr>
                <w:b w:val="0"/>
                <w:sz w:val="21"/>
              </w:rPr>
            </w:pPr>
            <w:r>
              <w:rPr>
                <w:rFonts w:ascii="Segoe UI" w:hAnsi="Segoe UI" w:eastAsia="Segoe UI" w:cs="Segoe UI"/>
                <w:i w:val="0"/>
                <w:iCs w:val="0"/>
                <w:caps w:val="0"/>
                <w:spacing w:val="0"/>
                <w:sz w:val="21"/>
                <w:szCs w:val="21"/>
              </w:rPr>
              <w:t>负责演出智能推荐、AI 运营助手、票房数据分析、运营复盘摘要等创新功能需求; 编写第 4 章中 ENC_UC_REC_01、ENC_UC_AI_01 相关内容, 第 5 章 AI 成本控制与降级策略, 并协助完成第 6 章差异化功能验收条目。</w:t>
            </w:r>
          </w:p>
        </w:tc>
      </w:tr>
    </w:tbl>
    <w:p w14:paraId="59D08562">
      <w:pPr>
        <w:spacing w:before="489" w:beforeLines="150"/>
        <w:ind w:firstLine="51" w:firstLineChars="16"/>
        <w:jc w:val="center"/>
        <w:rPr>
          <w:rFonts w:ascii="黑体" w:eastAsia="黑体"/>
          <w:bCs/>
          <w:sz w:val="32"/>
          <w:szCs w:val="32"/>
        </w:rPr>
      </w:pPr>
      <w:r>
        <w:rPr>
          <w:rFonts w:hint="eastAsia" w:ascii="黑体" w:eastAsia="黑体"/>
          <w:bCs/>
          <w:sz w:val="32"/>
          <w:szCs w:val="32"/>
        </w:rPr>
        <w:t>信息学院 软件工程系</w:t>
      </w:r>
    </w:p>
    <w:p w14:paraId="46C2A286">
      <w:pPr>
        <w:tabs>
          <w:tab w:val="left" w:pos="2700"/>
        </w:tabs>
        <w:spacing w:before="100" w:beforeAutospacing="1"/>
        <w:ind w:firstLine="80" w:firstLineChars="25"/>
        <w:jc w:val="center"/>
        <w:rPr>
          <w:rFonts w:ascii="黑体" w:eastAsia="黑体" w:cs="Arial"/>
          <w:bCs/>
          <w:sz w:val="32"/>
        </w:rPr>
      </w:pPr>
      <w:r>
        <w:rPr>
          <w:rFonts w:hint="eastAsia" w:ascii="黑体" w:eastAsia="黑体" w:cs="Arial"/>
          <w:bCs/>
          <w:sz w:val="32"/>
        </w:rPr>
        <w:t>二○二六年五月</w:t>
      </w:r>
    </w:p>
    <w:p w14:paraId="128F51EB">
      <w:pPr>
        <w:tabs>
          <w:tab w:val="left" w:pos="2700"/>
        </w:tabs>
        <w:spacing w:before="100" w:beforeAutospacing="1"/>
        <w:ind w:firstLine="80" w:firstLineChars="25"/>
        <w:jc w:val="center"/>
        <w:rPr>
          <w:rFonts w:ascii="黑体" w:eastAsia="黑体" w:cs="Arial"/>
          <w:bCs/>
          <w:sz w:val="32"/>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992" w:gutter="0"/>
          <w:cols w:space="425" w:num="1"/>
          <w:titlePg/>
          <w:docGrid w:type="lines" w:linePitch="326" w:charSpace="0"/>
        </w:sectPr>
      </w:pPr>
    </w:p>
    <w:p w14:paraId="3DE1A366">
      <w:pPr>
        <w:ind w:firstLine="560"/>
        <w:rPr>
          <w:rFonts w:ascii="黑体" w:eastAsia="黑体"/>
          <w:sz w:val="28"/>
          <w:szCs w:val="28"/>
        </w:rPr>
      </w:pPr>
    </w:p>
    <w:p w14:paraId="3FD9A413">
      <w:pPr>
        <w:ind w:firstLine="560"/>
        <w:rPr>
          <w:rFonts w:ascii="黑体" w:eastAsia="黑体"/>
          <w:sz w:val="28"/>
          <w:szCs w:val="28"/>
        </w:rPr>
      </w:pPr>
    </w:p>
    <w:p w14:paraId="65EDA860">
      <w:pPr>
        <w:ind w:firstLine="560"/>
        <w:rPr>
          <w:sz w:val="28"/>
          <w:szCs w:val="28"/>
        </w:rPr>
      </w:pPr>
      <w:r>
        <w:rPr>
          <w:rFonts w:hint="eastAsia"/>
          <w:sz w:val="28"/>
          <w:szCs w:val="28"/>
        </w:rPr>
        <w:t>拟  制：</w:t>
      </w:r>
    </w:p>
    <w:p w14:paraId="730282E8">
      <w:pPr>
        <w:ind w:firstLine="560"/>
        <w:rPr>
          <w:sz w:val="28"/>
          <w:szCs w:val="28"/>
        </w:rPr>
      </w:pPr>
    </w:p>
    <w:p w14:paraId="742CC10A">
      <w:pPr>
        <w:ind w:firstLine="560"/>
        <w:rPr>
          <w:sz w:val="28"/>
          <w:szCs w:val="28"/>
        </w:rPr>
      </w:pPr>
    </w:p>
    <w:p w14:paraId="6BB03082">
      <w:pPr>
        <w:ind w:firstLine="560"/>
        <w:rPr>
          <w:sz w:val="28"/>
          <w:szCs w:val="28"/>
        </w:rPr>
      </w:pPr>
      <w:r>
        <w:rPr>
          <w:rFonts w:hint="eastAsia"/>
          <w:sz w:val="28"/>
          <w:szCs w:val="28"/>
        </w:rPr>
        <w:t>审  核：</w:t>
      </w:r>
    </w:p>
    <w:p w14:paraId="64CF7A09">
      <w:pPr>
        <w:ind w:firstLine="560"/>
        <w:rPr>
          <w:sz w:val="28"/>
          <w:szCs w:val="28"/>
        </w:rPr>
      </w:pPr>
    </w:p>
    <w:p w14:paraId="4A944960">
      <w:pPr>
        <w:ind w:firstLine="560"/>
        <w:rPr>
          <w:sz w:val="28"/>
          <w:szCs w:val="28"/>
        </w:rPr>
      </w:pPr>
    </w:p>
    <w:p w14:paraId="0D6DAB1F">
      <w:pPr>
        <w:ind w:firstLine="560"/>
        <w:rPr>
          <w:sz w:val="28"/>
          <w:szCs w:val="28"/>
        </w:rPr>
      </w:pPr>
      <w:r>
        <w:rPr>
          <w:rFonts w:hint="eastAsia"/>
          <w:sz w:val="28"/>
          <w:szCs w:val="28"/>
        </w:rPr>
        <w:t>标准化：</w:t>
      </w:r>
    </w:p>
    <w:p w14:paraId="2714C652">
      <w:pPr>
        <w:ind w:firstLine="560"/>
        <w:rPr>
          <w:sz w:val="28"/>
          <w:szCs w:val="28"/>
        </w:rPr>
      </w:pPr>
    </w:p>
    <w:p w14:paraId="7982BCE3">
      <w:pPr>
        <w:ind w:firstLine="560"/>
        <w:rPr>
          <w:sz w:val="28"/>
          <w:szCs w:val="28"/>
        </w:rPr>
      </w:pPr>
    </w:p>
    <w:p w14:paraId="17B68C77">
      <w:pPr>
        <w:ind w:firstLine="560"/>
        <w:rPr>
          <w:sz w:val="28"/>
          <w:szCs w:val="28"/>
        </w:rPr>
      </w:pPr>
      <w:r>
        <w:rPr>
          <w:rFonts w:hint="eastAsia"/>
          <w:sz w:val="28"/>
          <w:szCs w:val="28"/>
        </w:rPr>
        <w:t>会  签：</w:t>
      </w:r>
    </w:p>
    <w:p w14:paraId="08E25CE7">
      <w:pPr>
        <w:ind w:firstLine="560"/>
        <w:rPr>
          <w:sz w:val="28"/>
          <w:szCs w:val="28"/>
        </w:rPr>
      </w:pPr>
    </w:p>
    <w:p w14:paraId="09BDC1EB">
      <w:pPr>
        <w:ind w:firstLine="560"/>
        <w:rPr>
          <w:sz w:val="28"/>
          <w:szCs w:val="28"/>
        </w:rPr>
      </w:pPr>
    </w:p>
    <w:p w14:paraId="0DEE53AC">
      <w:pPr>
        <w:ind w:firstLine="560"/>
        <w:rPr>
          <w:sz w:val="28"/>
          <w:szCs w:val="28"/>
        </w:rPr>
      </w:pPr>
      <w:r>
        <w:rPr>
          <w:rFonts w:hint="eastAsia"/>
          <w:sz w:val="28"/>
          <w:szCs w:val="28"/>
        </w:rPr>
        <w:t>批  准：</w:t>
      </w:r>
    </w:p>
    <w:p w14:paraId="6AF618C2">
      <w:pPr>
        <w:spacing w:line="240" w:lineRule="auto"/>
        <w:ind w:firstLine="0" w:firstLineChars="0"/>
        <w:jc w:val="center"/>
      </w:pPr>
    </w:p>
    <w:p w14:paraId="1D63D011">
      <w:pPr>
        <w:spacing w:line="240" w:lineRule="auto"/>
        <w:ind w:firstLine="0" w:firstLineChars="0"/>
        <w:jc w:val="center"/>
      </w:pPr>
    </w:p>
    <w:p w14:paraId="1CE64A46">
      <w:pPr>
        <w:spacing w:line="240" w:lineRule="auto"/>
        <w:ind w:firstLine="0" w:firstLineChars="0"/>
        <w:jc w:val="center"/>
      </w:pPr>
    </w:p>
    <w:p w14:paraId="55180735">
      <w:pPr>
        <w:spacing w:line="240" w:lineRule="auto"/>
        <w:ind w:firstLine="0" w:firstLineChars="0"/>
        <w:jc w:val="center"/>
        <w:sectPr>
          <w:headerReference r:id="rId11" w:type="default"/>
          <w:type w:val="oddPage"/>
          <w:pgSz w:w="11906" w:h="16838"/>
          <w:pgMar w:top="1440" w:right="1800" w:bottom="1440" w:left="1800" w:header="851" w:footer="992" w:gutter="0"/>
          <w:cols w:space="425" w:num="1"/>
          <w:docGrid w:type="lines" w:linePitch="326" w:charSpace="0"/>
        </w:sectPr>
      </w:pPr>
    </w:p>
    <w:p w14:paraId="7D84A65B">
      <w:pPr>
        <w:spacing w:before="326" w:beforeLines="100"/>
        <w:ind w:firstLine="0" w:firstLineChars="0"/>
        <w:jc w:val="center"/>
        <w:rPr>
          <w:rFonts w:ascii="黑体" w:eastAsia="黑体"/>
          <w:sz w:val="28"/>
          <w:szCs w:val="28"/>
        </w:rPr>
      </w:pPr>
      <w:r>
        <w:rPr>
          <w:rFonts w:hint="eastAsia" w:ascii="黑体" w:eastAsia="黑体"/>
          <w:sz w:val="28"/>
          <w:szCs w:val="28"/>
        </w:rPr>
        <w:t>文档修改记录</w:t>
      </w:r>
    </w:p>
    <w:p w14:paraId="092DF3E7">
      <w:pPr>
        <w:ind w:firstLine="0" w:firstLineChars="0"/>
        <w:jc w:val="center"/>
        <w:rPr>
          <w:rFonts w:ascii="黑体" w:eastAsia="黑体"/>
          <w:sz w:val="28"/>
          <w:szCs w:val="28"/>
        </w:rPr>
      </w:pP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82"/>
        <w:gridCol w:w="3853"/>
        <w:gridCol w:w="997"/>
        <w:gridCol w:w="1677"/>
        <w:gridCol w:w="913"/>
      </w:tblGrid>
      <w:tr w14:paraId="46C30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center"/>
          </w:tcPr>
          <w:p w14:paraId="65B57300">
            <w:pPr>
              <w:spacing w:line="240" w:lineRule="auto"/>
              <w:ind w:firstLine="0" w:firstLineChars="0"/>
              <w:jc w:val="center"/>
            </w:pPr>
            <w:r>
              <w:rPr>
                <w:rFonts w:hint="eastAsia"/>
              </w:rPr>
              <w:t>版本号</w:t>
            </w:r>
          </w:p>
        </w:tc>
        <w:tc>
          <w:tcPr>
            <w:tcW w:w="4547" w:type="dxa"/>
            <w:noWrap w:val="0"/>
            <w:vAlign w:val="center"/>
          </w:tcPr>
          <w:p w14:paraId="73F799C9">
            <w:pPr>
              <w:spacing w:line="240" w:lineRule="auto"/>
              <w:ind w:firstLine="0" w:firstLineChars="0"/>
              <w:jc w:val="center"/>
            </w:pPr>
            <w:r>
              <w:rPr>
                <w:rFonts w:hint="eastAsia"/>
              </w:rPr>
              <w:t>修改内容描述</w:t>
            </w:r>
          </w:p>
        </w:tc>
        <w:tc>
          <w:tcPr>
            <w:tcW w:w="1137" w:type="dxa"/>
            <w:noWrap w:val="0"/>
            <w:vAlign w:val="center"/>
          </w:tcPr>
          <w:p w14:paraId="5F2CCA0C">
            <w:pPr>
              <w:spacing w:line="240" w:lineRule="auto"/>
              <w:ind w:firstLine="0" w:firstLineChars="0"/>
              <w:jc w:val="center"/>
            </w:pPr>
            <w:r>
              <w:rPr>
                <w:rFonts w:hint="eastAsia"/>
              </w:rPr>
              <w:t>修改人</w:t>
            </w:r>
          </w:p>
        </w:tc>
        <w:tc>
          <w:tcPr>
            <w:tcW w:w="915" w:type="dxa"/>
            <w:noWrap w:val="0"/>
            <w:vAlign w:val="center"/>
          </w:tcPr>
          <w:p w14:paraId="3ABFF99D">
            <w:pPr>
              <w:spacing w:line="240" w:lineRule="auto"/>
              <w:ind w:firstLine="0" w:firstLineChars="0"/>
              <w:jc w:val="center"/>
            </w:pPr>
            <w:r>
              <w:rPr>
                <w:rFonts w:hint="eastAsia"/>
              </w:rPr>
              <w:t>日期</w:t>
            </w:r>
          </w:p>
        </w:tc>
        <w:tc>
          <w:tcPr>
            <w:tcW w:w="915" w:type="dxa"/>
            <w:noWrap w:val="0"/>
            <w:vAlign w:val="center"/>
          </w:tcPr>
          <w:p w14:paraId="36DD45E7">
            <w:pPr>
              <w:spacing w:line="240" w:lineRule="auto"/>
              <w:ind w:firstLine="0" w:firstLineChars="0"/>
              <w:jc w:val="center"/>
            </w:pPr>
            <w:r>
              <w:rPr>
                <w:rFonts w:hint="eastAsia"/>
              </w:rPr>
              <w:t>备注</w:t>
            </w:r>
          </w:p>
        </w:tc>
      </w:tr>
      <w:tr w14:paraId="7F522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639BAC76">
            <w:r>
              <w:rPr>
                <w:b w:val="0"/>
                <w:sz w:val="21"/>
              </w:rPr>
              <w:t>V0.1</w:t>
            </w:r>
          </w:p>
        </w:tc>
        <w:tc>
          <w:tcPr>
            <w:tcW w:w="4547" w:type="dxa"/>
            <w:noWrap w:val="0"/>
            <w:vAlign w:val="top"/>
          </w:tcPr>
          <w:p w14:paraId="4BC1A757">
            <w:r>
              <w:rPr>
                <w:b w:val="0"/>
                <w:sz w:val="21"/>
              </w:rPr>
              <w:t>建立 SRS 初始框架: 依据课程模板完成封面、目录、引言、项目资料与基础角色划分.</w:t>
            </w:r>
          </w:p>
        </w:tc>
        <w:tc>
          <w:tcPr>
            <w:tcW w:w="1137" w:type="dxa"/>
            <w:noWrap w:val="0"/>
            <w:vAlign w:val="top"/>
          </w:tcPr>
          <w:p w14:paraId="4F03A82C"/>
        </w:tc>
        <w:tc>
          <w:tcPr>
            <w:tcW w:w="915" w:type="dxa"/>
            <w:noWrap w:val="0"/>
            <w:vAlign w:val="top"/>
          </w:tcPr>
          <w:p w14:paraId="67E215BC">
            <w:pPr>
              <w:rPr>
                <w:rFonts w:hint="default" w:eastAsia="宋体"/>
                <w:lang w:val="en-US" w:eastAsia="zh-CN"/>
              </w:rPr>
            </w:pPr>
            <w:r>
              <w:rPr>
                <w:b w:val="0"/>
                <w:sz w:val="21"/>
              </w:rPr>
              <w:t>2026-0</w:t>
            </w:r>
            <w:r>
              <w:rPr>
                <w:rFonts w:hint="eastAsia"/>
                <w:b w:val="0"/>
                <w:sz w:val="21"/>
                <w:lang w:val="en-US" w:eastAsia="zh-CN"/>
              </w:rPr>
              <w:t>4</w:t>
            </w:r>
            <w:r>
              <w:rPr>
                <w:b w:val="0"/>
                <w:sz w:val="21"/>
              </w:rPr>
              <w:t>-</w:t>
            </w:r>
            <w:r>
              <w:rPr>
                <w:rFonts w:hint="eastAsia"/>
                <w:b w:val="0"/>
                <w:sz w:val="21"/>
                <w:lang w:val="en-US" w:eastAsia="zh-CN"/>
              </w:rPr>
              <w:t>23</w:t>
            </w:r>
          </w:p>
        </w:tc>
        <w:tc>
          <w:tcPr>
            <w:tcW w:w="915" w:type="dxa"/>
            <w:noWrap w:val="0"/>
            <w:vAlign w:val="top"/>
          </w:tcPr>
          <w:p w14:paraId="10B56AE3">
            <w:r>
              <w:rPr>
                <w:b w:val="0"/>
                <w:sz w:val="21"/>
              </w:rPr>
              <w:t>需求调研版</w:t>
            </w:r>
          </w:p>
        </w:tc>
      </w:tr>
      <w:tr w14:paraId="399B2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65CF54CB">
            <w:r>
              <w:rPr>
                <w:b w:val="0"/>
                <w:sz w:val="21"/>
              </w:rPr>
              <w:t>V0.2</w:t>
            </w:r>
          </w:p>
        </w:tc>
        <w:tc>
          <w:tcPr>
            <w:tcW w:w="4547" w:type="dxa"/>
            <w:noWrap w:val="0"/>
            <w:vAlign w:val="top"/>
          </w:tcPr>
          <w:p w14:paraId="063EC61D">
            <w:r>
              <w:rPr>
                <w:b w:val="0"/>
                <w:sz w:val="21"/>
              </w:rPr>
              <w:t>补充项目综述: 明确 ENCORE 面向中小型剧院/校园剧场, 梳理演出发布、选座购票、检票核销、票房分析业务闭环.</w:t>
            </w:r>
          </w:p>
        </w:tc>
        <w:tc>
          <w:tcPr>
            <w:tcW w:w="1137" w:type="dxa"/>
            <w:noWrap w:val="0"/>
            <w:vAlign w:val="top"/>
          </w:tcPr>
          <w:p w14:paraId="4C8715A1"/>
        </w:tc>
        <w:tc>
          <w:tcPr>
            <w:tcW w:w="915" w:type="dxa"/>
            <w:noWrap w:val="0"/>
            <w:vAlign w:val="top"/>
          </w:tcPr>
          <w:p w14:paraId="5053E6BA">
            <w:pPr>
              <w:rPr>
                <w:rFonts w:hint="default" w:eastAsia="宋体"/>
                <w:lang w:val="en-US" w:eastAsia="zh-CN"/>
              </w:rPr>
            </w:pPr>
            <w:r>
              <w:rPr>
                <w:b w:val="0"/>
                <w:sz w:val="21"/>
              </w:rPr>
              <w:t>2026-0</w:t>
            </w:r>
            <w:r>
              <w:rPr>
                <w:rFonts w:hint="eastAsia"/>
                <w:b w:val="0"/>
                <w:sz w:val="21"/>
                <w:lang w:val="en-US" w:eastAsia="zh-CN"/>
              </w:rPr>
              <w:t>4</w:t>
            </w:r>
            <w:r>
              <w:rPr>
                <w:b w:val="0"/>
                <w:sz w:val="21"/>
              </w:rPr>
              <w:t>-</w:t>
            </w:r>
            <w:r>
              <w:rPr>
                <w:rFonts w:hint="eastAsia"/>
                <w:b w:val="0"/>
                <w:sz w:val="21"/>
                <w:lang w:val="en-US" w:eastAsia="zh-CN"/>
              </w:rPr>
              <w:t>25</w:t>
            </w:r>
          </w:p>
        </w:tc>
        <w:tc>
          <w:tcPr>
            <w:tcW w:w="915" w:type="dxa"/>
            <w:noWrap w:val="0"/>
            <w:vAlign w:val="top"/>
          </w:tcPr>
          <w:p w14:paraId="6A8A4949">
            <w:r>
              <w:rPr>
                <w:b w:val="0"/>
                <w:sz w:val="21"/>
              </w:rPr>
              <w:t>业务建模版</w:t>
            </w:r>
          </w:p>
        </w:tc>
      </w:tr>
      <w:tr w14:paraId="4B8C2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18C9F970">
            <w:r>
              <w:rPr>
                <w:b w:val="0"/>
                <w:sz w:val="21"/>
              </w:rPr>
              <w:t>V0.3</w:t>
            </w:r>
          </w:p>
        </w:tc>
        <w:tc>
          <w:tcPr>
            <w:tcW w:w="4547" w:type="dxa"/>
            <w:noWrap w:val="0"/>
            <w:vAlign w:val="top"/>
          </w:tcPr>
          <w:p w14:paraId="66A5601F">
            <w:r>
              <w:rPr>
                <w:b w:val="0"/>
                <w:sz w:val="21"/>
              </w:rPr>
              <w:t>完善系统体系结构: 确定 B/S 前后端分离方案, 补充 Nginx、Spring Boot、MySQL、Redis、WebSocket 运行环境.</w:t>
            </w:r>
          </w:p>
        </w:tc>
        <w:tc>
          <w:tcPr>
            <w:tcW w:w="1137" w:type="dxa"/>
            <w:noWrap w:val="0"/>
            <w:vAlign w:val="top"/>
          </w:tcPr>
          <w:p w14:paraId="210AE5A3"/>
        </w:tc>
        <w:tc>
          <w:tcPr>
            <w:tcW w:w="915" w:type="dxa"/>
            <w:noWrap w:val="0"/>
            <w:vAlign w:val="top"/>
          </w:tcPr>
          <w:p w14:paraId="12BA6B96">
            <w:pPr>
              <w:rPr>
                <w:rFonts w:hint="default" w:eastAsia="宋体"/>
                <w:lang w:val="en-US" w:eastAsia="zh-CN"/>
              </w:rPr>
            </w:pPr>
            <w:r>
              <w:rPr>
                <w:b w:val="0"/>
                <w:sz w:val="21"/>
              </w:rPr>
              <w:t>2026-0</w:t>
            </w:r>
            <w:r>
              <w:rPr>
                <w:rFonts w:hint="eastAsia"/>
                <w:b w:val="0"/>
                <w:sz w:val="21"/>
                <w:lang w:val="en-US" w:eastAsia="zh-CN"/>
              </w:rPr>
              <w:t>4</w:t>
            </w:r>
            <w:r>
              <w:rPr>
                <w:b w:val="0"/>
                <w:sz w:val="21"/>
              </w:rPr>
              <w:t>-</w:t>
            </w:r>
            <w:r>
              <w:rPr>
                <w:rFonts w:hint="eastAsia"/>
                <w:b w:val="0"/>
                <w:sz w:val="21"/>
                <w:lang w:val="en-US" w:eastAsia="zh-CN"/>
              </w:rPr>
              <w:t>27</w:t>
            </w:r>
          </w:p>
        </w:tc>
        <w:tc>
          <w:tcPr>
            <w:tcW w:w="915" w:type="dxa"/>
            <w:noWrap w:val="0"/>
            <w:vAlign w:val="top"/>
          </w:tcPr>
          <w:p w14:paraId="13FD4ED7">
            <w:r>
              <w:rPr>
                <w:b w:val="0"/>
                <w:sz w:val="21"/>
              </w:rPr>
              <w:t>架构说明版</w:t>
            </w:r>
          </w:p>
        </w:tc>
      </w:tr>
      <w:tr w14:paraId="16A76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036A5C31">
            <w:r>
              <w:rPr>
                <w:b w:val="0"/>
                <w:sz w:val="21"/>
              </w:rPr>
              <w:t>V0.4</w:t>
            </w:r>
          </w:p>
        </w:tc>
        <w:tc>
          <w:tcPr>
            <w:tcW w:w="4547" w:type="dxa"/>
            <w:noWrap w:val="0"/>
            <w:vAlign w:val="top"/>
          </w:tcPr>
          <w:p w14:paraId="532F0BBC">
            <w:r>
              <w:rPr>
                <w:b w:val="0"/>
                <w:sz w:val="21"/>
              </w:rPr>
              <w:t>补充功能需求: 完成系统参与者、功能构成、全部用例清单、核心用例说明表及对应 UML 用例图/活动图/顺序图.</w:t>
            </w:r>
          </w:p>
        </w:tc>
        <w:tc>
          <w:tcPr>
            <w:tcW w:w="1137" w:type="dxa"/>
            <w:noWrap w:val="0"/>
            <w:vAlign w:val="top"/>
          </w:tcPr>
          <w:p w14:paraId="38DF9F82"/>
        </w:tc>
        <w:tc>
          <w:tcPr>
            <w:tcW w:w="915" w:type="dxa"/>
            <w:noWrap w:val="0"/>
            <w:vAlign w:val="top"/>
          </w:tcPr>
          <w:p w14:paraId="0D7C3267">
            <w:r>
              <w:rPr>
                <w:b w:val="0"/>
                <w:sz w:val="21"/>
              </w:rPr>
              <w:t>2026-05-</w:t>
            </w:r>
            <w:r>
              <w:rPr>
                <w:rFonts w:hint="eastAsia"/>
                <w:b w:val="0"/>
                <w:sz w:val="21"/>
                <w:lang w:val="en-US" w:eastAsia="zh-CN"/>
              </w:rPr>
              <w:t>0</w:t>
            </w:r>
            <w:r>
              <w:rPr>
                <w:b w:val="0"/>
                <w:sz w:val="21"/>
              </w:rPr>
              <w:t>1</w:t>
            </w:r>
          </w:p>
        </w:tc>
        <w:tc>
          <w:tcPr>
            <w:tcW w:w="915" w:type="dxa"/>
            <w:noWrap w:val="0"/>
            <w:vAlign w:val="top"/>
          </w:tcPr>
          <w:p w14:paraId="22EFCDD2">
            <w:r>
              <w:rPr>
                <w:b w:val="0"/>
                <w:sz w:val="21"/>
              </w:rPr>
              <w:t>功能需求版</w:t>
            </w:r>
          </w:p>
        </w:tc>
      </w:tr>
      <w:tr w14:paraId="1A060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75BD152A">
            <w:r>
              <w:rPr>
                <w:b w:val="0"/>
                <w:sz w:val="21"/>
              </w:rPr>
              <w:t>V0.5</w:t>
            </w:r>
          </w:p>
        </w:tc>
        <w:tc>
          <w:tcPr>
            <w:tcW w:w="4547" w:type="dxa"/>
            <w:noWrap w:val="0"/>
            <w:vAlign w:val="top"/>
          </w:tcPr>
          <w:p w14:paraId="7E5A0C9B">
            <w:r>
              <w:rPr>
                <w:b w:val="0"/>
                <w:sz w:val="21"/>
              </w:rPr>
              <w:t>补充差异化能力: 增加实时多人选座、舞台视角预览、拼座邀请、黑金数据看板、演出智能推荐等创新需求.</w:t>
            </w:r>
          </w:p>
        </w:tc>
        <w:tc>
          <w:tcPr>
            <w:tcW w:w="1137" w:type="dxa"/>
            <w:noWrap w:val="0"/>
            <w:vAlign w:val="top"/>
          </w:tcPr>
          <w:p w14:paraId="37E37FC5"/>
        </w:tc>
        <w:tc>
          <w:tcPr>
            <w:tcW w:w="915" w:type="dxa"/>
            <w:noWrap w:val="0"/>
            <w:vAlign w:val="top"/>
          </w:tcPr>
          <w:p w14:paraId="294426F1">
            <w:pPr>
              <w:rPr>
                <w:rFonts w:hint="default" w:eastAsia="宋体"/>
                <w:lang w:val="en-US" w:eastAsia="zh-CN"/>
              </w:rPr>
            </w:pPr>
            <w:r>
              <w:rPr>
                <w:b w:val="0"/>
                <w:sz w:val="21"/>
              </w:rPr>
              <w:t>2026-05-</w:t>
            </w:r>
            <w:r>
              <w:rPr>
                <w:rFonts w:hint="eastAsia"/>
                <w:b w:val="0"/>
                <w:sz w:val="21"/>
                <w:lang w:val="en-US" w:eastAsia="zh-CN"/>
              </w:rPr>
              <w:t>04</w:t>
            </w:r>
          </w:p>
        </w:tc>
        <w:tc>
          <w:tcPr>
            <w:tcW w:w="915" w:type="dxa"/>
            <w:noWrap w:val="0"/>
            <w:vAlign w:val="top"/>
          </w:tcPr>
          <w:p w14:paraId="2768C27D">
            <w:r>
              <w:rPr>
                <w:b w:val="0"/>
                <w:sz w:val="21"/>
              </w:rPr>
              <w:t>创新增强版</w:t>
            </w:r>
          </w:p>
        </w:tc>
      </w:tr>
      <w:tr w14:paraId="18179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04E725D2">
            <w:r>
              <w:rPr>
                <w:b w:val="0"/>
                <w:sz w:val="21"/>
              </w:rPr>
              <w:t>V0.6</w:t>
            </w:r>
          </w:p>
        </w:tc>
        <w:tc>
          <w:tcPr>
            <w:tcW w:w="4547" w:type="dxa"/>
            <w:noWrap w:val="0"/>
            <w:vAlign w:val="top"/>
          </w:tcPr>
          <w:p w14:paraId="2E2732A2">
            <w:r>
              <w:rPr>
                <w:b w:val="0"/>
                <w:sz w:val="21"/>
              </w:rPr>
              <w:t>完善非功能需求: 增加性能指标、安全策略、可靠性、适应性、设计约束和接口文档约束.</w:t>
            </w:r>
          </w:p>
        </w:tc>
        <w:tc>
          <w:tcPr>
            <w:tcW w:w="1137" w:type="dxa"/>
            <w:noWrap w:val="0"/>
            <w:vAlign w:val="top"/>
          </w:tcPr>
          <w:p w14:paraId="398A310D"/>
        </w:tc>
        <w:tc>
          <w:tcPr>
            <w:tcW w:w="915" w:type="dxa"/>
            <w:noWrap w:val="0"/>
            <w:vAlign w:val="top"/>
          </w:tcPr>
          <w:p w14:paraId="5B45CD67">
            <w:pPr>
              <w:rPr>
                <w:rFonts w:hint="default" w:eastAsia="宋体"/>
                <w:lang w:val="en-US" w:eastAsia="zh-CN"/>
              </w:rPr>
            </w:pPr>
            <w:r>
              <w:rPr>
                <w:b w:val="0"/>
                <w:sz w:val="21"/>
              </w:rPr>
              <w:t>2026-05-</w:t>
            </w:r>
            <w:r>
              <w:rPr>
                <w:rFonts w:hint="eastAsia"/>
                <w:b w:val="0"/>
                <w:sz w:val="21"/>
                <w:lang w:val="en-US" w:eastAsia="zh-CN"/>
              </w:rPr>
              <w:t>07</w:t>
            </w:r>
          </w:p>
        </w:tc>
        <w:tc>
          <w:tcPr>
            <w:tcW w:w="915" w:type="dxa"/>
            <w:noWrap w:val="0"/>
            <w:vAlign w:val="top"/>
          </w:tcPr>
          <w:p w14:paraId="24554052">
            <w:r>
              <w:rPr>
                <w:b w:val="0"/>
                <w:sz w:val="21"/>
              </w:rPr>
              <w:t>质量属性版</w:t>
            </w:r>
          </w:p>
        </w:tc>
      </w:tr>
      <w:tr w14:paraId="0D7D6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69B6754A">
            <w:r>
              <w:rPr>
                <w:b w:val="0"/>
                <w:sz w:val="21"/>
              </w:rPr>
              <w:t>V0.7</w:t>
            </w:r>
          </w:p>
        </w:tc>
        <w:tc>
          <w:tcPr>
            <w:tcW w:w="4547" w:type="dxa"/>
            <w:noWrap w:val="0"/>
            <w:vAlign w:val="top"/>
          </w:tcPr>
          <w:p w14:paraId="57274BEE">
            <w:r>
              <w:rPr>
                <w:b w:val="0"/>
                <w:sz w:val="21"/>
              </w:rPr>
              <w:t>补充验收与交付: 建立功能验收、差异化验收、交付物清单、测试证据与课程提交要求.</w:t>
            </w:r>
          </w:p>
        </w:tc>
        <w:tc>
          <w:tcPr>
            <w:tcW w:w="1137" w:type="dxa"/>
            <w:noWrap w:val="0"/>
            <w:vAlign w:val="top"/>
          </w:tcPr>
          <w:p w14:paraId="6E042882"/>
        </w:tc>
        <w:tc>
          <w:tcPr>
            <w:tcW w:w="915" w:type="dxa"/>
            <w:noWrap w:val="0"/>
            <w:vAlign w:val="top"/>
          </w:tcPr>
          <w:p w14:paraId="3AE29E3D">
            <w:pPr>
              <w:rPr>
                <w:rFonts w:hint="default" w:eastAsia="宋体"/>
                <w:lang w:val="en-US" w:eastAsia="zh-CN"/>
              </w:rPr>
            </w:pPr>
            <w:r>
              <w:rPr>
                <w:b w:val="0"/>
                <w:sz w:val="21"/>
              </w:rPr>
              <w:t>2026-05-</w:t>
            </w:r>
            <w:r>
              <w:rPr>
                <w:rFonts w:hint="eastAsia"/>
                <w:b w:val="0"/>
                <w:sz w:val="21"/>
                <w:lang w:val="en-US" w:eastAsia="zh-CN"/>
              </w:rPr>
              <w:t>08</w:t>
            </w:r>
          </w:p>
        </w:tc>
        <w:tc>
          <w:tcPr>
            <w:tcW w:w="915" w:type="dxa"/>
            <w:noWrap w:val="0"/>
            <w:vAlign w:val="top"/>
          </w:tcPr>
          <w:p w14:paraId="4D329F72">
            <w:r>
              <w:rPr>
                <w:b w:val="0"/>
                <w:sz w:val="21"/>
              </w:rPr>
              <w:t>验收交付版</w:t>
            </w:r>
          </w:p>
        </w:tc>
      </w:tr>
      <w:tr w14:paraId="7A0AD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74B67810">
            <w:r>
              <w:rPr>
                <w:b w:val="0"/>
                <w:sz w:val="21"/>
              </w:rPr>
              <w:t>V0.8</w:t>
            </w:r>
          </w:p>
        </w:tc>
        <w:tc>
          <w:tcPr>
            <w:tcW w:w="4547" w:type="dxa"/>
            <w:noWrap w:val="0"/>
            <w:vAlign w:val="top"/>
          </w:tcPr>
          <w:p w14:paraId="1BE63D74">
            <w:r>
              <w:rPr>
                <w:b w:val="0"/>
                <w:sz w:val="21"/>
              </w:rPr>
              <w:t>模板一致性修订: 修正页眉、模板占位符、功能用例层级、目录字段、图表说明与正文引用一致性.</w:t>
            </w:r>
          </w:p>
        </w:tc>
        <w:tc>
          <w:tcPr>
            <w:tcW w:w="1137" w:type="dxa"/>
            <w:noWrap w:val="0"/>
            <w:vAlign w:val="top"/>
          </w:tcPr>
          <w:p w14:paraId="7CFDE90E"/>
        </w:tc>
        <w:tc>
          <w:tcPr>
            <w:tcW w:w="915" w:type="dxa"/>
            <w:noWrap w:val="0"/>
            <w:vAlign w:val="top"/>
          </w:tcPr>
          <w:p w14:paraId="79F4F86C">
            <w:pPr>
              <w:rPr>
                <w:rFonts w:hint="default" w:eastAsia="宋体"/>
                <w:lang w:val="en-US" w:eastAsia="zh-CN"/>
              </w:rPr>
            </w:pPr>
            <w:r>
              <w:rPr>
                <w:b w:val="0"/>
                <w:sz w:val="21"/>
              </w:rPr>
              <w:t>2026-05-</w:t>
            </w:r>
            <w:r>
              <w:rPr>
                <w:rFonts w:hint="eastAsia"/>
                <w:b w:val="0"/>
                <w:sz w:val="21"/>
                <w:lang w:val="en-US" w:eastAsia="zh-CN"/>
              </w:rPr>
              <w:t>10</w:t>
            </w:r>
          </w:p>
        </w:tc>
        <w:tc>
          <w:tcPr>
            <w:tcW w:w="915" w:type="dxa"/>
            <w:noWrap w:val="0"/>
            <w:vAlign w:val="top"/>
          </w:tcPr>
          <w:p w14:paraId="54720D8A">
            <w:r>
              <w:rPr>
                <w:b w:val="0"/>
                <w:sz w:val="21"/>
              </w:rPr>
              <w:t>格式修订版</w:t>
            </w:r>
          </w:p>
        </w:tc>
      </w:tr>
      <w:tr w14:paraId="6CBF6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16C20922">
            <w:r>
              <w:rPr>
                <w:b w:val="0"/>
                <w:sz w:val="21"/>
              </w:rPr>
              <w:t>V0.9</w:t>
            </w:r>
          </w:p>
        </w:tc>
        <w:tc>
          <w:tcPr>
            <w:tcW w:w="4547" w:type="dxa"/>
            <w:noWrap w:val="0"/>
            <w:vAlign w:val="top"/>
          </w:tcPr>
          <w:p w14:paraId="1B85E1E3">
            <w:r>
              <w:rPr>
                <w:b w:val="0"/>
                <w:sz w:val="21"/>
              </w:rPr>
              <w:t>开发者与使用者视角优化: 增强批量排期、退改处理、报表导出、离线检票缓存、优惠策略等可落地扩展需求.</w:t>
            </w:r>
          </w:p>
        </w:tc>
        <w:tc>
          <w:tcPr>
            <w:tcW w:w="1137" w:type="dxa"/>
            <w:noWrap w:val="0"/>
            <w:vAlign w:val="top"/>
          </w:tcPr>
          <w:p w14:paraId="25C78D2F"/>
        </w:tc>
        <w:tc>
          <w:tcPr>
            <w:tcW w:w="915" w:type="dxa"/>
            <w:noWrap w:val="0"/>
            <w:vAlign w:val="top"/>
          </w:tcPr>
          <w:p w14:paraId="1AA49375">
            <w:pPr>
              <w:rPr>
                <w:rFonts w:hint="eastAsia" w:eastAsia="宋体"/>
                <w:lang w:val="en-US" w:eastAsia="zh-CN"/>
              </w:rPr>
            </w:pPr>
            <w:r>
              <w:rPr>
                <w:b w:val="0"/>
                <w:sz w:val="21"/>
              </w:rPr>
              <w:t>2026-05-1</w:t>
            </w:r>
            <w:r>
              <w:rPr>
                <w:rFonts w:hint="eastAsia"/>
                <w:b w:val="0"/>
                <w:sz w:val="21"/>
                <w:lang w:val="en-US" w:eastAsia="zh-CN"/>
              </w:rPr>
              <w:t>2</w:t>
            </w:r>
          </w:p>
        </w:tc>
        <w:tc>
          <w:tcPr>
            <w:tcW w:w="915" w:type="dxa"/>
            <w:noWrap w:val="0"/>
            <w:vAlign w:val="top"/>
          </w:tcPr>
          <w:p w14:paraId="41E467FF">
            <w:r>
              <w:rPr>
                <w:b w:val="0"/>
                <w:sz w:val="21"/>
              </w:rPr>
              <w:t>评审优化版</w:t>
            </w:r>
          </w:p>
        </w:tc>
      </w:tr>
      <w:tr w14:paraId="0EB8A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5D9C56FF">
            <w:r>
              <w:rPr>
                <w:b w:val="0"/>
                <w:sz w:val="21"/>
              </w:rPr>
              <w:t>V1.0</w:t>
            </w:r>
          </w:p>
        </w:tc>
        <w:tc>
          <w:tcPr>
            <w:tcW w:w="4547" w:type="dxa"/>
            <w:noWrap w:val="0"/>
            <w:vAlign w:val="top"/>
          </w:tcPr>
          <w:p w14:paraId="4717C375">
            <w:r>
              <w:rPr>
                <w:b w:val="0"/>
                <w:sz w:val="21"/>
              </w:rPr>
              <w:t>形成正式提交版: 完成 SRS 全文校对、UML 图更新、团队分工和文档修改记录补全.</w:t>
            </w:r>
          </w:p>
        </w:tc>
        <w:tc>
          <w:tcPr>
            <w:tcW w:w="1137" w:type="dxa"/>
            <w:noWrap w:val="0"/>
            <w:vAlign w:val="top"/>
          </w:tcPr>
          <w:p w14:paraId="322435D7"/>
        </w:tc>
        <w:tc>
          <w:tcPr>
            <w:tcW w:w="915" w:type="dxa"/>
            <w:noWrap w:val="0"/>
            <w:vAlign w:val="top"/>
          </w:tcPr>
          <w:p w14:paraId="6F669818">
            <w:pPr>
              <w:rPr>
                <w:rFonts w:hint="eastAsia" w:eastAsia="宋体"/>
                <w:lang w:val="en-US" w:eastAsia="zh-CN"/>
              </w:rPr>
            </w:pPr>
            <w:r>
              <w:rPr>
                <w:b w:val="0"/>
                <w:sz w:val="21"/>
              </w:rPr>
              <w:t>2026-05-1</w:t>
            </w:r>
            <w:r>
              <w:rPr>
                <w:rFonts w:hint="eastAsia"/>
                <w:b w:val="0"/>
                <w:sz w:val="21"/>
                <w:lang w:val="en-US" w:eastAsia="zh-CN"/>
              </w:rPr>
              <w:t>3</w:t>
            </w:r>
          </w:p>
        </w:tc>
        <w:tc>
          <w:tcPr>
            <w:tcW w:w="915" w:type="dxa"/>
            <w:noWrap w:val="0"/>
            <w:vAlign w:val="top"/>
          </w:tcPr>
          <w:p w14:paraId="1598951D">
            <w:r>
              <w:rPr>
                <w:b w:val="0"/>
                <w:sz w:val="21"/>
              </w:rPr>
              <w:t>正式提交版</w:t>
            </w:r>
          </w:p>
        </w:tc>
      </w:tr>
      <w:tr w14:paraId="560F0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20BC732A">
            <w:r>
              <w:t>V1.1</w:t>
            </w:r>
          </w:p>
        </w:tc>
        <w:tc>
          <w:tcPr>
            <w:tcW w:w="4547" w:type="dxa"/>
            <w:noWrap w:val="0"/>
            <w:vAlign w:val="top"/>
          </w:tcPr>
          <w:p w14:paraId="0EB1D419">
            <w:r>
              <w:t>对齐当前实现的修订: 重写类图 / ER / 用例图等 UML, 校正 REST 与 WebSocket 接口、数据模型 (13 张表) 与单列角色鉴权; 新增区域售票 (ZONED/MIXED) 与拼座邀请用例</w:t>
            </w:r>
          </w:p>
        </w:tc>
        <w:tc>
          <w:tcPr>
            <w:tcW w:w="1137" w:type="dxa"/>
            <w:noWrap w:val="0"/>
            <w:vAlign w:val="top"/>
          </w:tcPr>
          <w:p w14:paraId="28A7ABDC"/>
        </w:tc>
        <w:tc>
          <w:tcPr>
            <w:tcW w:w="915" w:type="dxa"/>
            <w:noWrap w:val="0"/>
            <w:vAlign w:val="top"/>
          </w:tcPr>
          <w:p w14:paraId="788595D8">
            <w:r>
              <w:t>2026-06-05</w:t>
            </w:r>
          </w:p>
        </w:tc>
        <w:tc>
          <w:tcPr>
            <w:tcW w:w="915" w:type="dxa"/>
            <w:noWrap w:val="0"/>
            <w:vAlign w:val="top"/>
          </w:tcPr>
          <w:p w14:paraId="27D93B41">
            <w:r>
              <w:t>对齐实现修订版</w:t>
            </w:r>
          </w:p>
        </w:tc>
      </w:tr>
      <w:tr w14:paraId="66C1B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20F48A25"/>
        </w:tc>
        <w:tc>
          <w:tcPr>
            <w:tcW w:w="4547" w:type="dxa"/>
            <w:noWrap w:val="0"/>
            <w:vAlign w:val="top"/>
          </w:tcPr>
          <w:p w14:paraId="4A798722"/>
        </w:tc>
        <w:tc>
          <w:tcPr>
            <w:tcW w:w="1137" w:type="dxa"/>
            <w:noWrap w:val="0"/>
            <w:vAlign w:val="top"/>
          </w:tcPr>
          <w:p w14:paraId="21A10311"/>
        </w:tc>
        <w:tc>
          <w:tcPr>
            <w:tcW w:w="915" w:type="dxa"/>
            <w:noWrap w:val="0"/>
            <w:vAlign w:val="top"/>
          </w:tcPr>
          <w:p w14:paraId="31688678"/>
        </w:tc>
        <w:tc>
          <w:tcPr>
            <w:tcW w:w="915" w:type="dxa"/>
            <w:noWrap w:val="0"/>
            <w:vAlign w:val="top"/>
          </w:tcPr>
          <w:p w14:paraId="23522626"/>
        </w:tc>
      </w:tr>
      <w:tr w14:paraId="69B59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66319C27"/>
        </w:tc>
        <w:tc>
          <w:tcPr>
            <w:tcW w:w="4547" w:type="dxa"/>
            <w:noWrap w:val="0"/>
            <w:vAlign w:val="top"/>
          </w:tcPr>
          <w:p w14:paraId="158D3F9C"/>
        </w:tc>
        <w:tc>
          <w:tcPr>
            <w:tcW w:w="1137" w:type="dxa"/>
            <w:noWrap w:val="0"/>
            <w:vAlign w:val="top"/>
          </w:tcPr>
          <w:p w14:paraId="593B5626"/>
        </w:tc>
        <w:tc>
          <w:tcPr>
            <w:tcW w:w="915" w:type="dxa"/>
            <w:noWrap w:val="0"/>
            <w:vAlign w:val="top"/>
          </w:tcPr>
          <w:p w14:paraId="65E4593A"/>
        </w:tc>
        <w:tc>
          <w:tcPr>
            <w:tcW w:w="915" w:type="dxa"/>
            <w:noWrap w:val="0"/>
            <w:vAlign w:val="top"/>
          </w:tcPr>
          <w:p w14:paraId="0BC2FB7F"/>
        </w:tc>
      </w:tr>
      <w:tr w14:paraId="094F1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7A50932D"/>
        </w:tc>
        <w:tc>
          <w:tcPr>
            <w:tcW w:w="4547" w:type="dxa"/>
            <w:noWrap w:val="0"/>
            <w:vAlign w:val="top"/>
          </w:tcPr>
          <w:p w14:paraId="696744D5"/>
        </w:tc>
        <w:tc>
          <w:tcPr>
            <w:tcW w:w="1137" w:type="dxa"/>
            <w:noWrap w:val="0"/>
            <w:vAlign w:val="top"/>
          </w:tcPr>
          <w:p w14:paraId="02A8CFA6"/>
        </w:tc>
        <w:tc>
          <w:tcPr>
            <w:tcW w:w="915" w:type="dxa"/>
            <w:noWrap w:val="0"/>
            <w:vAlign w:val="top"/>
          </w:tcPr>
          <w:p w14:paraId="30E3ED24"/>
        </w:tc>
        <w:tc>
          <w:tcPr>
            <w:tcW w:w="915" w:type="dxa"/>
            <w:noWrap w:val="0"/>
            <w:vAlign w:val="top"/>
          </w:tcPr>
          <w:p w14:paraId="47E8A319"/>
        </w:tc>
      </w:tr>
      <w:tr w14:paraId="646F8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12DA30AF"/>
        </w:tc>
        <w:tc>
          <w:tcPr>
            <w:tcW w:w="4547" w:type="dxa"/>
            <w:noWrap w:val="0"/>
            <w:vAlign w:val="top"/>
          </w:tcPr>
          <w:p w14:paraId="2BD3779D"/>
        </w:tc>
        <w:tc>
          <w:tcPr>
            <w:tcW w:w="1137" w:type="dxa"/>
            <w:noWrap w:val="0"/>
            <w:vAlign w:val="top"/>
          </w:tcPr>
          <w:p w14:paraId="23B9DF4C"/>
        </w:tc>
        <w:tc>
          <w:tcPr>
            <w:tcW w:w="915" w:type="dxa"/>
            <w:noWrap w:val="0"/>
            <w:vAlign w:val="top"/>
          </w:tcPr>
          <w:p w14:paraId="589CB445"/>
        </w:tc>
        <w:tc>
          <w:tcPr>
            <w:tcW w:w="915" w:type="dxa"/>
            <w:noWrap w:val="0"/>
            <w:vAlign w:val="top"/>
          </w:tcPr>
          <w:p w14:paraId="1D5B2F61"/>
        </w:tc>
      </w:tr>
      <w:tr w14:paraId="44A1E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5FFEF52B"/>
        </w:tc>
        <w:tc>
          <w:tcPr>
            <w:tcW w:w="4547" w:type="dxa"/>
            <w:noWrap w:val="0"/>
            <w:vAlign w:val="top"/>
          </w:tcPr>
          <w:p w14:paraId="33F5F16F"/>
        </w:tc>
        <w:tc>
          <w:tcPr>
            <w:tcW w:w="1137" w:type="dxa"/>
            <w:noWrap w:val="0"/>
            <w:vAlign w:val="top"/>
          </w:tcPr>
          <w:p w14:paraId="2F064888"/>
        </w:tc>
        <w:tc>
          <w:tcPr>
            <w:tcW w:w="915" w:type="dxa"/>
            <w:noWrap w:val="0"/>
            <w:vAlign w:val="top"/>
          </w:tcPr>
          <w:p w14:paraId="112DFCA3"/>
        </w:tc>
        <w:tc>
          <w:tcPr>
            <w:tcW w:w="915" w:type="dxa"/>
            <w:noWrap w:val="0"/>
            <w:vAlign w:val="top"/>
          </w:tcPr>
          <w:p w14:paraId="1C92D2F5"/>
        </w:tc>
      </w:tr>
      <w:tr w14:paraId="1BD50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12C521DF"/>
        </w:tc>
        <w:tc>
          <w:tcPr>
            <w:tcW w:w="4547" w:type="dxa"/>
            <w:noWrap w:val="0"/>
            <w:vAlign w:val="top"/>
          </w:tcPr>
          <w:p w14:paraId="280B12AB"/>
        </w:tc>
        <w:tc>
          <w:tcPr>
            <w:tcW w:w="1137" w:type="dxa"/>
            <w:noWrap w:val="0"/>
            <w:vAlign w:val="top"/>
          </w:tcPr>
          <w:p w14:paraId="68B7DDB9"/>
        </w:tc>
        <w:tc>
          <w:tcPr>
            <w:tcW w:w="915" w:type="dxa"/>
            <w:noWrap w:val="0"/>
            <w:vAlign w:val="top"/>
          </w:tcPr>
          <w:p w14:paraId="08BF6464"/>
        </w:tc>
        <w:tc>
          <w:tcPr>
            <w:tcW w:w="915" w:type="dxa"/>
            <w:noWrap w:val="0"/>
            <w:vAlign w:val="top"/>
          </w:tcPr>
          <w:p w14:paraId="7D7DECED"/>
        </w:tc>
      </w:tr>
      <w:tr w14:paraId="40064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72EE9262"/>
        </w:tc>
        <w:tc>
          <w:tcPr>
            <w:tcW w:w="4547" w:type="dxa"/>
            <w:noWrap w:val="0"/>
            <w:vAlign w:val="top"/>
          </w:tcPr>
          <w:p w14:paraId="3DA6119F"/>
        </w:tc>
        <w:tc>
          <w:tcPr>
            <w:tcW w:w="1137" w:type="dxa"/>
            <w:noWrap w:val="0"/>
            <w:vAlign w:val="top"/>
          </w:tcPr>
          <w:p w14:paraId="2987A53F"/>
        </w:tc>
        <w:tc>
          <w:tcPr>
            <w:tcW w:w="915" w:type="dxa"/>
            <w:noWrap w:val="0"/>
            <w:vAlign w:val="top"/>
          </w:tcPr>
          <w:p w14:paraId="7579CD81"/>
        </w:tc>
        <w:tc>
          <w:tcPr>
            <w:tcW w:w="915" w:type="dxa"/>
            <w:noWrap w:val="0"/>
            <w:vAlign w:val="top"/>
          </w:tcPr>
          <w:p w14:paraId="62C67C6F"/>
        </w:tc>
      </w:tr>
      <w:tr w14:paraId="59AF8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37714B6C"/>
        </w:tc>
        <w:tc>
          <w:tcPr>
            <w:tcW w:w="4547" w:type="dxa"/>
            <w:noWrap w:val="0"/>
            <w:vAlign w:val="top"/>
          </w:tcPr>
          <w:p w14:paraId="6FFD9509"/>
        </w:tc>
        <w:tc>
          <w:tcPr>
            <w:tcW w:w="1137" w:type="dxa"/>
            <w:noWrap w:val="0"/>
            <w:vAlign w:val="top"/>
          </w:tcPr>
          <w:p w14:paraId="497578F7"/>
        </w:tc>
        <w:tc>
          <w:tcPr>
            <w:tcW w:w="915" w:type="dxa"/>
            <w:noWrap w:val="0"/>
            <w:vAlign w:val="top"/>
          </w:tcPr>
          <w:p w14:paraId="518E14E3"/>
        </w:tc>
        <w:tc>
          <w:tcPr>
            <w:tcW w:w="915" w:type="dxa"/>
            <w:noWrap w:val="0"/>
            <w:vAlign w:val="top"/>
          </w:tcPr>
          <w:p w14:paraId="022DB81D"/>
        </w:tc>
      </w:tr>
      <w:tr w14:paraId="3769A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34680435"/>
        </w:tc>
        <w:tc>
          <w:tcPr>
            <w:tcW w:w="4547" w:type="dxa"/>
            <w:noWrap w:val="0"/>
            <w:vAlign w:val="top"/>
          </w:tcPr>
          <w:p w14:paraId="69C0A8AB"/>
        </w:tc>
        <w:tc>
          <w:tcPr>
            <w:tcW w:w="1137" w:type="dxa"/>
            <w:noWrap w:val="0"/>
            <w:vAlign w:val="top"/>
          </w:tcPr>
          <w:p w14:paraId="07D76B65"/>
        </w:tc>
        <w:tc>
          <w:tcPr>
            <w:tcW w:w="915" w:type="dxa"/>
            <w:noWrap w:val="0"/>
            <w:vAlign w:val="top"/>
          </w:tcPr>
          <w:p w14:paraId="7CEA9D44"/>
        </w:tc>
        <w:tc>
          <w:tcPr>
            <w:tcW w:w="915" w:type="dxa"/>
            <w:noWrap w:val="0"/>
            <w:vAlign w:val="top"/>
          </w:tcPr>
          <w:p w14:paraId="7E0DE7D6"/>
        </w:tc>
      </w:tr>
      <w:tr w14:paraId="4382C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3B9DE4F9"/>
        </w:tc>
        <w:tc>
          <w:tcPr>
            <w:tcW w:w="4547" w:type="dxa"/>
            <w:noWrap w:val="0"/>
            <w:vAlign w:val="top"/>
          </w:tcPr>
          <w:p w14:paraId="389FDE7E"/>
        </w:tc>
        <w:tc>
          <w:tcPr>
            <w:tcW w:w="1137" w:type="dxa"/>
            <w:noWrap w:val="0"/>
            <w:vAlign w:val="top"/>
          </w:tcPr>
          <w:p w14:paraId="446003B3"/>
        </w:tc>
        <w:tc>
          <w:tcPr>
            <w:tcW w:w="915" w:type="dxa"/>
            <w:noWrap w:val="0"/>
            <w:vAlign w:val="top"/>
          </w:tcPr>
          <w:p w14:paraId="310E9604"/>
        </w:tc>
        <w:tc>
          <w:tcPr>
            <w:tcW w:w="915" w:type="dxa"/>
            <w:noWrap w:val="0"/>
            <w:vAlign w:val="top"/>
          </w:tcPr>
          <w:p w14:paraId="203A01A7"/>
        </w:tc>
      </w:tr>
    </w:tbl>
    <w:p w14:paraId="1BEDC9DB">
      <w:pPr>
        <w:ind w:firstLine="0" w:firstLineChars="0"/>
      </w:pPr>
    </w:p>
    <w:p w14:paraId="0F70E3EF">
      <w:pPr>
        <w:ind w:firstLine="0" w:firstLineChars="0"/>
        <w:sectPr>
          <w:headerReference r:id="rId12" w:type="default"/>
          <w:footerReference r:id="rId13" w:type="default"/>
          <w:pgSz w:w="11906" w:h="16838"/>
          <w:pgMar w:top="1440" w:right="1800" w:bottom="1440" w:left="1800" w:header="851" w:footer="992" w:gutter="0"/>
          <w:pgNumType w:start="1"/>
          <w:cols w:space="425" w:num="1"/>
          <w:docGrid w:type="lines" w:linePitch="326" w:charSpace="0"/>
        </w:sectPr>
      </w:pPr>
    </w:p>
    <w:p w14:paraId="551A6660">
      <w:pPr>
        <w:pStyle w:val="31"/>
        <w:ind w:right="240" w:firstLine="480"/>
        <w:jc w:val="center"/>
        <w:rPr>
          <w:rFonts w:ascii="黑体" w:hAnsi="黑体" w:eastAsia="黑体"/>
          <w:color w:val="auto"/>
          <w:sz w:val="36"/>
          <w:szCs w:val="36"/>
        </w:rPr>
      </w:pPr>
      <w:r>
        <w:rPr>
          <w:rFonts w:ascii="黑体" w:hAnsi="黑体" w:eastAsia="黑体"/>
          <w:color w:val="auto"/>
          <w:sz w:val="36"/>
          <w:szCs w:val="36"/>
          <w:lang w:val="zh-CN"/>
        </w:rPr>
        <w:t>目</w:t>
      </w:r>
      <w:r>
        <w:rPr>
          <w:rFonts w:hint="eastAsia" w:ascii="黑体" w:hAnsi="黑体" w:eastAsia="黑体"/>
          <w:color w:val="auto"/>
          <w:sz w:val="36"/>
          <w:szCs w:val="36"/>
          <w:lang w:val="zh-CN"/>
        </w:rPr>
        <w:t xml:space="preserve"> </w:t>
      </w:r>
      <w:r>
        <w:rPr>
          <w:rFonts w:ascii="黑体" w:hAnsi="黑体" w:eastAsia="黑体"/>
          <w:color w:val="auto"/>
          <w:sz w:val="36"/>
          <w:szCs w:val="36"/>
          <w:lang w:val="zh-CN"/>
        </w:rPr>
        <w:t>录</w:t>
      </w:r>
    </w:p>
    <w:p w14:paraId="190785AB">
      <w:pPr>
        <w:pStyle w:val="12"/>
        <w:tabs>
          <w:tab w:val="right" w:leader="dot" w:pos="8306"/>
        </w:tabs>
      </w:pPr>
      <w:r>
        <w:fldChar w:fldCharType="begin"/>
      </w:r>
      <w:r>
        <w:instrText xml:space="preserve"> TOC \o "1-3" \h \z \u </w:instrText>
      </w:r>
      <w:r>
        <w:fldChar w:fldCharType="separate"/>
      </w:r>
      <w:r>
        <w:fldChar w:fldCharType="begin"/>
      </w:r>
      <w:r>
        <w:instrText xml:space="preserve"> HYPERLINK \l _Toc20664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1. </w:t>
      </w:r>
      <w:r>
        <w:t>引言</w:t>
      </w:r>
      <w:r>
        <w:tab/>
      </w:r>
      <w:r>
        <w:fldChar w:fldCharType="begin"/>
      </w:r>
      <w:r>
        <w:instrText xml:space="preserve"> PAGEREF _Toc20664 \h </w:instrText>
      </w:r>
      <w:r>
        <w:fldChar w:fldCharType="separate"/>
      </w:r>
      <w:r>
        <w:t>3</w:t>
      </w:r>
      <w:r>
        <w:fldChar w:fldCharType="end"/>
      </w:r>
      <w:r>
        <w:fldChar w:fldCharType="end"/>
      </w:r>
    </w:p>
    <w:p w14:paraId="198812DE">
      <w:pPr>
        <w:pStyle w:val="14"/>
        <w:tabs>
          <w:tab w:val="right" w:leader="dot" w:pos="8306"/>
        </w:tabs>
      </w:pPr>
      <w:r>
        <w:fldChar w:fldCharType="begin"/>
      </w:r>
      <w:r>
        <w:instrText xml:space="preserve"> HYPERLINK \l _Toc30297 </w:instrText>
      </w:r>
      <w:r>
        <w:fldChar w:fldCharType="separate"/>
      </w:r>
      <w:r>
        <w:rPr>
          <w:rFonts w:hint="eastAsia" w:ascii="Times New Roman" w:hAnsi="Times New Roman"/>
        </w:rPr>
        <w:t xml:space="preserve">1.1 </w:t>
      </w:r>
      <w:r>
        <w:rPr>
          <w:rFonts w:ascii="Times New Roman"/>
        </w:rPr>
        <w:t>编写目的</w:t>
      </w:r>
      <w:r>
        <w:tab/>
      </w:r>
      <w:r>
        <w:fldChar w:fldCharType="begin"/>
      </w:r>
      <w:r>
        <w:instrText xml:space="preserve"> PAGEREF _Toc30297 \h </w:instrText>
      </w:r>
      <w:r>
        <w:fldChar w:fldCharType="separate"/>
      </w:r>
      <w:r>
        <w:t>3</w:t>
      </w:r>
      <w:r>
        <w:fldChar w:fldCharType="end"/>
      </w:r>
      <w:r>
        <w:fldChar w:fldCharType="end"/>
      </w:r>
    </w:p>
    <w:p w14:paraId="5EB1E13E">
      <w:pPr>
        <w:pStyle w:val="14"/>
        <w:tabs>
          <w:tab w:val="right" w:leader="dot" w:pos="8306"/>
        </w:tabs>
      </w:pPr>
      <w:r>
        <w:fldChar w:fldCharType="begin"/>
      </w:r>
      <w:r>
        <w:instrText xml:space="preserve"> HYPERLINK \l _Toc24648 </w:instrText>
      </w:r>
      <w:r>
        <w:fldChar w:fldCharType="separate"/>
      </w:r>
      <w:r>
        <w:rPr>
          <w:rFonts w:hint="eastAsia"/>
        </w:rPr>
        <w:t>1.2 项目资料</w:t>
      </w:r>
      <w:r>
        <w:tab/>
      </w:r>
      <w:r>
        <w:fldChar w:fldCharType="begin"/>
      </w:r>
      <w:r>
        <w:instrText xml:space="preserve"> PAGEREF _Toc24648 \h </w:instrText>
      </w:r>
      <w:r>
        <w:fldChar w:fldCharType="separate"/>
      </w:r>
      <w:r>
        <w:t>3</w:t>
      </w:r>
      <w:r>
        <w:fldChar w:fldCharType="end"/>
      </w:r>
      <w:r>
        <w:fldChar w:fldCharType="end"/>
      </w:r>
    </w:p>
    <w:p w14:paraId="5BD52FC0">
      <w:pPr>
        <w:pStyle w:val="14"/>
        <w:tabs>
          <w:tab w:val="right" w:leader="dot" w:pos="8306"/>
        </w:tabs>
      </w:pPr>
      <w:r>
        <w:fldChar w:fldCharType="begin"/>
      </w:r>
      <w:r>
        <w:instrText xml:space="preserve"> HYPERLINK \l _Toc17657 </w:instrText>
      </w:r>
      <w:r>
        <w:fldChar w:fldCharType="separate"/>
      </w:r>
      <w:r>
        <w:rPr>
          <w:rFonts w:hint="eastAsia"/>
        </w:rPr>
        <w:t>1.3 术语定义</w:t>
      </w:r>
      <w:r>
        <w:tab/>
      </w:r>
      <w:r>
        <w:fldChar w:fldCharType="begin"/>
      </w:r>
      <w:r>
        <w:instrText xml:space="preserve"> PAGEREF _Toc17657 \h </w:instrText>
      </w:r>
      <w:r>
        <w:fldChar w:fldCharType="separate"/>
      </w:r>
      <w:r>
        <w:t>4</w:t>
      </w:r>
      <w:r>
        <w:fldChar w:fldCharType="end"/>
      </w:r>
      <w:r>
        <w:fldChar w:fldCharType="end"/>
      </w:r>
    </w:p>
    <w:p w14:paraId="2469EEDD">
      <w:pPr>
        <w:pStyle w:val="14"/>
        <w:tabs>
          <w:tab w:val="right" w:leader="dot" w:pos="8306"/>
        </w:tabs>
      </w:pPr>
      <w:r>
        <w:fldChar w:fldCharType="begin"/>
      </w:r>
      <w:r>
        <w:instrText xml:space="preserve"> HYPERLINK \l _Toc22166 </w:instrText>
      </w:r>
      <w:r>
        <w:fldChar w:fldCharType="separate"/>
      </w:r>
      <w:r>
        <w:rPr>
          <w:rFonts w:hint="eastAsia"/>
        </w:rPr>
        <w:t>1.4 缩写说明</w:t>
      </w:r>
      <w:r>
        <w:tab/>
      </w:r>
      <w:r>
        <w:fldChar w:fldCharType="begin"/>
      </w:r>
      <w:r>
        <w:instrText xml:space="preserve"> PAGEREF _Toc22166 \h </w:instrText>
      </w:r>
      <w:r>
        <w:fldChar w:fldCharType="separate"/>
      </w:r>
      <w:r>
        <w:t>5</w:t>
      </w:r>
      <w:r>
        <w:fldChar w:fldCharType="end"/>
      </w:r>
      <w:r>
        <w:fldChar w:fldCharType="end"/>
      </w:r>
    </w:p>
    <w:p w14:paraId="29E4A4CE">
      <w:pPr>
        <w:pStyle w:val="14"/>
        <w:tabs>
          <w:tab w:val="right" w:leader="dot" w:pos="8306"/>
        </w:tabs>
      </w:pPr>
      <w:r>
        <w:fldChar w:fldCharType="begin"/>
      </w:r>
      <w:r>
        <w:instrText xml:space="preserve"> HYPERLINK \l _Toc11552 </w:instrText>
      </w:r>
      <w:r>
        <w:fldChar w:fldCharType="separate"/>
      </w:r>
      <w:r>
        <w:rPr>
          <w:rFonts w:hint="eastAsia"/>
        </w:rPr>
        <w:t>1.5 引用文档</w:t>
      </w:r>
      <w:r>
        <w:tab/>
      </w:r>
      <w:r>
        <w:fldChar w:fldCharType="begin"/>
      </w:r>
      <w:r>
        <w:instrText xml:space="preserve"> PAGEREF _Toc11552 \h </w:instrText>
      </w:r>
      <w:r>
        <w:fldChar w:fldCharType="separate"/>
      </w:r>
      <w:r>
        <w:t>6</w:t>
      </w:r>
      <w:r>
        <w:fldChar w:fldCharType="end"/>
      </w:r>
      <w:r>
        <w:fldChar w:fldCharType="end"/>
      </w:r>
    </w:p>
    <w:p w14:paraId="42D3B7E4">
      <w:pPr>
        <w:pStyle w:val="12"/>
        <w:tabs>
          <w:tab w:val="right" w:leader="dot" w:pos="8306"/>
        </w:tabs>
      </w:pPr>
      <w:r>
        <w:fldChar w:fldCharType="begin"/>
      </w:r>
      <w:r>
        <w:instrText xml:space="preserve"> HYPERLINK \l _Toc26640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2. </w:t>
      </w:r>
      <w:r>
        <w:rPr>
          <w:rFonts w:hint="eastAsia"/>
        </w:rPr>
        <w:t>项目综述</w:t>
      </w:r>
      <w:r>
        <w:tab/>
      </w:r>
      <w:r>
        <w:fldChar w:fldCharType="begin"/>
      </w:r>
      <w:r>
        <w:instrText xml:space="preserve"> PAGEREF _Toc26640 \h </w:instrText>
      </w:r>
      <w:r>
        <w:fldChar w:fldCharType="separate"/>
      </w:r>
      <w:r>
        <w:t>7</w:t>
      </w:r>
      <w:r>
        <w:fldChar w:fldCharType="end"/>
      </w:r>
      <w:r>
        <w:fldChar w:fldCharType="end"/>
      </w:r>
    </w:p>
    <w:p w14:paraId="270A0586">
      <w:pPr>
        <w:pStyle w:val="14"/>
        <w:tabs>
          <w:tab w:val="right" w:leader="dot" w:pos="8306"/>
        </w:tabs>
      </w:pPr>
      <w:r>
        <w:fldChar w:fldCharType="begin"/>
      </w:r>
      <w:r>
        <w:instrText xml:space="preserve"> HYPERLINK \l _Toc6534 </w:instrText>
      </w:r>
      <w:r>
        <w:fldChar w:fldCharType="separate"/>
      </w:r>
      <w:r>
        <w:rPr>
          <w:rFonts w:hint="eastAsia"/>
        </w:rPr>
        <w:t>2.1 项目背景</w:t>
      </w:r>
      <w:r>
        <w:tab/>
      </w:r>
      <w:r>
        <w:fldChar w:fldCharType="begin"/>
      </w:r>
      <w:r>
        <w:instrText xml:space="preserve"> PAGEREF _Toc6534 \h </w:instrText>
      </w:r>
      <w:r>
        <w:fldChar w:fldCharType="separate"/>
      </w:r>
      <w:r>
        <w:t>7</w:t>
      </w:r>
      <w:r>
        <w:fldChar w:fldCharType="end"/>
      </w:r>
      <w:r>
        <w:fldChar w:fldCharType="end"/>
      </w:r>
    </w:p>
    <w:p w14:paraId="06DB0F08">
      <w:pPr>
        <w:pStyle w:val="14"/>
        <w:tabs>
          <w:tab w:val="right" w:leader="dot" w:pos="8306"/>
        </w:tabs>
      </w:pPr>
      <w:r>
        <w:fldChar w:fldCharType="begin"/>
      </w:r>
      <w:r>
        <w:instrText xml:space="preserve"> HYPERLINK \l _Toc17544 </w:instrText>
      </w:r>
      <w:r>
        <w:fldChar w:fldCharType="separate"/>
      </w:r>
      <w:r>
        <w:rPr>
          <w:rFonts w:hint="eastAsia"/>
        </w:rPr>
        <w:t>2.2 组织机构与职责</w:t>
      </w:r>
      <w:r>
        <w:tab/>
      </w:r>
      <w:r>
        <w:fldChar w:fldCharType="begin"/>
      </w:r>
      <w:r>
        <w:instrText xml:space="preserve"> PAGEREF _Toc17544 \h </w:instrText>
      </w:r>
      <w:r>
        <w:fldChar w:fldCharType="separate"/>
      </w:r>
      <w:r>
        <w:t>8</w:t>
      </w:r>
      <w:r>
        <w:fldChar w:fldCharType="end"/>
      </w:r>
      <w:r>
        <w:fldChar w:fldCharType="end"/>
      </w:r>
    </w:p>
    <w:p w14:paraId="152439B8">
      <w:pPr>
        <w:pStyle w:val="14"/>
        <w:tabs>
          <w:tab w:val="right" w:leader="dot" w:pos="8306"/>
        </w:tabs>
      </w:pPr>
      <w:r>
        <w:fldChar w:fldCharType="begin"/>
      </w:r>
      <w:r>
        <w:instrText xml:space="preserve"> HYPERLINK \l _Toc4802 </w:instrText>
      </w:r>
      <w:r>
        <w:fldChar w:fldCharType="separate"/>
      </w:r>
      <w:r>
        <w:rPr>
          <w:rFonts w:hint="eastAsia"/>
        </w:rPr>
        <w:t>2.3 岗位角色</w:t>
      </w:r>
      <w:r>
        <w:tab/>
      </w:r>
      <w:r>
        <w:fldChar w:fldCharType="begin"/>
      </w:r>
      <w:r>
        <w:instrText xml:space="preserve"> PAGEREF _Toc4802 \h </w:instrText>
      </w:r>
      <w:r>
        <w:fldChar w:fldCharType="separate"/>
      </w:r>
      <w:r>
        <w:t>8</w:t>
      </w:r>
      <w:r>
        <w:fldChar w:fldCharType="end"/>
      </w:r>
      <w:r>
        <w:fldChar w:fldCharType="end"/>
      </w:r>
    </w:p>
    <w:p w14:paraId="42CD00C5">
      <w:pPr>
        <w:pStyle w:val="14"/>
        <w:tabs>
          <w:tab w:val="right" w:leader="dot" w:pos="8306"/>
        </w:tabs>
      </w:pPr>
      <w:r>
        <w:fldChar w:fldCharType="begin"/>
      </w:r>
      <w:r>
        <w:instrText xml:space="preserve"> HYPERLINK \l _Toc20990 </w:instrText>
      </w:r>
      <w:r>
        <w:fldChar w:fldCharType="separate"/>
      </w:r>
      <w:r>
        <w:rPr>
          <w:rFonts w:hint="eastAsia"/>
        </w:rPr>
        <w:t>2.4 业务流程</w:t>
      </w:r>
      <w:r>
        <w:tab/>
      </w:r>
      <w:r>
        <w:fldChar w:fldCharType="begin"/>
      </w:r>
      <w:r>
        <w:instrText xml:space="preserve"> PAGEREF _Toc20990 \h </w:instrText>
      </w:r>
      <w:r>
        <w:fldChar w:fldCharType="separate"/>
      </w:r>
      <w:r>
        <w:t>9</w:t>
      </w:r>
      <w:r>
        <w:fldChar w:fldCharType="end"/>
      </w:r>
      <w:r>
        <w:fldChar w:fldCharType="end"/>
      </w:r>
    </w:p>
    <w:p w14:paraId="47791D88">
      <w:pPr>
        <w:pStyle w:val="14"/>
        <w:tabs>
          <w:tab w:val="right" w:leader="dot" w:pos="8306"/>
        </w:tabs>
      </w:pPr>
      <w:r>
        <w:fldChar w:fldCharType="begin"/>
      </w:r>
      <w:r>
        <w:instrText xml:space="preserve"> HYPERLINK \l _Toc3967 </w:instrText>
      </w:r>
      <w:r>
        <w:fldChar w:fldCharType="separate"/>
      </w:r>
      <w:r>
        <w:rPr>
          <w:rFonts w:hint="eastAsia" w:ascii="Times New Roman" w:hAnsi="Times New Roman"/>
        </w:rPr>
        <w:t>2.5 统计报表</w:t>
      </w:r>
      <w:r>
        <w:tab/>
      </w:r>
      <w:r>
        <w:fldChar w:fldCharType="begin"/>
      </w:r>
      <w:r>
        <w:instrText xml:space="preserve"> PAGEREF _Toc3967 \h </w:instrText>
      </w:r>
      <w:r>
        <w:fldChar w:fldCharType="separate"/>
      </w:r>
      <w:r>
        <w:t>10</w:t>
      </w:r>
      <w:r>
        <w:fldChar w:fldCharType="end"/>
      </w:r>
      <w:r>
        <w:fldChar w:fldCharType="end"/>
      </w:r>
    </w:p>
    <w:p w14:paraId="19C59F77">
      <w:pPr>
        <w:pStyle w:val="12"/>
        <w:tabs>
          <w:tab w:val="right" w:leader="dot" w:pos="8306"/>
        </w:tabs>
      </w:pPr>
      <w:r>
        <w:fldChar w:fldCharType="begin"/>
      </w:r>
      <w:r>
        <w:instrText xml:space="preserve"> HYPERLINK \l _Toc14991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3. </w:t>
      </w:r>
      <w:r>
        <w:rPr>
          <w:rFonts w:hint="eastAsia"/>
        </w:rPr>
        <w:t>系统体系结构</w:t>
      </w:r>
      <w:r>
        <w:tab/>
      </w:r>
      <w:r>
        <w:fldChar w:fldCharType="begin"/>
      </w:r>
      <w:r>
        <w:instrText xml:space="preserve"> PAGEREF _Toc14991 \h </w:instrText>
      </w:r>
      <w:r>
        <w:fldChar w:fldCharType="separate"/>
      </w:r>
      <w:r>
        <w:t>10</w:t>
      </w:r>
      <w:r>
        <w:fldChar w:fldCharType="end"/>
      </w:r>
      <w:r>
        <w:fldChar w:fldCharType="end"/>
      </w:r>
    </w:p>
    <w:p w14:paraId="2B9E63AE">
      <w:pPr>
        <w:pStyle w:val="14"/>
        <w:tabs>
          <w:tab w:val="right" w:leader="dot" w:pos="8306"/>
        </w:tabs>
      </w:pPr>
      <w:r>
        <w:fldChar w:fldCharType="begin"/>
      </w:r>
      <w:r>
        <w:instrText xml:space="preserve"> HYPERLINK \l _Toc20239 </w:instrText>
      </w:r>
      <w:r>
        <w:fldChar w:fldCharType="separate"/>
      </w:r>
      <w:r>
        <w:rPr>
          <w:rFonts w:hint="eastAsia"/>
        </w:rPr>
        <w:t>3.1 物理架构</w:t>
      </w:r>
      <w:r>
        <w:tab/>
      </w:r>
      <w:r>
        <w:fldChar w:fldCharType="begin"/>
      </w:r>
      <w:r>
        <w:instrText xml:space="preserve"> PAGEREF _Toc20239 \h </w:instrText>
      </w:r>
      <w:r>
        <w:fldChar w:fldCharType="separate"/>
      </w:r>
      <w:r>
        <w:t>11</w:t>
      </w:r>
      <w:r>
        <w:fldChar w:fldCharType="end"/>
      </w:r>
      <w:r>
        <w:fldChar w:fldCharType="end"/>
      </w:r>
    </w:p>
    <w:p w14:paraId="2505A301">
      <w:pPr>
        <w:pStyle w:val="14"/>
        <w:tabs>
          <w:tab w:val="right" w:leader="dot" w:pos="8306"/>
        </w:tabs>
      </w:pPr>
      <w:r>
        <w:fldChar w:fldCharType="begin"/>
      </w:r>
      <w:r>
        <w:instrText xml:space="preserve"> HYPERLINK \l _Toc20272 </w:instrText>
      </w:r>
      <w:r>
        <w:fldChar w:fldCharType="separate"/>
      </w:r>
      <w:r>
        <w:rPr>
          <w:rFonts w:hint="eastAsia"/>
        </w:rPr>
        <w:t>3.2 网络环节</w:t>
      </w:r>
      <w:r>
        <w:tab/>
      </w:r>
      <w:r>
        <w:fldChar w:fldCharType="begin"/>
      </w:r>
      <w:r>
        <w:instrText xml:space="preserve"> PAGEREF _Toc20272 \h </w:instrText>
      </w:r>
      <w:r>
        <w:fldChar w:fldCharType="separate"/>
      </w:r>
      <w:r>
        <w:t>11</w:t>
      </w:r>
      <w:r>
        <w:fldChar w:fldCharType="end"/>
      </w:r>
      <w:r>
        <w:fldChar w:fldCharType="end"/>
      </w:r>
    </w:p>
    <w:p w14:paraId="0BAE188E">
      <w:pPr>
        <w:pStyle w:val="14"/>
        <w:tabs>
          <w:tab w:val="right" w:leader="dot" w:pos="8306"/>
        </w:tabs>
      </w:pPr>
      <w:r>
        <w:fldChar w:fldCharType="begin"/>
      </w:r>
      <w:r>
        <w:instrText xml:space="preserve"> HYPERLINK \l _Toc23007 </w:instrText>
      </w:r>
      <w:r>
        <w:fldChar w:fldCharType="separate"/>
      </w:r>
      <w:r>
        <w:rPr>
          <w:rFonts w:hint="eastAsia"/>
        </w:rPr>
        <w:t>3.3 运行环境</w:t>
      </w:r>
      <w:r>
        <w:tab/>
      </w:r>
      <w:r>
        <w:fldChar w:fldCharType="begin"/>
      </w:r>
      <w:r>
        <w:instrText xml:space="preserve"> PAGEREF _Toc23007 \h </w:instrText>
      </w:r>
      <w:r>
        <w:fldChar w:fldCharType="separate"/>
      </w:r>
      <w:r>
        <w:t>11</w:t>
      </w:r>
      <w:r>
        <w:fldChar w:fldCharType="end"/>
      </w:r>
      <w:r>
        <w:fldChar w:fldCharType="end"/>
      </w:r>
    </w:p>
    <w:p w14:paraId="0ABEE3A8">
      <w:pPr>
        <w:pStyle w:val="12"/>
        <w:tabs>
          <w:tab w:val="right" w:leader="dot" w:pos="8306"/>
        </w:tabs>
      </w:pPr>
      <w:r>
        <w:fldChar w:fldCharType="begin"/>
      </w:r>
      <w:r>
        <w:instrText xml:space="preserve"> HYPERLINK \l _Toc3283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4. </w:t>
      </w:r>
      <w:r>
        <w:rPr>
          <w:rFonts w:hint="eastAsia"/>
        </w:rPr>
        <w:t>功能需求</w:t>
      </w:r>
      <w:r>
        <w:tab/>
      </w:r>
      <w:r>
        <w:fldChar w:fldCharType="begin"/>
      </w:r>
      <w:r>
        <w:instrText xml:space="preserve"> PAGEREF _Toc3283 \h </w:instrText>
      </w:r>
      <w:r>
        <w:fldChar w:fldCharType="separate"/>
      </w:r>
      <w:r>
        <w:t>12</w:t>
      </w:r>
      <w:r>
        <w:fldChar w:fldCharType="end"/>
      </w:r>
      <w:r>
        <w:fldChar w:fldCharType="end"/>
      </w:r>
    </w:p>
    <w:p w14:paraId="4AF8FDFD">
      <w:pPr>
        <w:pStyle w:val="14"/>
        <w:tabs>
          <w:tab w:val="right" w:leader="dot" w:pos="8306"/>
        </w:tabs>
      </w:pPr>
      <w:r>
        <w:fldChar w:fldCharType="begin"/>
      </w:r>
      <w:r>
        <w:instrText xml:space="preserve"> HYPERLINK \l _Toc24160 </w:instrText>
      </w:r>
      <w:r>
        <w:fldChar w:fldCharType="separate"/>
      </w:r>
      <w:r>
        <w:rPr>
          <w:rFonts w:hint="eastAsia"/>
        </w:rPr>
        <w:t xml:space="preserve">4.1 </w:t>
      </w:r>
      <w:r>
        <w:t>参与者定义</w:t>
      </w:r>
      <w:r>
        <w:tab/>
      </w:r>
      <w:r>
        <w:fldChar w:fldCharType="begin"/>
      </w:r>
      <w:r>
        <w:instrText xml:space="preserve"> PAGEREF _Toc24160 \h </w:instrText>
      </w:r>
      <w:r>
        <w:fldChar w:fldCharType="separate"/>
      </w:r>
      <w:r>
        <w:t>12</w:t>
      </w:r>
      <w:r>
        <w:fldChar w:fldCharType="end"/>
      </w:r>
      <w:r>
        <w:fldChar w:fldCharType="end"/>
      </w:r>
    </w:p>
    <w:p w14:paraId="6539477C">
      <w:pPr>
        <w:pStyle w:val="14"/>
        <w:tabs>
          <w:tab w:val="right" w:leader="dot" w:pos="8306"/>
        </w:tabs>
      </w:pPr>
      <w:r>
        <w:fldChar w:fldCharType="begin"/>
      </w:r>
      <w:r>
        <w:instrText xml:space="preserve"> HYPERLINK \l _Toc16429 </w:instrText>
      </w:r>
      <w:r>
        <w:fldChar w:fldCharType="separate"/>
      </w:r>
      <w:r>
        <w:rPr>
          <w:rFonts w:hint="eastAsia"/>
        </w:rPr>
        <w:t xml:space="preserve">4.2 </w:t>
      </w:r>
      <w:r>
        <w:t>功能构成</w:t>
      </w:r>
      <w:r>
        <w:tab/>
      </w:r>
      <w:r>
        <w:fldChar w:fldCharType="begin"/>
      </w:r>
      <w:r>
        <w:instrText xml:space="preserve"> PAGEREF _Toc16429 \h </w:instrText>
      </w:r>
      <w:r>
        <w:fldChar w:fldCharType="separate"/>
      </w:r>
      <w:r>
        <w:t>14</w:t>
      </w:r>
      <w:r>
        <w:fldChar w:fldCharType="end"/>
      </w:r>
      <w:r>
        <w:fldChar w:fldCharType="end"/>
      </w:r>
    </w:p>
    <w:p w14:paraId="15468D3C">
      <w:pPr>
        <w:pStyle w:val="14"/>
        <w:tabs>
          <w:tab w:val="right" w:leader="dot" w:pos="8306"/>
        </w:tabs>
      </w:pPr>
      <w:r>
        <w:fldChar w:fldCharType="begin"/>
      </w:r>
      <w:r>
        <w:instrText xml:space="preserve"> HYPERLINK \l _Toc5725 </w:instrText>
      </w:r>
      <w:r>
        <w:fldChar w:fldCharType="separate"/>
      </w:r>
      <w:r>
        <w:rPr>
          <w:rFonts w:hint="eastAsia"/>
        </w:rPr>
        <w:t xml:space="preserve">4.3 </w:t>
      </w:r>
      <w:r>
        <w:t>用户注册与登录（ENC_UC_AUTH_01）</w:t>
      </w:r>
      <w:r>
        <w:tab/>
      </w:r>
      <w:r>
        <w:fldChar w:fldCharType="begin"/>
      </w:r>
      <w:r>
        <w:instrText xml:space="preserve"> PAGEREF _Toc5725 \h </w:instrText>
      </w:r>
      <w:r>
        <w:fldChar w:fldCharType="separate"/>
      </w:r>
      <w:r>
        <w:t>20</w:t>
      </w:r>
      <w:r>
        <w:fldChar w:fldCharType="end"/>
      </w:r>
      <w:r>
        <w:fldChar w:fldCharType="end"/>
      </w:r>
    </w:p>
    <w:p w14:paraId="767AD5C7">
      <w:pPr>
        <w:pStyle w:val="14"/>
        <w:tabs>
          <w:tab w:val="right" w:leader="dot" w:pos="8306"/>
        </w:tabs>
      </w:pPr>
      <w:r>
        <w:fldChar w:fldCharType="begin"/>
      </w:r>
      <w:r>
        <w:instrText xml:space="preserve"> HYPERLINK \l _Toc25656 </w:instrText>
      </w:r>
      <w:r>
        <w:fldChar w:fldCharType="separate"/>
      </w:r>
      <w:r>
        <w:rPr>
          <w:rFonts w:hint="eastAsia"/>
        </w:rPr>
        <w:t xml:space="preserve">4.4 </w:t>
      </w:r>
      <w:r>
        <w:t>浏览与查询演出（ENC_UC_BROWSE_01）</w:t>
      </w:r>
      <w:r>
        <w:tab/>
      </w:r>
      <w:r>
        <w:fldChar w:fldCharType="begin"/>
      </w:r>
      <w:r>
        <w:instrText xml:space="preserve"> PAGEREF _Toc25656 \h </w:instrText>
      </w:r>
      <w:r>
        <w:fldChar w:fldCharType="separate"/>
      </w:r>
      <w:r>
        <w:t>21</w:t>
      </w:r>
      <w:r>
        <w:fldChar w:fldCharType="end"/>
      </w:r>
      <w:r>
        <w:fldChar w:fldCharType="end"/>
      </w:r>
    </w:p>
    <w:p w14:paraId="1BD26556">
      <w:pPr>
        <w:pStyle w:val="14"/>
        <w:tabs>
          <w:tab w:val="right" w:leader="dot" w:pos="8306"/>
        </w:tabs>
      </w:pPr>
      <w:r>
        <w:fldChar w:fldCharType="begin"/>
      </w:r>
      <w:r>
        <w:instrText xml:space="preserve"> HYPERLINK \l _Toc32727 </w:instrText>
      </w:r>
      <w:r>
        <w:fldChar w:fldCharType="separate"/>
      </w:r>
      <w:r>
        <w:rPr>
          <w:rFonts w:hint="eastAsia"/>
        </w:rPr>
        <w:t xml:space="preserve">4.5 </w:t>
      </w:r>
      <w:r>
        <w:t>可视化选座（ENC_UC_SEAT_01）</w:t>
      </w:r>
      <w:r>
        <w:tab/>
      </w:r>
      <w:r>
        <w:fldChar w:fldCharType="begin"/>
      </w:r>
      <w:r>
        <w:instrText xml:space="preserve"> PAGEREF _Toc32727 \h </w:instrText>
      </w:r>
      <w:r>
        <w:fldChar w:fldCharType="separate"/>
      </w:r>
      <w:r>
        <w:t>22</w:t>
      </w:r>
      <w:r>
        <w:fldChar w:fldCharType="end"/>
      </w:r>
      <w:r>
        <w:fldChar w:fldCharType="end"/>
      </w:r>
    </w:p>
    <w:p w14:paraId="1A32E6EB">
      <w:pPr>
        <w:pStyle w:val="14"/>
        <w:tabs>
          <w:tab w:val="right" w:leader="dot" w:pos="8306"/>
        </w:tabs>
      </w:pPr>
      <w:r>
        <w:fldChar w:fldCharType="begin"/>
      </w:r>
      <w:r>
        <w:instrText xml:space="preserve"> HYPERLINK \l _Toc31259 </w:instrText>
      </w:r>
      <w:r>
        <w:fldChar w:fldCharType="separate"/>
      </w:r>
      <w:r>
        <w:rPr>
          <w:rFonts w:hint="eastAsia"/>
        </w:rPr>
        <w:t xml:space="preserve">4.6 </w:t>
      </w:r>
      <w:r>
        <w:t>创建订单（ENC_UC_ORDER_01）</w:t>
      </w:r>
      <w:r>
        <w:tab/>
      </w:r>
      <w:r>
        <w:fldChar w:fldCharType="begin"/>
      </w:r>
      <w:r>
        <w:instrText xml:space="preserve"> PAGEREF _Toc31259 \h </w:instrText>
      </w:r>
      <w:r>
        <w:fldChar w:fldCharType="separate"/>
      </w:r>
      <w:r>
        <w:t>24</w:t>
      </w:r>
      <w:r>
        <w:fldChar w:fldCharType="end"/>
      </w:r>
      <w:r>
        <w:fldChar w:fldCharType="end"/>
      </w:r>
    </w:p>
    <w:p w14:paraId="4E86BD52">
      <w:pPr>
        <w:pStyle w:val="14"/>
        <w:tabs>
          <w:tab w:val="right" w:leader="dot" w:pos="8306"/>
        </w:tabs>
      </w:pPr>
      <w:r>
        <w:fldChar w:fldCharType="begin"/>
      </w:r>
      <w:r>
        <w:instrText xml:space="preserve"> HYPERLINK \l _Toc19928 </w:instrText>
      </w:r>
      <w:r>
        <w:fldChar w:fldCharType="separate"/>
      </w:r>
      <w:r>
        <w:rPr>
          <w:rFonts w:hint="eastAsia"/>
        </w:rPr>
        <w:t xml:space="preserve">4.7 </w:t>
      </w:r>
      <w:r>
        <w:t>模拟支付与电子票生成（ENC_UC_PAY_01）</w:t>
      </w:r>
      <w:r>
        <w:tab/>
      </w:r>
      <w:r>
        <w:fldChar w:fldCharType="begin"/>
      </w:r>
      <w:r>
        <w:instrText xml:space="preserve"> PAGEREF _Toc19928 \h </w:instrText>
      </w:r>
      <w:r>
        <w:fldChar w:fldCharType="separate"/>
      </w:r>
      <w:r>
        <w:t>25</w:t>
      </w:r>
      <w:r>
        <w:fldChar w:fldCharType="end"/>
      </w:r>
      <w:r>
        <w:fldChar w:fldCharType="end"/>
      </w:r>
    </w:p>
    <w:p w14:paraId="42A93D6F">
      <w:pPr>
        <w:pStyle w:val="14"/>
        <w:tabs>
          <w:tab w:val="right" w:leader="dot" w:pos="8306"/>
        </w:tabs>
      </w:pPr>
      <w:r>
        <w:fldChar w:fldCharType="begin"/>
      </w:r>
      <w:r>
        <w:instrText xml:space="preserve"> HYPERLINK \l _Toc19761 </w:instrText>
      </w:r>
      <w:r>
        <w:fldChar w:fldCharType="separate"/>
      </w:r>
      <w:r>
        <w:rPr>
          <w:rFonts w:hint="eastAsia"/>
        </w:rPr>
        <w:t xml:space="preserve">4.8 </w:t>
      </w:r>
      <w:r>
        <w:t>检票核销（ENC_UC_CHECKIN_01）</w:t>
      </w:r>
      <w:r>
        <w:tab/>
      </w:r>
      <w:r>
        <w:fldChar w:fldCharType="begin"/>
      </w:r>
      <w:r>
        <w:instrText xml:space="preserve"> PAGEREF _Toc19761 \h </w:instrText>
      </w:r>
      <w:r>
        <w:fldChar w:fldCharType="separate"/>
      </w:r>
      <w:r>
        <w:t>26</w:t>
      </w:r>
      <w:r>
        <w:fldChar w:fldCharType="end"/>
      </w:r>
      <w:r>
        <w:fldChar w:fldCharType="end"/>
      </w:r>
    </w:p>
    <w:p w14:paraId="0532336D">
      <w:pPr>
        <w:pStyle w:val="14"/>
        <w:tabs>
          <w:tab w:val="right" w:leader="dot" w:pos="8306"/>
        </w:tabs>
      </w:pPr>
      <w:r>
        <w:fldChar w:fldCharType="begin"/>
      </w:r>
      <w:r>
        <w:instrText xml:space="preserve"> HYPERLINK \l _Toc22759 </w:instrText>
      </w:r>
      <w:r>
        <w:fldChar w:fldCharType="separate"/>
      </w:r>
      <w:r>
        <w:rPr>
          <w:rFonts w:hint="eastAsia"/>
        </w:rPr>
        <w:t xml:space="preserve">4.9 </w:t>
      </w:r>
      <w:r>
        <w:t>剧目与场次管理（ENC_UC_SHOW_01）</w:t>
      </w:r>
      <w:r>
        <w:tab/>
      </w:r>
      <w:r>
        <w:fldChar w:fldCharType="begin"/>
      </w:r>
      <w:r>
        <w:instrText xml:space="preserve"> PAGEREF _Toc22759 \h </w:instrText>
      </w:r>
      <w:r>
        <w:fldChar w:fldCharType="separate"/>
      </w:r>
      <w:r>
        <w:t>27</w:t>
      </w:r>
      <w:r>
        <w:fldChar w:fldCharType="end"/>
      </w:r>
      <w:r>
        <w:fldChar w:fldCharType="end"/>
      </w:r>
    </w:p>
    <w:p w14:paraId="14587F43">
      <w:pPr>
        <w:pStyle w:val="14"/>
        <w:tabs>
          <w:tab w:val="right" w:leader="dot" w:pos="8306"/>
        </w:tabs>
      </w:pPr>
      <w:r>
        <w:fldChar w:fldCharType="begin"/>
      </w:r>
      <w:r>
        <w:instrText xml:space="preserve"> HYPERLINK \l _Toc27699 </w:instrText>
      </w:r>
      <w:r>
        <w:fldChar w:fldCharType="separate"/>
      </w:r>
      <w:r>
        <w:rPr>
          <w:rFonts w:hint="eastAsia"/>
        </w:rPr>
        <w:t xml:space="preserve">4.10 </w:t>
      </w:r>
      <w:r>
        <w:t>统计报表查看（ENC_UC_STAT_01）</w:t>
      </w:r>
      <w:r>
        <w:tab/>
      </w:r>
      <w:r>
        <w:fldChar w:fldCharType="begin"/>
      </w:r>
      <w:r>
        <w:instrText xml:space="preserve"> PAGEREF _Toc27699 \h </w:instrText>
      </w:r>
      <w:r>
        <w:fldChar w:fldCharType="separate"/>
      </w:r>
      <w:r>
        <w:t>28</w:t>
      </w:r>
      <w:r>
        <w:fldChar w:fldCharType="end"/>
      </w:r>
      <w:r>
        <w:fldChar w:fldCharType="end"/>
      </w:r>
    </w:p>
    <w:p w14:paraId="02535552">
      <w:pPr>
        <w:pStyle w:val="14"/>
        <w:tabs>
          <w:tab w:val="right" w:leader="dot" w:pos="8306"/>
        </w:tabs>
      </w:pPr>
      <w:r>
        <w:fldChar w:fldCharType="begin"/>
      </w:r>
      <w:r>
        <w:instrText xml:space="preserve"> HYPERLINK \l _Toc21496 </w:instrText>
      </w:r>
      <w:r>
        <w:fldChar w:fldCharType="separate"/>
      </w:r>
      <w:r>
        <w:rPr>
          <w:rFonts w:hint="eastAsia"/>
        </w:rPr>
        <w:t xml:space="preserve">4.11 </w:t>
      </w:r>
      <w:r>
        <w:t>演出智能推荐（ENC_UC_REC_01）</w:t>
      </w:r>
      <w:r>
        <w:tab/>
      </w:r>
      <w:r>
        <w:fldChar w:fldCharType="begin"/>
      </w:r>
      <w:r>
        <w:instrText xml:space="preserve"> PAGEREF _Toc21496 \h </w:instrText>
      </w:r>
      <w:r>
        <w:fldChar w:fldCharType="separate"/>
      </w:r>
      <w:r>
        <w:t>29</w:t>
      </w:r>
      <w:r>
        <w:fldChar w:fldCharType="end"/>
      </w:r>
      <w:r>
        <w:fldChar w:fldCharType="end"/>
      </w:r>
    </w:p>
    <w:p w14:paraId="29CF0AD9">
      <w:pPr>
        <w:pStyle w:val="12"/>
        <w:tabs>
          <w:tab w:val="right" w:leader="dot" w:pos="8306"/>
        </w:tabs>
      </w:pPr>
      <w:r>
        <w:fldChar w:fldCharType="begin"/>
      </w:r>
      <w:r>
        <w:instrText xml:space="preserve"> HYPERLINK \l _Toc10457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5. </w:t>
      </w:r>
      <w:r>
        <w:rPr>
          <w:rFonts w:hint="eastAsia"/>
        </w:rPr>
        <w:t>非功能需求</w:t>
      </w:r>
      <w:r>
        <w:tab/>
      </w:r>
      <w:r>
        <w:fldChar w:fldCharType="begin"/>
      </w:r>
      <w:r>
        <w:instrText xml:space="preserve"> PAGEREF _Toc10457 \h </w:instrText>
      </w:r>
      <w:r>
        <w:fldChar w:fldCharType="separate"/>
      </w:r>
      <w:r>
        <w:t>30</w:t>
      </w:r>
      <w:r>
        <w:fldChar w:fldCharType="end"/>
      </w:r>
      <w:r>
        <w:fldChar w:fldCharType="end"/>
      </w:r>
    </w:p>
    <w:p w14:paraId="0EEDE8FF">
      <w:pPr>
        <w:pStyle w:val="14"/>
        <w:tabs>
          <w:tab w:val="right" w:leader="dot" w:pos="8306"/>
        </w:tabs>
      </w:pPr>
      <w:r>
        <w:fldChar w:fldCharType="begin"/>
      </w:r>
      <w:r>
        <w:instrText xml:space="preserve"> HYPERLINK \l _Toc29206 </w:instrText>
      </w:r>
      <w:r>
        <w:fldChar w:fldCharType="separate"/>
      </w:r>
      <w:r>
        <w:rPr>
          <w:rFonts w:hint="eastAsia"/>
        </w:rPr>
        <w:t xml:space="preserve">5.1 </w:t>
      </w:r>
      <w:r>
        <w:t>界面与接口需求</w:t>
      </w:r>
      <w:r>
        <w:tab/>
      </w:r>
      <w:r>
        <w:fldChar w:fldCharType="begin"/>
      </w:r>
      <w:r>
        <w:instrText xml:space="preserve"> PAGEREF _Toc29206 \h </w:instrText>
      </w:r>
      <w:r>
        <w:fldChar w:fldCharType="separate"/>
      </w:r>
      <w:r>
        <w:t>30</w:t>
      </w:r>
      <w:r>
        <w:fldChar w:fldCharType="end"/>
      </w:r>
      <w:r>
        <w:fldChar w:fldCharType="end"/>
      </w:r>
    </w:p>
    <w:p w14:paraId="309956A2">
      <w:pPr>
        <w:pStyle w:val="8"/>
        <w:tabs>
          <w:tab w:val="right" w:leader="dot" w:pos="8306"/>
        </w:tabs>
      </w:pPr>
      <w:r>
        <w:fldChar w:fldCharType="begin"/>
      </w:r>
      <w:r>
        <w:instrText xml:space="preserve"> HYPERLINK \l _Toc14707 </w:instrText>
      </w:r>
      <w:r>
        <w:fldChar w:fldCharType="separate"/>
      </w:r>
      <w:r>
        <w:rPr>
          <w:rFonts w:hint="eastAsia"/>
        </w:rPr>
        <w:t xml:space="preserve">5.1.1 </w:t>
      </w:r>
      <w:r>
        <w:t>界面需求</w:t>
      </w:r>
      <w:r>
        <w:tab/>
      </w:r>
      <w:r>
        <w:fldChar w:fldCharType="begin"/>
      </w:r>
      <w:r>
        <w:instrText xml:space="preserve"> PAGEREF _Toc14707 \h </w:instrText>
      </w:r>
      <w:r>
        <w:fldChar w:fldCharType="separate"/>
      </w:r>
      <w:r>
        <w:t>31</w:t>
      </w:r>
      <w:r>
        <w:fldChar w:fldCharType="end"/>
      </w:r>
      <w:r>
        <w:fldChar w:fldCharType="end"/>
      </w:r>
    </w:p>
    <w:p w14:paraId="796ECFC7">
      <w:pPr>
        <w:pStyle w:val="8"/>
        <w:tabs>
          <w:tab w:val="right" w:leader="dot" w:pos="8306"/>
        </w:tabs>
      </w:pPr>
      <w:r>
        <w:fldChar w:fldCharType="begin"/>
      </w:r>
      <w:r>
        <w:instrText xml:space="preserve"> HYPERLINK \l _Toc18963 </w:instrText>
      </w:r>
      <w:r>
        <w:fldChar w:fldCharType="separate"/>
      </w:r>
      <w:r>
        <w:rPr>
          <w:rFonts w:hint="eastAsia"/>
        </w:rPr>
        <w:t xml:space="preserve">5.1.2 </w:t>
      </w:r>
      <w:r>
        <w:t>外部接口</w:t>
      </w:r>
      <w:r>
        <w:tab/>
      </w:r>
      <w:r>
        <w:fldChar w:fldCharType="begin"/>
      </w:r>
      <w:r>
        <w:instrText xml:space="preserve"> PAGEREF _Toc18963 \h </w:instrText>
      </w:r>
      <w:r>
        <w:fldChar w:fldCharType="separate"/>
      </w:r>
      <w:r>
        <w:t>31</w:t>
      </w:r>
      <w:r>
        <w:fldChar w:fldCharType="end"/>
      </w:r>
      <w:r>
        <w:fldChar w:fldCharType="end"/>
      </w:r>
    </w:p>
    <w:p w14:paraId="21955D1A">
      <w:pPr>
        <w:pStyle w:val="14"/>
        <w:tabs>
          <w:tab w:val="right" w:leader="dot" w:pos="8306"/>
        </w:tabs>
      </w:pPr>
      <w:r>
        <w:fldChar w:fldCharType="begin"/>
      </w:r>
      <w:r>
        <w:instrText xml:space="preserve"> HYPERLINK \l _Toc13376 </w:instrText>
      </w:r>
      <w:r>
        <w:fldChar w:fldCharType="separate"/>
      </w:r>
      <w:r>
        <w:rPr>
          <w:rFonts w:hint="eastAsia"/>
        </w:rPr>
        <w:t xml:space="preserve">5.2 </w:t>
      </w:r>
      <w:r>
        <w:t>性能需求</w:t>
      </w:r>
      <w:r>
        <w:tab/>
      </w:r>
      <w:r>
        <w:fldChar w:fldCharType="begin"/>
      </w:r>
      <w:r>
        <w:instrText xml:space="preserve"> PAGEREF _Toc13376 \h </w:instrText>
      </w:r>
      <w:r>
        <w:fldChar w:fldCharType="separate"/>
      </w:r>
      <w:r>
        <w:t>33</w:t>
      </w:r>
      <w:r>
        <w:fldChar w:fldCharType="end"/>
      </w:r>
      <w:r>
        <w:fldChar w:fldCharType="end"/>
      </w:r>
    </w:p>
    <w:p w14:paraId="1F99A727">
      <w:pPr>
        <w:pStyle w:val="14"/>
        <w:tabs>
          <w:tab w:val="right" w:leader="dot" w:pos="8306"/>
        </w:tabs>
      </w:pPr>
      <w:r>
        <w:fldChar w:fldCharType="begin"/>
      </w:r>
      <w:r>
        <w:instrText xml:space="preserve"> HYPERLINK \l _Toc28929 </w:instrText>
      </w:r>
      <w:r>
        <w:fldChar w:fldCharType="separate"/>
      </w:r>
      <w:r>
        <w:rPr>
          <w:rFonts w:hint="eastAsia"/>
        </w:rPr>
        <w:t xml:space="preserve">5.3 </w:t>
      </w:r>
      <w:r>
        <w:t>安全性需求</w:t>
      </w:r>
      <w:r>
        <w:tab/>
      </w:r>
      <w:r>
        <w:fldChar w:fldCharType="begin"/>
      </w:r>
      <w:r>
        <w:instrText xml:space="preserve"> PAGEREF _Toc28929 \h </w:instrText>
      </w:r>
      <w:r>
        <w:fldChar w:fldCharType="separate"/>
      </w:r>
      <w:r>
        <w:t>35</w:t>
      </w:r>
      <w:r>
        <w:fldChar w:fldCharType="end"/>
      </w:r>
      <w:r>
        <w:fldChar w:fldCharType="end"/>
      </w:r>
    </w:p>
    <w:p w14:paraId="72D5C795">
      <w:pPr>
        <w:pStyle w:val="14"/>
        <w:tabs>
          <w:tab w:val="right" w:leader="dot" w:pos="8306"/>
        </w:tabs>
      </w:pPr>
      <w:r>
        <w:fldChar w:fldCharType="begin"/>
      </w:r>
      <w:r>
        <w:instrText xml:space="preserve"> HYPERLINK \l _Toc6802 </w:instrText>
      </w:r>
      <w:r>
        <w:fldChar w:fldCharType="separate"/>
      </w:r>
      <w:r>
        <w:rPr>
          <w:rFonts w:hint="eastAsia"/>
        </w:rPr>
        <w:t xml:space="preserve">5.4 </w:t>
      </w:r>
      <w:r>
        <w:t>可靠性需求</w:t>
      </w:r>
      <w:r>
        <w:tab/>
      </w:r>
      <w:r>
        <w:fldChar w:fldCharType="begin"/>
      </w:r>
      <w:r>
        <w:instrText xml:space="preserve"> PAGEREF _Toc6802 \h </w:instrText>
      </w:r>
      <w:r>
        <w:fldChar w:fldCharType="separate"/>
      </w:r>
      <w:r>
        <w:t>35</w:t>
      </w:r>
      <w:r>
        <w:fldChar w:fldCharType="end"/>
      </w:r>
      <w:r>
        <w:fldChar w:fldCharType="end"/>
      </w:r>
    </w:p>
    <w:p w14:paraId="28EEAAB9">
      <w:pPr>
        <w:pStyle w:val="14"/>
        <w:tabs>
          <w:tab w:val="right" w:leader="dot" w:pos="8306"/>
        </w:tabs>
      </w:pPr>
      <w:r>
        <w:fldChar w:fldCharType="begin"/>
      </w:r>
      <w:r>
        <w:instrText xml:space="preserve"> HYPERLINK \l _Toc18765 </w:instrText>
      </w:r>
      <w:r>
        <w:fldChar w:fldCharType="separate"/>
      </w:r>
      <w:r>
        <w:rPr>
          <w:rFonts w:hint="eastAsia"/>
        </w:rPr>
        <w:t xml:space="preserve">5.5 </w:t>
      </w:r>
      <w:r>
        <w:t>适应性需求</w:t>
      </w:r>
      <w:r>
        <w:tab/>
      </w:r>
      <w:r>
        <w:fldChar w:fldCharType="begin"/>
      </w:r>
      <w:r>
        <w:instrText xml:space="preserve"> PAGEREF _Toc18765 \h </w:instrText>
      </w:r>
      <w:r>
        <w:fldChar w:fldCharType="separate"/>
      </w:r>
      <w:r>
        <w:t>36</w:t>
      </w:r>
      <w:r>
        <w:fldChar w:fldCharType="end"/>
      </w:r>
      <w:r>
        <w:fldChar w:fldCharType="end"/>
      </w:r>
    </w:p>
    <w:p w14:paraId="33849D29">
      <w:pPr>
        <w:pStyle w:val="14"/>
        <w:tabs>
          <w:tab w:val="right" w:leader="dot" w:pos="8306"/>
        </w:tabs>
      </w:pPr>
      <w:r>
        <w:fldChar w:fldCharType="begin"/>
      </w:r>
      <w:r>
        <w:instrText xml:space="preserve"> HYPERLINK \l _Toc6658 </w:instrText>
      </w:r>
      <w:r>
        <w:fldChar w:fldCharType="separate"/>
      </w:r>
      <w:r>
        <w:rPr>
          <w:rFonts w:hint="eastAsia"/>
        </w:rPr>
        <w:t xml:space="preserve">5.6 </w:t>
      </w:r>
      <w:r>
        <w:t>设计约束</w:t>
      </w:r>
      <w:r>
        <w:tab/>
      </w:r>
      <w:r>
        <w:fldChar w:fldCharType="begin"/>
      </w:r>
      <w:r>
        <w:instrText xml:space="preserve"> PAGEREF _Toc6658 \h </w:instrText>
      </w:r>
      <w:r>
        <w:fldChar w:fldCharType="separate"/>
      </w:r>
      <w:r>
        <w:t>36</w:t>
      </w:r>
      <w:r>
        <w:fldChar w:fldCharType="end"/>
      </w:r>
      <w:r>
        <w:fldChar w:fldCharType="end"/>
      </w:r>
    </w:p>
    <w:p w14:paraId="402DD2D1">
      <w:pPr>
        <w:pStyle w:val="12"/>
        <w:tabs>
          <w:tab w:val="right" w:leader="dot" w:pos="8306"/>
        </w:tabs>
      </w:pPr>
      <w:r>
        <w:fldChar w:fldCharType="begin"/>
      </w:r>
      <w:r>
        <w:instrText xml:space="preserve"> HYPERLINK \l _Toc13217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6. </w:t>
      </w:r>
      <w:r>
        <w:rPr>
          <w:rFonts w:hint="eastAsia"/>
        </w:rPr>
        <w:t>验收标准</w:t>
      </w:r>
      <w:r>
        <w:tab/>
      </w:r>
      <w:r>
        <w:fldChar w:fldCharType="begin"/>
      </w:r>
      <w:r>
        <w:instrText xml:space="preserve"> PAGEREF _Toc13217 \h </w:instrText>
      </w:r>
      <w:r>
        <w:fldChar w:fldCharType="separate"/>
      </w:r>
      <w:r>
        <w:t>39</w:t>
      </w:r>
      <w:r>
        <w:fldChar w:fldCharType="end"/>
      </w:r>
      <w:r>
        <w:fldChar w:fldCharType="end"/>
      </w:r>
    </w:p>
    <w:p w14:paraId="139950B9">
      <w:pPr>
        <w:pStyle w:val="14"/>
        <w:tabs>
          <w:tab w:val="right" w:leader="dot" w:pos="8306"/>
        </w:tabs>
      </w:pPr>
      <w:r>
        <w:fldChar w:fldCharType="begin"/>
      </w:r>
      <w:r>
        <w:instrText xml:space="preserve"> HYPERLINK \l _Toc7225 </w:instrText>
      </w:r>
      <w:r>
        <w:fldChar w:fldCharType="separate"/>
      </w:r>
      <w:r>
        <w:rPr>
          <w:rFonts w:hint="eastAsia"/>
        </w:rPr>
        <w:t xml:space="preserve">6.1 </w:t>
      </w:r>
      <w:r>
        <w:t>功能验收</w:t>
      </w:r>
      <w:r>
        <w:tab/>
      </w:r>
      <w:r>
        <w:fldChar w:fldCharType="begin"/>
      </w:r>
      <w:r>
        <w:instrText xml:space="preserve"> PAGEREF _Toc7225 \h </w:instrText>
      </w:r>
      <w:r>
        <w:fldChar w:fldCharType="separate"/>
      </w:r>
      <w:r>
        <w:t>39</w:t>
      </w:r>
      <w:r>
        <w:fldChar w:fldCharType="end"/>
      </w:r>
      <w:r>
        <w:fldChar w:fldCharType="end"/>
      </w:r>
    </w:p>
    <w:p w14:paraId="1B738747">
      <w:pPr>
        <w:pStyle w:val="14"/>
        <w:tabs>
          <w:tab w:val="right" w:leader="dot" w:pos="8306"/>
        </w:tabs>
      </w:pPr>
      <w:r>
        <w:fldChar w:fldCharType="begin"/>
      </w:r>
      <w:r>
        <w:instrText xml:space="preserve"> HYPERLINK \l _Toc30724 </w:instrText>
      </w:r>
      <w:r>
        <w:fldChar w:fldCharType="separate"/>
      </w:r>
      <w:r>
        <w:rPr>
          <w:rFonts w:hint="eastAsia"/>
        </w:rPr>
        <w:t xml:space="preserve">6.2 </w:t>
      </w:r>
      <w:r>
        <w:t>性能验收标准：</w:t>
      </w:r>
      <w:r>
        <w:tab/>
      </w:r>
      <w:r>
        <w:fldChar w:fldCharType="begin"/>
      </w:r>
      <w:r>
        <w:instrText xml:space="preserve"> PAGEREF _Toc30724 \h </w:instrText>
      </w:r>
      <w:r>
        <w:fldChar w:fldCharType="separate"/>
      </w:r>
      <w:r>
        <w:t>43</w:t>
      </w:r>
      <w:r>
        <w:fldChar w:fldCharType="end"/>
      </w:r>
      <w:r>
        <w:fldChar w:fldCharType="end"/>
      </w:r>
    </w:p>
    <w:p w14:paraId="6917C731">
      <w:pPr>
        <w:pStyle w:val="8"/>
        <w:tabs>
          <w:tab w:val="right" w:leader="dot" w:pos="8306"/>
        </w:tabs>
      </w:pPr>
      <w:r>
        <w:fldChar w:fldCharType="begin"/>
      </w:r>
      <w:r>
        <w:instrText xml:space="preserve"> HYPERLINK \l _Toc16927 </w:instrText>
      </w:r>
      <w:r>
        <w:fldChar w:fldCharType="separate"/>
      </w:r>
      <w:r>
        <w:rPr>
          <w:rFonts w:hint="eastAsia"/>
        </w:rPr>
        <w:t xml:space="preserve">6.2.1 </w:t>
      </w:r>
      <w:r>
        <w:t>余量测试</w:t>
      </w:r>
      <w:r>
        <w:tab/>
      </w:r>
      <w:r>
        <w:fldChar w:fldCharType="begin"/>
      </w:r>
      <w:r>
        <w:instrText xml:space="preserve"> PAGEREF _Toc16927 \h </w:instrText>
      </w:r>
      <w:r>
        <w:fldChar w:fldCharType="separate"/>
      </w:r>
      <w:r>
        <w:t>43</w:t>
      </w:r>
      <w:r>
        <w:fldChar w:fldCharType="end"/>
      </w:r>
      <w:r>
        <w:fldChar w:fldCharType="end"/>
      </w:r>
    </w:p>
    <w:p w14:paraId="40FE7EF8">
      <w:pPr>
        <w:pStyle w:val="8"/>
        <w:tabs>
          <w:tab w:val="right" w:leader="dot" w:pos="8306"/>
        </w:tabs>
      </w:pPr>
      <w:r>
        <w:fldChar w:fldCharType="begin"/>
      </w:r>
      <w:r>
        <w:instrText xml:space="preserve"> HYPERLINK \l _Toc12494 </w:instrText>
      </w:r>
      <w:r>
        <w:fldChar w:fldCharType="separate"/>
      </w:r>
      <w:r>
        <w:rPr>
          <w:rFonts w:hint="eastAsia"/>
        </w:rPr>
        <w:t xml:space="preserve">6.2.2 </w:t>
      </w:r>
      <w:r>
        <w:t>性能验收（含基准测试）</w:t>
      </w:r>
      <w:r>
        <w:tab/>
      </w:r>
      <w:r>
        <w:fldChar w:fldCharType="begin"/>
      </w:r>
      <w:r>
        <w:instrText xml:space="preserve"> PAGEREF _Toc12494 \h </w:instrText>
      </w:r>
      <w:r>
        <w:fldChar w:fldCharType="separate"/>
      </w:r>
      <w:r>
        <w:t>44</w:t>
      </w:r>
      <w:r>
        <w:fldChar w:fldCharType="end"/>
      </w:r>
      <w:r>
        <w:fldChar w:fldCharType="end"/>
      </w:r>
    </w:p>
    <w:p w14:paraId="7B7E25C7">
      <w:pPr>
        <w:pStyle w:val="8"/>
        <w:tabs>
          <w:tab w:val="right" w:leader="dot" w:pos="8306"/>
        </w:tabs>
      </w:pPr>
      <w:r>
        <w:fldChar w:fldCharType="begin"/>
      </w:r>
      <w:r>
        <w:instrText xml:space="preserve"> HYPERLINK \l _Toc3440 </w:instrText>
      </w:r>
      <w:r>
        <w:fldChar w:fldCharType="separate"/>
      </w:r>
      <w:r>
        <w:rPr>
          <w:rFonts w:hint="eastAsia"/>
        </w:rPr>
        <w:t xml:space="preserve">6.2.3 </w:t>
      </w:r>
      <w:r>
        <w:t>各类响应时间测试</w:t>
      </w:r>
      <w:r>
        <w:tab/>
      </w:r>
      <w:r>
        <w:fldChar w:fldCharType="begin"/>
      </w:r>
      <w:r>
        <w:instrText xml:space="preserve"> PAGEREF _Toc3440 \h </w:instrText>
      </w:r>
      <w:r>
        <w:fldChar w:fldCharType="separate"/>
      </w:r>
      <w:r>
        <w:t>44</w:t>
      </w:r>
      <w:r>
        <w:fldChar w:fldCharType="end"/>
      </w:r>
      <w:r>
        <w:fldChar w:fldCharType="end"/>
      </w:r>
    </w:p>
    <w:p w14:paraId="505776BD">
      <w:pPr>
        <w:pStyle w:val="14"/>
        <w:tabs>
          <w:tab w:val="right" w:leader="dot" w:pos="8306"/>
        </w:tabs>
      </w:pPr>
      <w:r>
        <w:fldChar w:fldCharType="begin"/>
      </w:r>
      <w:r>
        <w:instrText xml:space="preserve"> HYPERLINK \l _Toc3691 </w:instrText>
      </w:r>
      <w:r>
        <w:fldChar w:fldCharType="separate"/>
      </w:r>
      <w:r>
        <w:rPr>
          <w:rFonts w:hint="eastAsia"/>
        </w:rPr>
        <w:t xml:space="preserve">6.3 </w:t>
      </w:r>
      <w:r>
        <w:t>系统健壮性测试</w:t>
      </w:r>
      <w:r>
        <w:tab/>
      </w:r>
      <w:r>
        <w:fldChar w:fldCharType="begin"/>
      </w:r>
      <w:r>
        <w:instrText xml:space="preserve"> PAGEREF _Toc3691 \h </w:instrText>
      </w:r>
      <w:r>
        <w:fldChar w:fldCharType="separate"/>
      </w:r>
      <w:r>
        <w:t>44</w:t>
      </w:r>
      <w:r>
        <w:fldChar w:fldCharType="end"/>
      </w:r>
      <w:r>
        <w:fldChar w:fldCharType="end"/>
      </w:r>
    </w:p>
    <w:p w14:paraId="3DB68724">
      <w:pPr>
        <w:pStyle w:val="14"/>
        <w:tabs>
          <w:tab w:val="right" w:leader="dot" w:pos="8306"/>
        </w:tabs>
      </w:pPr>
      <w:r>
        <w:fldChar w:fldCharType="begin"/>
      </w:r>
      <w:r>
        <w:instrText xml:space="preserve"> HYPERLINK \l _Toc21510 </w:instrText>
      </w:r>
      <w:r>
        <w:fldChar w:fldCharType="separate"/>
      </w:r>
      <w:r>
        <w:rPr>
          <w:rFonts w:hint="eastAsia"/>
        </w:rPr>
        <w:t xml:space="preserve">6.4 </w:t>
      </w:r>
      <w:r>
        <w:t>系统可靠性测试</w:t>
      </w:r>
      <w:r>
        <w:tab/>
      </w:r>
      <w:r>
        <w:fldChar w:fldCharType="begin"/>
      </w:r>
      <w:r>
        <w:instrText xml:space="preserve"> PAGEREF _Toc21510 \h </w:instrText>
      </w:r>
      <w:r>
        <w:fldChar w:fldCharType="separate"/>
      </w:r>
      <w:r>
        <w:t>44</w:t>
      </w:r>
      <w:r>
        <w:fldChar w:fldCharType="end"/>
      </w:r>
      <w:r>
        <w:fldChar w:fldCharType="end"/>
      </w:r>
    </w:p>
    <w:p w14:paraId="7335951A">
      <w:pPr>
        <w:pStyle w:val="14"/>
        <w:tabs>
          <w:tab w:val="right" w:leader="dot" w:pos="8306"/>
        </w:tabs>
      </w:pPr>
      <w:r>
        <w:fldChar w:fldCharType="begin"/>
      </w:r>
      <w:r>
        <w:instrText xml:space="preserve"> HYPERLINK \l _Toc16897 </w:instrText>
      </w:r>
      <w:r>
        <w:fldChar w:fldCharType="separate"/>
      </w:r>
      <w:r>
        <w:rPr>
          <w:rFonts w:hint="eastAsia"/>
        </w:rPr>
        <w:t xml:space="preserve">6.5 </w:t>
      </w:r>
      <w:r>
        <w:t>安全保密功能的测试</w:t>
      </w:r>
      <w:r>
        <w:tab/>
      </w:r>
      <w:r>
        <w:fldChar w:fldCharType="begin"/>
      </w:r>
      <w:r>
        <w:instrText xml:space="preserve"> PAGEREF _Toc16897 \h </w:instrText>
      </w:r>
      <w:r>
        <w:fldChar w:fldCharType="separate"/>
      </w:r>
      <w:r>
        <w:t>45</w:t>
      </w:r>
      <w:r>
        <w:fldChar w:fldCharType="end"/>
      </w:r>
      <w:r>
        <w:fldChar w:fldCharType="end"/>
      </w:r>
    </w:p>
    <w:p w14:paraId="6DB60C36">
      <w:pPr>
        <w:pStyle w:val="12"/>
        <w:tabs>
          <w:tab w:val="right" w:leader="dot" w:pos="8306"/>
        </w:tabs>
      </w:pPr>
      <w:r>
        <w:fldChar w:fldCharType="begin"/>
      </w:r>
      <w:r>
        <w:instrText xml:space="preserve"> HYPERLINK \l _Toc12887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7. </w:t>
      </w:r>
      <w:r>
        <w:rPr>
          <w:rFonts w:hint="eastAsia"/>
        </w:rPr>
        <w:t>产品提交</w:t>
      </w:r>
      <w:r>
        <w:tab/>
      </w:r>
      <w:r>
        <w:fldChar w:fldCharType="begin"/>
      </w:r>
      <w:r>
        <w:instrText xml:space="preserve"> PAGEREF _Toc12887 \h </w:instrText>
      </w:r>
      <w:r>
        <w:fldChar w:fldCharType="separate"/>
      </w:r>
      <w:r>
        <w:t>45</w:t>
      </w:r>
      <w:r>
        <w:fldChar w:fldCharType="end"/>
      </w:r>
      <w:r>
        <w:fldChar w:fldCharType="end"/>
      </w:r>
    </w:p>
    <w:p w14:paraId="606C2F71">
      <w:pPr>
        <w:pStyle w:val="12"/>
        <w:tabs>
          <w:tab w:val="right" w:leader="dot" w:pos="8306"/>
        </w:tabs>
      </w:pPr>
      <w:r>
        <w:fldChar w:fldCharType="begin"/>
      </w:r>
      <w:r>
        <w:instrText xml:space="preserve"> HYPERLINK \l _Toc3700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8. </w:t>
      </w:r>
      <w:r>
        <w:rPr>
          <w:rFonts w:hint="eastAsia"/>
        </w:rPr>
        <w:t>签字</w:t>
      </w:r>
      <w:r>
        <w:tab/>
      </w:r>
      <w:r>
        <w:fldChar w:fldCharType="begin"/>
      </w:r>
      <w:r>
        <w:instrText xml:space="preserve"> PAGEREF _Toc3700 \h </w:instrText>
      </w:r>
      <w:r>
        <w:fldChar w:fldCharType="separate"/>
      </w:r>
      <w:r>
        <w:t>47</w:t>
      </w:r>
      <w:r>
        <w:fldChar w:fldCharType="end"/>
      </w:r>
      <w:r>
        <w:fldChar w:fldCharType="end"/>
      </w:r>
    </w:p>
    <w:p w14:paraId="3D0BA33A">
      <w:pPr>
        <w:ind w:firstLine="480"/>
      </w:pPr>
      <w:r>
        <w:fldChar w:fldCharType="end"/>
      </w:r>
    </w:p>
    <w:p w14:paraId="45061D1D">
      <w:pPr>
        <w:ind w:firstLine="0" w:firstLineChars="0"/>
      </w:pPr>
    </w:p>
    <w:p w14:paraId="042E9973">
      <w:pPr>
        <w:ind w:firstLine="0" w:firstLineChars="0"/>
      </w:pPr>
    </w:p>
    <w:p w14:paraId="1D712838">
      <w:pPr>
        <w:ind w:firstLine="0" w:firstLineChars="0"/>
        <w:sectPr>
          <w:footerReference r:id="rId14" w:type="default"/>
          <w:type w:val="oddPage"/>
          <w:pgSz w:w="11906" w:h="16838"/>
          <w:pgMar w:top="1440" w:right="1800" w:bottom="1440" w:left="1800" w:header="851" w:footer="992" w:gutter="0"/>
          <w:pgNumType w:fmt="upperRoman" w:start="1"/>
          <w:cols w:space="425" w:num="1"/>
          <w:docGrid w:type="lines" w:linePitch="326" w:charSpace="0"/>
        </w:sectPr>
      </w:pPr>
    </w:p>
    <w:p w14:paraId="3F3A9233">
      <w:pPr>
        <w:spacing w:before="652" w:beforeLines="200" w:after="326" w:afterLines="100" w:line="240" w:lineRule="auto"/>
        <w:ind w:firstLine="0" w:firstLineChars="0"/>
        <w:jc w:val="center"/>
        <w:rPr>
          <w:rFonts w:ascii="黑体" w:hAnsi="黑体" w:eastAsia="黑体"/>
          <w:sz w:val="36"/>
          <w:szCs w:val="36"/>
        </w:rPr>
      </w:pPr>
      <w:r>
        <w:rPr>
          <w:rFonts w:hint="eastAsia" w:ascii="黑体" w:hAnsi="黑体" w:eastAsia="黑体"/>
          <w:sz w:val="36"/>
          <w:szCs w:val="36"/>
        </w:rPr>
        <w:t>“ENCORE 票务管理系统”软件需求规格说明</w:t>
      </w:r>
    </w:p>
    <w:p w14:paraId="4404472D">
      <w:pPr>
        <w:pStyle w:val="2"/>
        <w:ind w:left="240" w:right="240"/>
        <w:jc w:val="both"/>
      </w:pPr>
      <w:bookmarkStart w:id="0" w:name="_Toc20664"/>
      <w:r>
        <w:t>引言</w:t>
      </w:r>
      <w:bookmarkEnd w:id="0"/>
    </w:p>
    <w:p w14:paraId="62343369">
      <w:r>
        <w:t>本章节为《ENCORE 票务管理系统软件需求规格说明书》的引言部分, 阐述本文档的编写目的、项目基本资料、术语与缩写说明以及引用文档清单, 为读者快速建立 ENCORE 项目的整体背景认知.</w:t>
      </w:r>
    </w:p>
    <w:p w14:paraId="1D5A06BC">
      <w:pPr>
        <w:pStyle w:val="3"/>
        <w:rPr>
          <w:rFonts w:ascii="Times New Roman" w:hAnsi="Times New Roman"/>
        </w:rPr>
      </w:pPr>
      <w:bookmarkStart w:id="1" w:name="_Toc30297"/>
      <w:r>
        <w:rPr>
          <w:rFonts w:ascii="Times New Roman"/>
        </w:rPr>
        <w:t>编写目的</w:t>
      </w:r>
      <w:bookmarkEnd w:id="1"/>
    </w:p>
    <w:p w14:paraId="22C7775F">
      <w:r>
        <w:t>本文档以 ENCORE 票务管理系统的需求方为视角, 对系统的功能与非功能需求进行规格化描述, 用于指导后续概要设计、详细设计、编码实现、测试验收以及上线后的运维管理.</w:t>
      </w:r>
    </w:p>
    <w:p w14:paraId="57639571">
      <w:r>
        <w:t>本文档预期读者包括:</w:t>
      </w:r>
    </w:p>
    <w:p w14:paraId="576BD8BD">
      <w:pPr>
        <w:pStyle w:val="25"/>
      </w:pPr>
      <w:r>
        <w:t>ENCORE 项目组全体成员 (项目经理、前端、后端、数据库、测试、文档);</w:t>
      </w:r>
    </w:p>
    <w:p w14:paraId="6C266501">
      <w:pPr>
        <w:pStyle w:val="25"/>
      </w:pPr>
      <w:r>
        <w:t>剧院方业务代表 (票务管理员、检票员、剧院运营经理);</w:t>
      </w:r>
    </w:p>
    <w:p w14:paraId="6794E9AE">
      <w:pPr>
        <w:pStyle w:val="25"/>
      </w:pPr>
      <w:r>
        <w:t>软件工程课程设计 II 指导教师与评审组;</w:t>
      </w:r>
    </w:p>
    <w:p w14:paraId="7B49EBB6">
      <w:pPr>
        <w:pStyle w:val="25"/>
      </w:pPr>
      <w:r>
        <w:t>信息中心系统管理员及未来运维接手人员.</w:t>
      </w:r>
    </w:p>
    <w:p w14:paraId="7401D541">
      <w:pPr>
        <w:pStyle w:val="3"/>
      </w:pPr>
      <w:bookmarkStart w:id="2" w:name="_Toc24648"/>
      <w:r>
        <w:rPr>
          <w:rFonts w:hint="eastAsia"/>
        </w:rPr>
        <w:t>项目资料</w:t>
      </w:r>
      <w:bookmarkEnd w:id="2"/>
      <w:r>
        <w:t xml:space="preserve"> </w:t>
      </w:r>
    </w:p>
    <w:p w14:paraId="1D70659A">
      <w:pPr>
        <w:pStyle w:val="25"/>
      </w:pPr>
      <w:r>
        <w:t>项目名称: ENCORE 票务管理系统</w:t>
      </w:r>
    </w:p>
    <w:p w14:paraId="3F15C702">
      <w:pPr>
        <w:pStyle w:val="25"/>
      </w:pPr>
      <w:r>
        <w:t>项目英文名: ENCORE Ticketing Management System</w:t>
      </w:r>
    </w:p>
    <w:p w14:paraId="10E17004">
      <w:pPr>
        <w:pStyle w:val="25"/>
      </w:pPr>
      <w:r>
        <w:t>项目编号: ENC-2024-001</w:t>
      </w:r>
    </w:p>
    <w:p w14:paraId="3245DA66">
      <w:pPr>
        <w:pStyle w:val="25"/>
      </w:pPr>
      <w:r>
        <w:t>文档编号: ENC-SRS-001</w:t>
      </w:r>
    </w:p>
    <w:p w14:paraId="35070980">
      <w:pPr>
        <w:pStyle w:val="25"/>
      </w:pPr>
      <w:r>
        <w:t>版本号: V1.1</w:t>
      </w:r>
    </w:p>
    <w:p w14:paraId="192E818A">
      <w:pPr>
        <w:pStyle w:val="25"/>
      </w:pPr>
      <w:r>
        <w:t>架构类型: B/S 架构, 前后端分离</w:t>
      </w:r>
    </w:p>
    <w:p w14:paraId="589A3C14">
      <w:pPr>
        <w:pStyle w:val="25"/>
      </w:pPr>
      <w:r>
        <w:t>项目定位: 面向中小型剧院、校园剧场和演出场馆的现代化票务运营管理系统</w:t>
      </w:r>
    </w:p>
    <w:p w14:paraId="5A503F89">
      <w:pPr>
        <w:pStyle w:val="25"/>
      </w:pPr>
      <w:r>
        <w:t>覆盖业务: 演出发布 → 用户购票 → 现场检票 → 经营分析</w:t>
      </w:r>
    </w:p>
    <w:p w14:paraId="67758DA8">
      <w:pPr>
        <w:pStyle w:val="25"/>
      </w:pPr>
      <w:r>
        <w:t>项目周期: 软件工程课程设计 II (2024-05-27 至 2024-06-07) 后持续迭代</w:t>
      </w:r>
    </w:p>
    <w:p w14:paraId="5CFFF06E">
      <w:pPr>
        <w:pStyle w:val="25"/>
      </w:pPr>
      <w:r>
        <w:t>项目阶段成果: 软件需求规格说明书、概要设计说明书、详细设计说明书、源代码、测试报告、用户手册</w:t>
      </w:r>
    </w:p>
    <w:p w14:paraId="008393D2">
      <w:pPr>
        <w:pStyle w:val="3"/>
      </w:pPr>
      <w:bookmarkStart w:id="3" w:name="_Toc17657"/>
      <w:r>
        <w:rPr>
          <w:rFonts w:hint="eastAsia"/>
        </w:rPr>
        <w:t>术语定义</w:t>
      </w:r>
      <w:bookmarkEnd w:id="3"/>
    </w:p>
    <w:p w14:paraId="019BC120">
      <w:r>
        <w:t>本文档中使用的专业术语定义见表 1.</w:t>
      </w:r>
    </w:p>
    <w:p w14:paraId="1CCAE146">
      <w:pPr>
        <w:pStyle w:val="35"/>
        <w:jc w:val="center"/>
      </w:pPr>
      <w:r>
        <w:t>表1  术语定义</w:t>
      </w:r>
    </w:p>
    <w:tbl>
      <w:tblPr>
        <w:tblStyle w:val="15"/>
        <w:tblW w:w="848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74"/>
        <w:gridCol w:w="1828"/>
        <w:gridCol w:w="5678"/>
      </w:tblGrid>
      <w:tr w14:paraId="465384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0" w:hRule="atLeast"/>
        </w:trPr>
        <w:tc>
          <w:tcPr>
            <w:tcW w:w="974" w:type="dxa"/>
            <w:tcBorders>
              <w:top w:val="single" w:color="auto" w:sz="12" w:space="0"/>
              <w:bottom w:val="single" w:color="auto" w:sz="12" w:space="0"/>
            </w:tcBorders>
            <w:noWrap w:val="0"/>
            <w:vAlign w:val="center"/>
          </w:tcPr>
          <w:p w14:paraId="722C43ED">
            <w:pPr>
              <w:pStyle w:val="34"/>
              <w:jc w:val="center"/>
              <w:rPr>
                <w:b/>
              </w:rPr>
            </w:pPr>
            <w:r>
              <w:rPr>
                <w:rFonts w:hint="eastAsia"/>
                <w:b/>
              </w:rPr>
              <w:t>序号</w:t>
            </w:r>
          </w:p>
        </w:tc>
        <w:tc>
          <w:tcPr>
            <w:tcW w:w="1828" w:type="dxa"/>
            <w:tcBorders>
              <w:top w:val="single" w:color="auto" w:sz="12" w:space="0"/>
              <w:bottom w:val="single" w:color="auto" w:sz="12" w:space="0"/>
            </w:tcBorders>
            <w:noWrap w:val="0"/>
            <w:vAlign w:val="center"/>
          </w:tcPr>
          <w:p w14:paraId="64E9721E">
            <w:pPr>
              <w:pStyle w:val="34"/>
              <w:jc w:val="center"/>
              <w:rPr>
                <w:b/>
              </w:rPr>
            </w:pPr>
            <w:r>
              <w:rPr>
                <w:rFonts w:hint="eastAsia"/>
                <w:b/>
              </w:rPr>
              <w:t>术语</w:t>
            </w:r>
          </w:p>
        </w:tc>
        <w:tc>
          <w:tcPr>
            <w:tcW w:w="5678" w:type="dxa"/>
            <w:tcBorders>
              <w:top w:val="single" w:color="auto" w:sz="12" w:space="0"/>
              <w:bottom w:val="single" w:color="auto" w:sz="12" w:space="0"/>
            </w:tcBorders>
            <w:noWrap w:val="0"/>
            <w:vAlign w:val="center"/>
          </w:tcPr>
          <w:p w14:paraId="0845AEB0">
            <w:pPr>
              <w:pStyle w:val="34"/>
              <w:jc w:val="center"/>
              <w:rPr>
                <w:b/>
              </w:rPr>
            </w:pPr>
            <w:r>
              <w:rPr>
                <w:rFonts w:hint="eastAsia"/>
                <w:b/>
              </w:rPr>
              <w:t>含义</w:t>
            </w:r>
          </w:p>
        </w:tc>
      </w:tr>
      <w:tr w14:paraId="22FC1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2" w:hRule="atLeast"/>
        </w:trPr>
        <w:tc>
          <w:tcPr>
            <w:tcW w:w="974" w:type="dxa"/>
            <w:tcBorders>
              <w:top w:val="single" w:color="auto" w:sz="12" w:space="0"/>
              <w:bottom w:val="single" w:color="auto" w:sz="4" w:space="0"/>
              <w:right w:val="single" w:color="auto" w:sz="4" w:space="0"/>
            </w:tcBorders>
            <w:noWrap w:val="0"/>
            <w:vAlign w:val="center"/>
          </w:tcPr>
          <w:p w14:paraId="54C3ADEC">
            <w:r>
              <w:t>1</w:t>
            </w:r>
          </w:p>
        </w:tc>
        <w:tc>
          <w:tcPr>
            <w:tcW w:w="1828" w:type="dxa"/>
            <w:tcBorders>
              <w:top w:val="single" w:color="auto" w:sz="12" w:space="0"/>
              <w:left w:val="single" w:color="auto" w:sz="4" w:space="0"/>
              <w:bottom w:val="single" w:color="auto" w:sz="4" w:space="0"/>
              <w:right w:val="single" w:color="auto" w:sz="4" w:space="0"/>
            </w:tcBorders>
            <w:noWrap w:val="0"/>
            <w:vAlign w:val="center"/>
          </w:tcPr>
          <w:p w14:paraId="7D4407C0">
            <w:r>
              <w:t>可视化选座</w:t>
            </w:r>
          </w:p>
        </w:tc>
        <w:tc>
          <w:tcPr>
            <w:tcW w:w="5678" w:type="dxa"/>
            <w:tcBorders>
              <w:top w:val="single" w:color="auto" w:sz="12" w:space="0"/>
              <w:left w:val="single" w:color="auto" w:sz="4" w:space="0"/>
              <w:bottom w:val="single" w:color="auto" w:sz="4" w:space="0"/>
              <w:right w:val="single" w:color="auto" w:sz="4" w:space="0"/>
            </w:tcBorders>
            <w:noWrap w:val="0"/>
            <w:vAlign w:val="center"/>
          </w:tcPr>
          <w:p w14:paraId="42B4C51F">
            <w:r>
              <w:t>用户在剧院座位平面图中以图形化方式选择座位的过程, 座位分为可售 (AVAILABLE)、锁定中 (LOCKED)、已售 (SOLD)、不可售 (DISABLED) 四种状态.</w:t>
            </w:r>
          </w:p>
        </w:tc>
      </w:tr>
      <w:tr w14:paraId="511D67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2" w:hRule="atLeast"/>
        </w:trPr>
        <w:tc>
          <w:tcPr>
            <w:tcW w:w="974" w:type="dxa"/>
            <w:tcBorders>
              <w:top w:val="single" w:color="auto" w:sz="4" w:space="0"/>
              <w:bottom w:val="single" w:color="auto" w:sz="12" w:space="0"/>
              <w:right w:val="single" w:color="auto" w:sz="4" w:space="0"/>
            </w:tcBorders>
            <w:noWrap w:val="0"/>
            <w:vAlign w:val="center"/>
          </w:tcPr>
          <w:p w14:paraId="73717FF4">
            <w:r>
              <w:t>2</w:t>
            </w:r>
          </w:p>
        </w:tc>
        <w:tc>
          <w:tcPr>
            <w:tcW w:w="1828" w:type="dxa"/>
            <w:tcBorders>
              <w:top w:val="single" w:color="auto" w:sz="4" w:space="0"/>
              <w:left w:val="single" w:color="auto" w:sz="4" w:space="0"/>
              <w:bottom w:val="single" w:color="auto" w:sz="12" w:space="0"/>
              <w:right w:val="single" w:color="auto" w:sz="4" w:space="0"/>
            </w:tcBorders>
            <w:noWrap w:val="0"/>
            <w:vAlign w:val="center"/>
          </w:tcPr>
          <w:p w14:paraId="348531F2">
            <w:r>
              <w:t>座位临时锁定</w:t>
            </w:r>
          </w:p>
        </w:tc>
        <w:tc>
          <w:tcPr>
            <w:tcW w:w="5678" w:type="dxa"/>
            <w:tcBorders>
              <w:top w:val="single" w:color="auto" w:sz="4" w:space="0"/>
              <w:left w:val="single" w:color="auto" w:sz="4" w:space="0"/>
              <w:bottom w:val="single" w:color="auto" w:sz="12" w:space="0"/>
              <w:right w:val="single" w:color="auto" w:sz="4" w:space="0"/>
            </w:tcBorders>
            <w:noWrap w:val="0"/>
            <w:vAlign w:val="center"/>
          </w:tcPr>
          <w:p w14:paraId="08CA86E4">
            <w:r>
              <w:t>用户选择座位后系统将该座位标记为 LOCKED 并启动倒计时, 在规定时间内未支付则自动释放为 AVAILABLE.</w:t>
            </w:r>
          </w:p>
        </w:tc>
      </w:tr>
      <w:tr w14:paraId="35FFE1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5AAB0D16">
            <w:r>
              <w:t>3</w:t>
            </w:r>
          </w:p>
        </w:tc>
        <w:tc>
          <w:tcPr>
            <w:tcW w:w="1828" w:type="dxa"/>
          </w:tcPr>
          <w:p w14:paraId="3032EA2D">
            <w:r>
              <w:t>订单倒计时</w:t>
            </w:r>
          </w:p>
        </w:tc>
        <w:tc>
          <w:tcPr>
            <w:tcW w:w="5678" w:type="dxa"/>
          </w:tcPr>
          <w:p w14:paraId="1BD7A724">
            <w:r>
              <w:t>待支付订单的有效期, 默认 15 分钟, 通过 Redis Key 过期触发; 倒计时归零自动取消订单并释放座位.</w:t>
            </w:r>
          </w:p>
        </w:tc>
      </w:tr>
      <w:tr w14:paraId="63C609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3961A4BB">
            <w:r>
              <w:t>4</w:t>
            </w:r>
          </w:p>
        </w:tc>
        <w:tc>
          <w:tcPr>
            <w:tcW w:w="1828" w:type="dxa"/>
          </w:tcPr>
          <w:p w14:paraId="6E432EF3">
            <w:r>
              <w:t>电子票</w:t>
            </w:r>
          </w:p>
        </w:tc>
        <w:tc>
          <w:tcPr>
            <w:tcW w:w="5678" w:type="dxa"/>
          </w:tcPr>
          <w:p w14:paraId="164853B7">
            <w:r>
              <w:t>支付成功后系统生成的电子凭证, 包含票号、演出信息、场次时间、演出厅、座位号、票据状态与二维码模拟字段.</w:t>
            </w:r>
          </w:p>
        </w:tc>
      </w:tr>
      <w:tr w14:paraId="395105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3452C563">
            <w:r>
              <w:t>5</w:t>
            </w:r>
          </w:p>
        </w:tc>
        <w:tc>
          <w:tcPr>
            <w:tcW w:w="1828" w:type="dxa"/>
          </w:tcPr>
          <w:p w14:paraId="463AB845">
            <w:r>
              <w:t>检票核销</w:t>
            </w:r>
          </w:p>
        </w:tc>
        <w:tc>
          <w:tcPr>
            <w:tcW w:w="5678" w:type="dxa"/>
          </w:tcPr>
          <w:p w14:paraId="59BDADD3">
            <w:r>
              <w:t>检票员通过票号或二维码模拟码核验电子票合法性并允许入场的过程, 票据状态由 UNUSED 变为 CHECKED_IN.</w:t>
            </w:r>
          </w:p>
        </w:tc>
      </w:tr>
      <w:tr w14:paraId="6E486E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6C646ADF">
            <w:r>
              <w:t>6</w:t>
            </w:r>
          </w:p>
        </w:tc>
        <w:tc>
          <w:tcPr>
            <w:tcW w:w="1828" w:type="dxa"/>
          </w:tcPr>
          <w:p w14:paraId="105C861E">
            <w:r>
              <w:t>票房数据看板</w:t>
            </w:r>
          </w:p>
        </w:tc>
        <w:tc>
          <w:tcPr>
            <w:tcW w:w="5678" w:type="dxa"/>
          </w:tcPr>
          <w:p w14:paraId="6491388F">
            <w:r>
              <w:t>面向票务管理员的可视化运营分析页, 包含订单数、销售额、上座率、热门演出排行、座位区域热度等指标.</w:t>
            </w:r>
          </w:p>
        </w:tc>
      </w:tr>
      <w:tr w14:paraId="4E4ED8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16AF91E5">
            <w:r>
              <w:t>7</w:t>
            </w:r>
          </w:p>
        </w:tc>
        <w:tc>
          <w:tcPr>
            <w:tcW w:w="1828" w:type="dxa"/>
          </w:tcPr>
          <w:p w14:paraId="496881FF">
            <w:r>
              <w:t>场次座位票池</w:t>
            </w:r>
          </w:p>
        </w:tc>
        <w:tc>
          <w:tcPr>
            <w:tcW w:w="5678" w:type="dxa"/>
          </w:tcPr>
          <w:p w14:paraId="4D4C4AEB">
            <w:r>
              <w:t>为单个演出场次基于演出厅座位布局生成的座位副本集合 (schedule_seat), 是售票的最小可锁定单元.</w:t>
            </w:r>
          </w:p>
        </w:tc>
      </w:tr>
      <w:tr w14:paraId="2BA38C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4E7B5DAD">
            <w:r>
              <w:t>8</w:t>
            </w:r>
          </w:p>
        </w:tc>
        <w:tc>
          <w:tcPr>
            <w:tcW w:w="1828" w:type="dxa"/>
          </w:tcPr>
          <w:p w14:paraId="32377B7F">
            <w:r>
              <w:t>二维码模拟码</w:t>
            </w:r>
          </w:p>
        </w:tc>
        <w:tc>
          <w:tcPr>
            <w:tcW w:w="5678" w:type="dxa"/>
          </w:tcPr>
          <w:p w14:paraId="5D9C9627">
            <w:r>
              <w:t>电子票内的模拟二维码字符串字段, 检票端可直接读取, 不依赖真实扫码硬件.</w:t>
            </w:r>
          </w:p>
        </w:tc>
      </w:tr>
      <w:tr w14:paraId="659D01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74BAE3B9">
            <w:r>
              <w:t>9</w:t>
            </w:r>
          </w:p>
        </w:tc>
        <w:tc>
          <w:tcPr>
            <w:tcW w:w="1828" w:type="dxa"/>
          </w:tcPr>
          <w:p w14:paraId="73D81197">
            <w:r>
              <w:t>沉浸式剧院风格</w:t>
            </w:r>
          </w:p>
        </w:tc>
        <w:tc>
          <w:tcPr>
            <w:tcW w:w="5678" w:type="dxa"/>
          </w:tcPr>
          <w:p w14:paraId="5ECEA480">
            <w:r>
              <w:t>用户端 UI 采用暗红、金色、黑色为主色调的深色视觉语言, 与剧院文化氛围呼应.</w:t>
            </w:r>
          </w:p>
        </w:tc>
      </w:tr>
      <w:tr w14:paraId="6A40E6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5337B7E6">
            <w:r>
              <w:t>10</w:t>
            </w:r>
          </w:p>
        </w:tc>
        <w:tc>
          <w:tcPr>
            <w:tcW w:w="1828" w:type="dxa"/>
          </w:tcPr>
          <w:p w14:paraId="66F3014C">
            <w:r>
              <w:t>实时选座广播</w:t>
            </w:r>
          </w:p>
        </w:tc>
        <w:tc>
          <w:tcPr>
            <w:tcW w:w="5678" w:type="dxa"/>
          </w:tcPr>
          <w:p w14:paraId="4AAADF33">
            <w:r>
              <w:t>基于 WebSocket / STOMP 协议, 同一场次内任一用户的锁座 / 释放 / 售出动作通过 /topic/schedules/{id}/seats 主题广播给全部在线订阅者, P95 ≤ 200ms, 屏幕端无需轮询即可实时同步座位与区域状态.</w:t>
            </w:r>
          </w:p>
        </w:tc>
      </w:tr>
      <w:tr w14:paraId="0435B4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4804277D">
            <w:r>
              <w:t>11</w:t>
            </w:r>
          </w:p>
        </w:tc>
        <w:tc>
          <w:tcPr>
            <w:tcW w:w="1828" w:type="dxa"/>
          </w:tcPr>
          <w:p w14:paraId="591CE25C">
            <w:r>
              <w:t>三维舞台视角预览</w:t>
            </w:r>
          </w:p>
        </w:tc>
        <w:tc>
          <w:tcPr>
            <w:tcW w:w="5678" w:type="dxa"/>
          </w:tcPr>
          <w:p w14:paraId="672E583D">
            <w:r>
              <w:t>用户在选座页面点击具体座位, 弹层基于 three.js + WebGL 渲染剧院 3D 场景与对应座位的 PerspectiveCamera 视角, 直观展示从该座位看向舞台的视野效果.</w:t>
            </w:r>
          </w:p>
        </w:tc>
      </w:tr>
      <w:tr w14:paraId="486072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7FDB58E8">
            <w:r>
              <w:t>12</w:t>
            </w:r>
          </w:p>
        </w:tc>
        <w:tc>
          <w:tcPr>
            <w:tcW w:w="1828" w:type="dxa"/>
          </w:tcPr>
          <w:p w14:paraId="0BE0CA3A">
            <w:r>
              <w:t>拼座邀请</w:t>
            </w:r>
          </w:p>
        </w:tc>
        <w:tc>
          <w:tcPr>
            <w:tcW w:w="5678" w:type="dxa"/>
          </w:tcPr>
          <w:p w14:paraId="60882E76">
            <w:r>
              <w:t>用户在选座阶段生成一段可分享的邀请链接 / 二维码, 邀请人扫码或点击后进入同一场次, 联合锁定一组相邻座位, 形成一次共同订单.</w:t>
            </w:r>
          </w:p>
        </w:tc>
      </w:tr>
      <w:tr w14:paraId="15378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701F177F">
            <w:r>
              <w:t>13</w:t>
            </w:r>
          </w:p>
        </w:tc>
        <w:tc>
          <w:tcPr>
            <w:tcW w:w="1828" w:type="dxa"/>
          </w:tcPr>
          <w:p w14:paraId="28518369">
            <w:r>
              <w:t>深色数据看板风格</w:t>
            </w:r>
          </w:p>
        </w:tc>
        <w:tc>
          <w:tcPr>
            <w:tcW w:w="5678" w:type="dxa"/>
          </w:tcPr>
          <w:p w14:paraId="55177858">
            <w:r>
              <w:t>管理端数据看板采用深色底 + 金色 (#C8955A) 高亮、灰阶坐标 (#8A8480) 的 ECharts 深色 BI 视觉语言, 与用户端沉浸式剧院风格呼应, 突出营收 / 订单 / 售票 / 检票关键指标.</w:t>
            </w:r>
          </w:p>
        </w:tc>
      </w:tr>
    </w:tbl>
    <w:p w14:paraId="5AE51017">
      <w:r>
        <w:t>如表 1 所示, 系统所涉术语紧密围绕 ENCORE 票务全生命周期管理, 既包含与用户体验相关的可视化选座、电子票、二维码模拟码, 也包含支撑业务约束的座位临时锁定、订单倒计时、检票核销等核心机制.</w:t>
      </w:r>
    </w:p>
    <w:p w14:paraId="5F6C6861">
      <w:pPr>
        <w:pStyle w:val="3"/>
      </w:pPr>
      <w:bookmarkStart w:id="4" w:name="_Toc22166"/>
      <w:r>
        <w:rPr>
          <w:rFonts w:hint="eastAsia"/>
        </w:rPr>
        <w:t>缩写说明</w:t>
      </w:r>
      <w:bookmarkEnd w:id="4"/>
    </w:p>
    <w:p w14:paraId="6288D086">
      <w:r>
        <w:t>本文档中使用的英文及行业缩写见表 2.</w:t>
      </w:r>
    </w:p>
    <w:p w14:paraId="471024AC">
      <w:pPr>
        <w:pStyle w:val="35"/>
        <w:jc w:val="center"/>
      </w:pPr>
      <w:r>
        <w:t>表2  英文缩写说明</w:t>
      </w:r>
    </w:p>
    <w:tbl>
      <w:tblPr>
        <w:tblStyle w:val="15"/>
        <w:tblW w:w="847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59"/>
        <w:gridCol w:w="1843"/>
        <w:gridCol w:w="5677"/>
      </w:tblGrid>
      <w:tr w14:paraId="4DF7C7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8" w:hRule="atLeast"/>
        </w:trPr>
        <w:tc>
          <w:tcPr>
            <w:tcW w:w="959" w:type="dxa"/>
            <w:tcBorders>
              <w:top w:val="single" w:color="auto" w:sz="12" w:space="0"/>
              <w:bottom w:val="single" w:color="auto" w:sz="12" w:space="0"/>
            </w:tcBorders>
            <w:noWrap w:val="0"/>
            <w:vAlign w:val="center"/>
          </w:tcPr>
          <w:p w14:paraId="176D4055">
            <w:pPr>
              <w:pStyle w:val="34"/>
              <w:jc w:val="center"/>
              <w:rPr>
                <w:b/>
              </w:rPr>
            </w:pPr>
            <w:r>
              <w:rPr>
                <w:rFonts w:hint="eastAsia"/>
                <w:b/>
              </w:rPr>
              <w:t>序号</w:t>
            </w:r>
          </w:p>
        </w:tc>
        <w:tc>
          <w:tcPr>
            <w:tcW w:w="1843" w:type="dxa"/>
            <w:tcBorders>
              <w:top w:val="single" w:color="auto" w:sz="12" w:space="0"/>
              <w:bottom w:val="single" w:color="auto" w:sz="12" w:space="0"/>
            </w:tcBorders>
            <w:noWrap w:val="0"/>
            <w:vAlign w:val="center"/>
          </w:tcPr>
          <w:p w14:paraId="348F8D05">
            <w:pPr>
              <w:pStyle w:val="34"/>
              <w:jc w:val="center"/>
              <w:rPr>
                <w:b/>
              </w:rPr>
            </w:pPr>
            <w:r>
              <w:rPr>
                <w:rFonts w:hint="eastAsia"/>
                <w:b/>
              </w:rPr>
              <w:t>缩写</w:t>
            </w:r>
          </w:p>
        </w:tc>
        <w:tc>
          <w:tcPr>
            <w:tcW w:w="5677" w:type="dxa"/>
            <w:tcBorders>
              <w:top w:val="single" w:color="auto" w:sz="12" w:space="0"/>
              <w:bottom w:val="single" w:color="auto" w:sz="12" w:space="0"/>
            </w:tcBorders>
            <w:noWrap w:val="0"/>
            <w:vAlign w:val="center"/>
          </w:tcPr>
          <w:p w14:paraId="34848922">
            <w:pPr>
              <w:pStyle w:val="34"/>
              <w:jc w:val="center"/>
              <w:rPr>
                <w:b/>
                <w:color w:val="FF0000"/>
              </w:rPr>
            </w:pPr>
            <w:r>
              <w:rPr>
                <w:rFonts w:hint="eastAsia"/>
                <w:b/>
                <w:color w:val="FF0000"/>
              </w:rPr>
              <w:t>原文</w:t>
            </w:r>
          </w:p>
        </w:tc>
      </w:tr>
      <w:tr w14:paraId="15BE1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6" w:hRule="atLeast"/>
        </w:trPr>
        <w:tc>
          <w:tcPr>
            <w:tcW w:w="959" w:type="dxa"/>
            <w:tcBorders>
              <w:top w:val="single" w:color="auto" w:sz="12" w:space="0"/>
              <w:bottom w:val="single" w:color="auto" w:sz="4" w:space="0"/>
              <w:right w:val="single" w:color="auto" w:sz="4" w:space="0"/>
            </w:tcBorders>
            <w:noWrap w:val="0"/>
            <w:vAlign w:val="center"/>
          </w:tcPr>
          <w:p w14:paraId="0582754C">
            <w:r>
              <w:t>1</w:t>
            </w:r>
          </w:p>
        </w:tc>
        <w:tc>
          <w:tcPr>
            <w:tcW w:w="1843" w:type="dxa"/>
            <w:tcBorders>
              <w:top w:val="single" w:color="auto" w:sz="12" w:space="0"/>
              <w:left w:val="single" w:color="auto" w:sz="4" w:space="0"/>
              <w:bottom w:val="single" w:color="auto" w:sz="4" w:space="0"/>
              <w:right w:val="single" w:color="auto" w:sz="4" w:space="0"/>
            </w:tcBorders>
            <w:noWrap w:val="0"/>
            <w:vAlign w:val="center"/>
          </w:tcPr>
          <w:p w14:paraId="6C265A2C">
            <w:r>
              <w:t>SRS</w:t>
            </w:r>
          </w:p>
        </w:tc>
        <w:tc>
          <w:tcPr>
            <w:tcW w:w="5677" w:type="dxa"/>
            <w:tcBorders>
              <w:top w:val="single" w:color="auto" w:sz="12" w:space="0"/>
              <w:left w:val="single" w:color="auto" w:sz="4" w:space="0"/>
              <w:bottom w:val="single" w:color="auto" w:sz="4" w:space="0"/>
            </w:tcBorders>
            <w:noWrap w:val="0"/>
            <w:vAlign w:val="center"/>
          </w:tcPr>
          <w:p w14:paraId="4368F9E0">
            <w:r>
              <w:t>Software Requirements Specification (软件需求规格说明书)</w:t>
            </w:r>
          </w:p>
        </w:tc>
      </w:tr>
      <w:tr w14:paraId="26FD71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6" w:hRule="atLeast"/>
        </w:trPr>
        <w:tc>
          <w:tcPr>
            <w:tcW w:w="959" w:type="dxa"/>
            <w:tcBorders>
              <w:top w:val="single" w:color="auto" w:sz="4" w:space="0"/>
              <w:bottom w:val="single" w:color="auto" w:sz="12" w:space="0"/>
              <w:right w:val="single" w:color="auto" w:sz="4" w:space="0"/>
            </w:tcBorders>
            <w:noWrap w:val="0"/>
            <w:vAlign w:val="center"/>
          </w:tcPr>
          <w:p w14:paraId="1419F156">
            <w:r>
              <w:t>2</w:t>
            </w:r>
          </w:p>
        </w:tc>
        <w:tc>
          <w:tcPr>
            <w:tcW w:w="1843" w:type="dxa"/>
            <w:tcBorders>
              <w:top w:val="single" w:color="auto" w:sz="4" w:space="0"/>
              <w:left w:val="single" w:color="auto" w:sz="4" w:space="0"/>
              <w:bottom w:val="single" w:color="auto" w:sz="12" w:space="0"/>
              <w:right w:val="single" w:color="auto" w:sz="4" w:space="0"/>
            </w:tcBorders>
            <w:noWrap w:val="0"/>
            <w:vAlign w:val="center"/>
          </w:tcPr>
          <w:p w14:paraId="2249B76A">
            <w:r>
              <w:t>UML</w:t>
            </w:r>
          </w:p>
        </w:tc>
        <w:tc>
          <w:tcPr>
            <w:tcW w:w="5677" w:type="dxa"/>
            <w:tcBorders>
              <w:top w:val="single" w:color="auto" w:sz="4" w:space="0"/>
              <w:left w:val="single" w:color="auto" w:sz="4" w:space="0"/>
              <w:bottom w:val="single" w:color="auto" w:sz="12" w:space="0"/>
            </w:tcBorders>
            <w:noWrap w:val="0"/>
            <w:vAlign w:val="center"/>
          </w:tcPr>
          <w:p w14:paraId="43189120">
            <w:r>
              <w:t>Unified Modeling Language (统一建模语言)</w:t>
            </w:r>
          </w:p>
        </w:tc>
      </w:tr>
      <w:tr w14:paraId="01448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1286651B">
            <w:r>
              <w:t>3</w:t>
            </w:r>
          </w:p>
        </w:tc>
        <w:tc>
          <w:tcPr>
            <w:tcW w:w="1843" w:type="dxa"/>
          </w:tcPr>
          <w:p w14:paraId="39E39D71">
            <w:r>
              <w:t>B/S</w:t>
            </w:r>
          </w:p>
        </w:tc>
        <w:tc>
          <w:tcPr>
            <w:tcW w:w="5677" w:type="dxa"/>
          </w:tcPr>
          <w:p w14:paraId="713510B1">
            <w:r>
              <w:t>Browser/Server (浏览器/服务器架构)</w:t>
            </w:r>
          </w:p>
        </w:tc>
      </w:tr>
      <w:tr w14:paraId="308B89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0C471A0A">
            <w:r>
              <w:t>4</w:t>
            </w:r>
          </w:p>
        </w:tc>
        <w:tc>
          <w:tcPr>
            <w:tcW w:w="1843" w:type="dxa"/>
          </w:tcPr>
          <w:p w14:paraId="26DCFE63">
            <w:r>
              <w:t>API</w:t>
            </w:r>
          </w:p>
        </w:tc>
        <w:tc>
          <w:tcPr>
            <w:tcW w:w="5677" w:type="dxa"/>
          </w:tcPr>
          <w:p w14:paraId="62492444">
            <w:r>
              <w:t>Application Programming Interface (应用程序编程接口)</w:t>
            </w:r>
          </w:p>
        </w:tc>
      </w:tr>
      <w:tr w14:paraId="2D81A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7B564A1A">
            <w:r>
              <w:t>5</w:t>
            </w:r>
          </w:p>
        </w:tc>
        <w:tc>
          <w:tcPr>
            <w:tcW w:w="1843" w:type="dxa"/>
          </w:tcPr>
          <w:p w14:paraId="33212CD9">
            <w:r>
              <w:t>CRUD</w:t>
            </w:r>
          </w:p>
        </w:tc>
        <w:tc>
          <w:tcPr>
            <w:tcW w:w="5677" w:type="dxa"/>
          </w:tcPr>
          <w:p w14:paraId="7A30A523">
            <w:r>
              <w:t>Create / Read / Update / Delete (增删改查)</w:t>
            </w:r>
          </w:p>
        </w:tc>
      </w:tr>
      <w:tr w14:paraId="52ECD6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2F33C3C1">
            <w:r>
              <w:t>6</w:t>
            </w:r>
          </w:p>
        </w:tc>
        <w:tc>
          <w:tcPr>
            <w:tcW w:w="1843" w:type="dxa"/>
          </w:tcPr>
          <w:p w14:paraId="1DCDD444">
            <w:r>
              <w:t>ER</w:t>
            </w:r>
          </w:p>
        </w:tc>
        <w:tc>
          <w:tcPr>
            <w:tcW w:w="5677" w:type="dxa"/>
          </w:tcPr>
          <w:p w14:paraId="2C143DA7">
            <w:r>
              <w:t>Entity-Relationship (实体关系)</w:t>
            </w:r>
          </w:p>
        </w:tc>
      </w:tr>
      <w:tr w14:paraId="5565D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628E2B96">
            <w:r>
              <w:t>7</w:t>
            </w:r>
          </w:p>
        </w:tc>
        <w:tc>
          <w:tcPr>
            <w:tcW w:w="1843" w:type="dxa"/>
          </w:tcPr>
          <w:p w14:paraId="38C5169B">
            <w:r>
              <w:t>SPA</w:t>
            </w:r>
          </w:p>
        </w:tc>
        <w:tc>
          <w:tcPr>
            <w:tcW w:w="5677" w:type="dxa"/>
          </w:tcPr>
          <w:p w14:paraId="1876F846">
            <w:r>
              <w:t>Single Page Application (单页应用)</w:t>
            </w:r>
          </w:p>
        </w:tc>
      </w:tr>
      <w:tr w14:paraId="05D4E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68D3D41E">
            <w:r>
              <w:t>8</w:t>
            </w:r>
          </w:p>
        </w:tc>
        <w:tc>
          <w:tcPr>
            <w:tcW w:w="1843" w:type="dxa"/>
          </w:tcPr>
          <w:p w14:paraId="3549B951">
            <w:r>
              <w:t>ENC</w:t>
            </w:r>
          </w:p>
        </w:tc>
        <w:tc>
          <w:tcPr>
            <w:tcW w:w="5677" w:type="dxa"/>
          </w:tcPr>
          <w:p w14:paraId="73CD6651">
            <w:r>
              <w:t>ENCORE 项目英文缩写代号</w:t>
            </w:r>
          </w:p>
        </w:tc>
      </w:tr>
      <w:tr w14:paraId="222812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771D8DC4">
            <w:r>
              <w:t>9</w:t>
            </w:r>
          </w:p>
        </w:tc>
        <w:tc>
          <w:tcPr>
            <w:tcW w:w="1843" w:type="dxa"/>
          </w:tcPr>
          <w:p w14:paraId="1CF99CF1">
            <w:r>
              <w:t>UC</w:t>
            </w:r>
          </w:p>
        </w:tc>
        <w:tc>
          <w:tcPr>
            <w:tcW w:w="5677" w:type="dxa"/>
          </w:tcPr>
          <w:p w14:paraId="1BD6BC00">
            <w:r>
              <w:t>Use Case (用例)</w:t>
            </w:r>
          </w:p>
        </w:tc>
      </w:tr>
      <w:tr w14:paraId="4C500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7E42DD94">
            <w:r>
              <w:t>10</w:t>
            </w:r>
          </w:p>
        </w:tc>
        <w:tc>
          <w:tcPr>
            <w:tcW w:w="1843" w:type="dxa"/>
          </w:tcPr>
          <w:p w14:paraId="766C6C08">
            <w:r>
              <w:t>TPS</w:t>
            </w:r>
          </w:p>
        </w:tc>
        <w:tc>
          <w:tcPr>
            <w:tcW w:w="5677" w:type="dxa"/>
          </w:tcPr>
          <w:p w14:paraId="22A595E1">
            <w:r>
              <w:t>Transactions Per Second (每秒事务数)</w:t>
            </w:r>
          </w:p>
        </w:tc>
      </w:tr>
      <w:tr w14:paraId="053171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6739EF3F">
            <w:r>
              <w:t>11</w:t>
            </w:r>
          </w:p>
        </w:tc>
        <w:tc>
          <w:tcPr>
            <w:tcW w:w="1843" w:type="dxa"/>
          </w:tcPr>
          <w:p w14:paraId="4B5B0319">
            <w:r>
              <w:t>QPS</w:t>
            </w:r>
          </w:p>
        </w:tc>
        <w:tc>
          <w:tcPr>
            <w:tcW w:w="5677" w:type="dxa"/>
          </w:tcPr>
          <w:p w14:paraId="69D47513">
            <w:r>
              <w:t>Queries Per Second (每秒查询数)</w:t>
            </w:r>
          </w:p>
        </w:tc>
      </w:tr>
      <w:tr w14:paraId="403FC7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3E6D05FF">
            <w:r>
              <w:t>12</w:t>
            </w:r>
          </w:p>
        </w:tc>
        <w:tc>
          <w:tcPr>
            <w:tcW w:w="1843" w:type="dxa"/>
          </w:tcPr>
          <w:p w14:paraId="7FB5BF84">
            <w:r>
              <w:t>JDBC</w:t>
            </w:r>
          </w:p>
        </w:tc>
        <w:tc>
          <w:tcPr>
            <w:tcW w:w="5677" w:type="dxa"/>
          </w:tcPr>
          <w:p w14:paraId="0660485E">
            <w:r>
              <w:t>Java Database Connectivity (Java 数据库连接)</w:t>
            </w:r>
          </w:p>
        </w:tc>
      </w:tr>
      <w:tr w14:paraId="7605B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54B1038C">
            <w:r>
              <w:t>13</w:t>
            </w:r>
          </w:p>
        </w:tc>
        <w:tc>
          <w:tcPr>
            <w:tcW w:w="1843" w:type="dxa"/>
          </w:tcPr>
          <w:p w14:paraId="68F3CCD9">
            <w:r>
              <w:t>WS</w:t>
            </w:r>
          </w:p>
        </w:tc>
        <w:tc>
          <w:tcPr>
            <w:tcW w:w="5677" w:type="dxa"/>
          </w:tcPr>
          <w:p w14:paraId="25D59DC2">
            <w:r>
              <w:t>WebSocket (基于 TCP 的全双工通信协议)</w:t>
            </w:r>
          </w:p>
        </w:tc>
      </w:tr>
      <w:tr w14:paraId="38C083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62EEBADF">
            <w:r>
              <w:t>14</w:t>
            </w:r>
          </w:p>
        </w:tc>
        <w:tc>
          <w:tcPr>
            <w:tcW w:w="1843" w:type="dxa"/>
          </w:tcPr>
          <w:p w14:paraId="4D11A816">
            <w:r>
              <w:t>STOMP</w:t>
            </w:r>
          </w:p>
        </w:tc>
        <w:tc>
          <w:tcPr>
            <w:tcW w:w="5677" w:type="dxa"/>
          </w:tcPr>
          <w:p w14:paraId="4648319C">
            <w:r>
              <w:t>Simple Text Oriented Messaging Protocol (面向消息的简单文本协议, WebSocket 之上的应用层协议)</w:t>
            </w:r>
          </w:p>
        </w:tc>
      </w:tr>
      <w:tr w14:paraId="4F61CE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06E05267">
            <w:r>
              <w:t>15</w:t>
            </w:r>
          </w:p>
        </w:tc>
        <w:tc>
          <w:tcPr>
            <w:tcW w:w="1843" w:type="dxa"/>
          </w:tcPr>
          <w:p w14:paraId="46E64BE7">
            <w:r>
              <w:t>CAS</w:t>
            </w:r>
          </w:p>
        </w:tc>
        <w:tc>
          <w:tcPr>
            <w:tcW w:w="5677" w:type="dxa"/>
          </w:tcPr>
          <w:p w14:paraId="4DB773B0">
            <w:r>
              <w:t>Compare-And-Swap (比较并交换, 用于区域库存原子更新)</w:t>
            </w:r>
          </w:p>
        </w:tc>
      </w:tr>
      <w:tr w14:paraId="673B0A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53A86968">
            <w:r>
              <w:t>16</w:t>
            </w:r>
          </w:p>
        </w:tc>
        <w:tc>
          <w:tcPr>
            <w:tcW w:w="1843" w:type="dxa"/>
          </w:tcPr>
          <w:p w14:paraId="67106A10">
            <w:r>
              <w:t>SLA</w:t>
            </w:r>
          </w:p>
        </w:tc>
        <w:tc>
          <w:tcPr>
            <w:tcW w:w="5677" w:type="dxa"/>
          </w:tcPr>
          <w:p w14:paraId="7D96E1CA">
            <w:r>
              <w:t>Service Level Agreement (服务等级协议)</w:t>
            </w:r>
          </w:p>
        </w:tc>
      </w:tr>
      <w:tr w14:paraId="56952D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7520733B">
            <w:r>
              <w:t>17</w:t>
            </w:r>
          </w:p>
        </w:tc>
        <w:tc>
          <w:tcPr>
            <w:tcW w:w="1843" w:type="dxa"/>
          </w:tcPr>
          <w:p w14:paraId="297858B2">
            <w:r>
              <w:t>FPS</w:t>
            </w:r>
          </w:p>
        </w:tc>
        <w:tc>
          <w:tcPr>
            <w:tcW w:w="5677" w:type="dxa"/>
          </w:tcPr>
          <w:p w14:paraId="378E224C">
            <w:r>
              <w:t>Frames Per Second (每秒帧数, 衡量 3D 渲染流畅度)</w:t>
            </w:r>
          </w:p>
        </w:tc>
      </w:tr>
    </w:tbl>
    <w:p w14:paraId="1E7A86D6">
      <w:r>
        <w:t>缩写在正文中首次出现时同时给出中文全称, 后续出现时直接使用缩写.</w:t>
      </w:r>
    </w:p>
    <w:p w14:paraId="687CED77">
      <w:pPr>
        <w:pStyle w:val="3"/>
      </w:pPr>
      <w:bookmarkStart w:id="5" w:name="_Toc11552"/>
      <w:r>
        <w:rPr>
          <w:rFonts w:hint="eastAsia"/>
        </w:rPr>
        <w:t>引用文档</w:t>
      </w:r>
      <w:bookmarkEnd w:id="5"/>
    </w:p>
    <w:p w14:paraId="69B7CD94">
      <w:r>
        <w:t>本文档编制过程中引用的标准、规范与项目内部资料见表 3.</w:t>
      </w:r>
    </w:p>
    <w:p w14:paraId="5EEAF97C">
      <w:pPr>
        <w:pStyle w:val="35"/>
        <w:jc w:val="center"/>
      </w:pPr>
      <w:r>
        <w:t>表3  引用文档</w:t>
      </w:r>
    </w:p>
    <w:tbl>
      <w:tblPr>
        <w:tblStyle w:val="15"/>
        <w:tblW w:w="8454"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93"/>
        <w:gridCol w:w="1858"/>
        <w:gridCol w:w="1524"/>
        <w:gridCol w:w="1144"/>
        <w:gridCol w:w="1753"/>
        <w:gridCol w:w="1450"/>
      </w:tblGrid>
      <w:tr w14:paraId="728CE0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8" w:hRule="atLeast"/>
        </w:trPr>
        <w:tc>
          <w:tcPr>
            <w:tcW w:w="675" w:type="dxa"/>
            <w:tcBorders>
              <w:top w:val="single" w:color="auto" w:sz="12" w:space="0"/>
              <w:bottom w:val="single" w:color="auto" w:sz="12" w:space="0"/>
            </w:tcBorders>
            <w:noWrap w:val="0"/>
            <w:vAlign w:val="center"/>
          </w:tcPr>
          <w:p w14:paraId="17F8306D">
            <w:pPr>
              <w:pStyle w:val="34"/>
              <w:jc w:val="center"/>
              <w:rPr>
                <w:b/>
              </w:rPr>
            </w:pPr>
            <w:r>
              <w:rPr>
                <w:rFonts w:hint="eastAsia"/>
                <w:b/>
              </w:rPr>
              <w:t>序号</w:t>
            </w:r>
          </w:p>
        </w:tc>
        <w:tc>
          <w:tcPr>
            <w:tcW w:w="1276" w:type="dxa"/>
            <w:tcBorders>
              <w:top w:val="single" w:color="auto" w:sz="12" w:space="0"/>
              <w:bottom w:val="single" w:color="auto" w:sz="12" w:space="0"/>
              <w:right w:val="single" w:color="auto" w:sz="4" w:space="0"/>
            </w:tcBorders>
            <w:noWrap w:val="0"/>
            <w:vAlign w:val="center"/>
          </w:tcPr>
          <w:p w14:paraId="06440036">
            <w:pPr>
              <w:pStyle w:val="34"/>
              <w:jc w:val="center"/>
              <w:rPr>
                <w:b/>
              </w:rPr>
            </w:pPr>
            <w:r>
              <w:rPr>
                <w:rFonts w:hint="eastAsia"/>
                <w:b/>
              </w:rPr>
              <w:t>文档编号</w:t>
            </w:r>
          </w:p>
        </w:tc>
        <w:tc>
          <w:tcPr>
            <w:tcW w:w="2977" w:type="dxa"/>
            <w:tcBorders>
              <w:top w:val="single" w:color="auto" w:sz="12" w:space="0"/>
              <w:left w:val="single" w:color="auto" w:sz="4" w:space="0"/>
              <w:bottom w:val="single" w:color="auto" w:sz="12" w:space="0"/>
            </w:tcBorders>
            <w:noWrap w:val="0"/>
            <w:vAlign w:val="center"/>
          </w:tcPr>
          <w:p w14:paraId="2F599ABB">
            <w:pPr>
              <w:pStyle w:val="34"/>
              <w:jc w:val="center"/>
              <w:rPr>
                <w:b/>
              </w:rPr>
            </w:pPr>
            <w:r>
              <w:rPr>
                <w:rFonts w:hint="eastAsia"/>
                <w:b/>
              </w:rPr>
              <w:t>标题</w:t>
            </w:r>
          </w:p>
        </w:tc>
        <w:tc>
          <w:tcPr>
            <w:tcW w:w="948" w:type="dxa"/>
            <w:tcBorders>
              <w:top w:val="single" w:color="auto" w:sz="12" w:space="0"/>
              <w:bottom w:val="single" w:color="auto" w:sz="12" w:space="0"/>
            </w:tcBorders>
            <w:noWrap w:val="0"/>
            <w:vAlign w:val="center"/>
          </w:tcPr>
          <w:p w14:paraId="208843E1">
            <w:pPr>
              <w:pStyle w:val="34"/>
              <w:jc w:val="center"/>
              <w:rPr>
                <w:b/>
              </w:rPr>
            </w:pPr>
            <w:r>
              <w:rPr>
                <w:rFonts w:hint="eastAsia"/>
                <w:b/>
              </w:rPr>
              <w:t>版本号</w:t>
            </w:r>
          </w:p>
        </w:tc>
        <w:tc>
          <w:tcPr>
            <w:tcW w:w="1106" w:type="dxa"/>
            <w:tcBorders>
              <w:top w:val="single" w:color="auto" w:sz="12" w:space="0"/>
              <w:bottom w:val="single" w:color="auto" w:sz="12" w:space="0"/>
            </w:tcBorders>
            <w:noWrap w:val="0"/>
            <w:vAlign w:val="center"/>
          </w:tcPr>
          <w:p w14:paraId="09D9CF20">
            <w:pPr>
              <w:pStyle w:val="34"/>
              <w:jc w:val="center"/>
              <w:rPr>
                <w:b/>
              </w:rPr>
            </w:pPr>
            <w:r>
              <w:rPr>
                <w:rFonts w:hint="eastAsia"/>
                <w:b/>
              </w:rPr>
              <w:t>修订日期</w:t>
            </w:r>
          </w:p>
        </w:tc>
        <w:tc>
          <w:tcPr>
            <w:tcW w:w="1472" w:type="dxa"/>
            <w:tcBorders>
              <w:top w:val="single" w:color="auto" w:sz="12" w:space="0"/>
              <w:bottom w:val="single" w:color="auto" w:sz="12" w:space="0"/>
            </w:tcBorders>
            <w:noWrap w:val="0"/>
            <w:vAlign w:val="center"/>
          </w:tcPr>
          <w:p w14:paraId="2C89A00B">
            <w:pPr>
              <w:pStyle w:val="34"/>
              <w:jc w:val="center"/>
              <w:rPr>
                <w:b/>
              </w:rPr>
            </w:pPr>
            <w:r>
              <w:rPr>
                <w:rFonts w:hint="eastAsia"/>
                <w:b/>
              </w:rPr>
              <w:t>编制单位</w:t>
            </w:r>
          </w:p>
        </w:tc>
      </w:tr>
      <w:tr w14:paraId="5D7A62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675" w:type="dxa"/>
            <w:tcBorders>
              <w:top w:val="single" w:color="auto" w:sz="12" w:space="0"/>
              <w:bottom w:val="single" w:color="auto" w:sz="4" w:space="0"/>
              <w:right w:val="single" w:color="auto" w:sz="4" w:space="0"/>
            </w:tcBorders>
            <w:noWrap w:val="0"/>
            <w:vAlign w:val="center"/>
          </w:tcPr>
          <w:p w14:paraId="4DFCECFF">
            <w:r>
              <w:t>1</w:t>
            </w:r>
          </w:p>
        </w:tc>
        <w:tc>
          <w:tcPr>
            <w:tcW w:w="1276" w:type="dxa"/>
            <w:tcBorders>
              <w:top w:val="single" w:color="auto" w:sz="12" w:space="0"/>
              <w:left w:val="single" w:color="auto" w:sz="4" w:space="0"/>
              <w:bottom w:val="single" w:color="auto" w:sz="4" w:space="0"/>
              <w:right w:val="single" w:color="auto" w:sz="4" w:space="0"/>
            </w:tcBorders>
            <w:noWrap w:val="0"/>
            <w:vAlign w:val="center"/>
          </w:tcPr>
          <w:p w14:paraId="3DA0E9B3">
            <w:r>
              <w:t>GB/T 8567-2006</w:t>
            </w:r>
          </w:p>
        </w:tc>
        <w:tc>
          <w:tcPr>
            <w:tcW w:w="2977" w:type="dxa"/>
            <w:tcBorders>
              <w:top w:val="single" w:color="auto" w:sz="12" w:space="0"/>
              <w:left w:val="single" w:color="auto" w:sz="4" w:space="0"/>
              <w:bottom w:val="single" w:color="auto" w:sz="4" w:space="0"/>
              <w:right w:val="single" w:color="auto" w:sz="4" w:space="0"/>
            </w:tcBorders>
            <w:noWrap w:val="0"/>
            <w:vAlign w:val="center"/>
          </w:tcPr>
          <w:p w14:paraId="1A10BA31">
            <w:r>
              <w:t>计算机软件文档编制规范</w:t>
            </w:r>
          </w:p>
        </w:tc>
        <w:tc>
          <w:tcPr>
            <w:tcW w:w="948" w:type="dxa"/>
            <w:tcBorders>
              <w:top w:val="single" w:color="auto" w:sz="12" w:space="0"/>
              <w:left w:val="single" w:color="auto" w:sz="4" w:space="0"/>
              <w:bottom w:val="single" w:color="auto" w:sz="4" w:space="0"/>
              <w:right w:val="single" w:color="auto" w:sz="4" w:space="0"/>
            </w:tcBorders>
            <w:noWrap w:val="0"/>
            <w:vAlign w:val="center"/>
          </w:tcPr>
          <w:p w14:paraId="539634EB">
            <w:r>
              <w:t>2006</w:t>
            </w:r>
          </w:p>
        </w:tc>
        <w:tc>
          <w:tcPr>
            <w:tcW w:w="1106" w:type="dxa"/>
            <w:tcBorders>
              <w:top w:val="single" w:color="auto" w:sz="12" w:space="0"/>
              <w:left w:val="single" w:color="auto" w:sz="4" w:space="0"/>
              <w:bottom w:val="single" w:color="auto" w:sz="4" w:space="0"/>
              <w:right w:val="single" w:color="auto" w:sz="4" w:space="0"/>
            </w:tcBorders>
            <w:noWrap w:val="0"/>
            <w:vAlign w:val="center"/>
          </w:tcPr>
          <w:p w14:paraId="6BE78B11">
            <w:r>
              <w:t>2006-03-14</w:t>
            </w:r>
          </w:p>
        </w:tc>
        <w:tc>
          <w:tcPr>
            <w:tcW w:w="1472" w:type="dxa"/>
            <w:tcBorders>
              <w:top w:val="single" w:color="auto" w:sz="12" w:space="0"/>
              <w:left w:val="single" w:color="auto" w:sz="4" w:space="0"/>
              <w:bottom w:val="single" w:color="auto" w:sz="4" w:space="0"/>
            </w:tcBorders>
            <w:noWrap w:val="0"/>
            <w:vAlign w:val="center"/>
          </w:tcPr>
          <w:p w14:paraId="0F505F29">
            <w:r>
              <w:t>国家标准化管理委员会</w:t>
            </w:r>
          </w:p>
        </w:tc>
      </w:tr>
      <w:tr w14:paraId="5099B4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675" w:type="dxa"/>
            <w:tcBorders>
              <w:top w:val="single" w:color="auto" w:sz="4" w:space="0"/>
              <w:bottom w:val="single" w:color="auto" w:sz="12" w:space="0"/>
              <w:right w:val="single" w:color="auto" w:sz="4" w:space="0"/>
            </w:tcBorders>
            <w:noWrap w:val="0"/>
            <w:vAlign w:val="center"/>
          </w:tcPr>
          <w:p w14:paraId="421254D9">
            <w:r>
              <w:t>2</w:t>
            </w:r>
          </w:p>
        </w:tc>
        <w:tc>
          <w:tcPr>
            <w:tcW w:w="1276" w:type="dxa"/>
            <w:tcBorders>
              <w:top w:val="single" w:color="auto" w:sz="4" w:space="0"/>
              <w:left w:val="single" w:color="auto" w:sz="4" w:space="0"/>
              <w:bottom w:val="single" w:color="auto" w:sz="12" w:space="0"/>
              <w:right w:val="single" w:color="auto" w:sz="4" w:space="0"/>
            </w:tcBorders>
            <w:noWrap w:val="0"/>
            <w:vAlign w:val="center"/>
          </w:tcPr>
          <w:p w14:paraId="480BD602">
            <w:r>
              <w:t>GB/T 11457-2006</w:t>
            </w:r>
          </w:p>
        </w:tc>
        <w:tc>
          <w:tcPr>
            <w:tcW w:w="2977" w:type="dxa"/>
            <w:tcBorders>
              <w:top w:val="single" w:color="auto" w:sz="4" w:space="0"/>
              <w:left w:val="single" w:color="auto" w:sz="4" w:space="0"/>
              <w:bottom w:val="single" w:color="auto" w:sz="12" w:space="0"/>
              <w:right w:val="single" w:color="auto" w:sz="4" w:space="0"/>
            </w:tcBorders>
            <w:noWrap w:val="0"/>
            <w:vAlign w:val="center"/>
          </w:tcPr>
          <w:p w14:paraId="1ACD8280">
            <w:r>
              <w:t>信息技术软件工程术语</w:t>
            </w:r>
          </w:p>
        </w:tc>
        <w:tc>
          <w:tcPr>
            <w:tcW w:w="948" w:type="dxa"/>
            <w:tcBorders>
              <w:top w:val="single" w:color="auto" w:sz="4" w:space="0"/>
              <w:left w:val="single" w:color="auto" w:sz="4" w:space="0"/>
              <w:bottom w:val="single" w:color="auto" w:sz="12" w:space="0"/>
              <w:right w:val="single" w:color="auto" w:sz="4" w:space="0"/>
            </w:tcBorders>
            <w:noWrap w:val="0"/>
            <w:vAlign w:val="center"/>
          </w:tcPr>
          <w:p w14:paraId="37C92544">
            <w:r>
              <w:t>2006</w:t>
            </w:r>
          </w:p>
        </w:tc>
        <w:tc>
          <w:tcPr>
            <w:tcW w:w="1106" w:type="dxa"/>
            <w:tcBorders>
              <w:top w:val="single" w:color="auto" w:sz="4" w:space="0"/>
              <w:left w:val="single" w:color="auto" w:sz="4" w:space="0"/>
              <w:bottom w:val="single" w:color="auto" w:sz="12" w:space="0"/>
              <w:right w:val="single" w:color="auto" w:sz="4" w:space="0"/>
            </w:tcBorders>
            <w:noWrap w:val="0"/>
            <w:vAlign w:val="center"/>
          </w:tcPr>
          <w:p w14:paraId="5849792F">
            <w:r>
              <w:t>2006-03-14</w:t>
            </w:r>
          </w:p>
        </w:tc>
        <w:tc>
          <w:tcPr>
            <w:tcW w:w="1472" w:type="dxa"/>
            <w:tcBorders>
              <w:top w:val="single" w:color="auto" w:sz="4" w:space="0"/>
              <w:left w:val="single" w:color="auto" w:sz="4" w:space="0"/>
              <w:bottom w:val="single" w:color="auto" w:sz="12" w:space="0"/>
            </w:tcBorders>
            <w:noWrap w:val="0"/>
            <w:vAlign w:val="center"/>
          </w:tcPr>
          <w:p w14:paraId="3F0C648C">
            <w:r>
              <w:t>国家标准化管理委员会</w:t>
            </w:r>
          </w:p>
        </w:tc>
      </w:tr>
      <w:tr w14:paraId="6E4736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75" w:type="dxa"/>
          </w:tcPr>
          <w:p w14:paraId="10EADF4A">
            <w:r>
              <w:t>3</w:t>
            </w:r>
          </w:p>
        </w:tc>
        <w:tc>
          <w:tcPr>
            <w:tcW w:w="1276" w:type="dxa"/>
          </w:tcPr>
          <w:p w14:paraId="2AFBFB7D">
            <w:r>
              <w:t>ISO/IEC/IEEE 29148:2018</w:t>
            </w:r>
          </w:p>
        </w:tc>
        <w:tc>
          <w:tcPr>
            <w:tcW w:w="2977" w:type="dxa"/>
          </w:tcPr>
          <w:p w14:paraId="76365B7E">
            <w:r>
              <w:t>Systems and software engineering — Requirements engineering</w:t>
            </w:r>
          </w:p>
        </w:tc>
        <w:tc>
          <w:tcPr>
            <w:tcW w:w="948" w:type="dxa"/>
          </w:tcPr>
          <w:p w14:paraId="21DDA2AF">
            <w:r>
              <w:t>2018</w:t>
            </w:r>
          </w:p>
        </w:tc>
        <w:tc>
          <w:tcPr>
            <w:tcW w:w="1106" w:type="dxa"/>
          </w:tcPr>
          <w:p w14:paraId="3CA2D043">
            <w:r>
              <w:t>2018-11-30</w:t>
            </w:r>
          </w:p>
        </w:tc>
        <w:tc>
          <w:tcPr>
            <w:tcW w:w="1472" w:type="dxa"/>
          </w:tcPr>
          <w:p w14:paraId="7861B88C">
            <w:r>
              <w:t>ISO</w:t>
            </w:r>
          </w:p>
        </w:tc>
      </w:tr>
      <w:tr w14:paraId="0EC1B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75" w:type="dxa"/>
          </w:tcPr>
          <w:p w14:paraId="1190BBF0">
            <w:r>
              <w:t>4</w:t>
            </w:r>
          </w:p>
        </w:tc>
        <w:tc>
          <w:tcPr>
            <w:tcW w:w="1276" w:type="dxa"/>
          </w:tcPr>
          <w:p w14:paraId="5F701357">
            <w:r>
              <w:t>ENC-FS-001</w:t>
            </w:r>
          </w:p>
        </w:tc>
        <w:tc>
          <w:tcPr>
            <w:tcW w:w="2977" w:type="dxa"/>
          </w:tcPr>
          <w:p w14:paraId="20987652">
            <w:r>
              <w:t>ENCORE 票务管理系统可行性研究报告</w:t>
            </w:r>
          </w:p>
        </w:tc>
        <w:tc>
          <w:tcPr>
            <w:tcW w:w="948" w:type="dxa"/>
          </w:tcPr>
          <w:p w14:paraId="1FF23632">
            <w:r>
              <w:t>V1.0</w:t>
            </w:r>
          </w:p>
        </w:tc>
        <w:tc>
          <w:tcPr>
            <w:tcW w:w="1106" w:type="dxa"/>
          </w:tcPr>
          <w:p w14:paraId="03CCB694">
            <w:r>
              <w:t>2026-04-20</w:t>
            </w:r>
          </w:p>
        </w:tc>
        <w:tc>
          <w:tcPr>
            <w:tcW w:w="1472" w:type="dxa"/>
          </w:tcPr>
          <w:p w14:paraId="060A786B">
            <w:r>
              <w:t>ENCORE 项目组</w:t>
            </w:r>
          </w:p>
        </w:tc>
      </w:tr>
      <w:tr w14:paraId="1853F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75" w:type="dxa"/>
          </w:tcPr>
          <w:p w14:paraId="53C13A69">
            <w:r>
              <w:t>5</w:t>
            </w:r>
          </w:p>
        </w:tc>
        <w:tc>
          <w:tcPr>
            <w:tcW w:w="1276" w:type="dxa"/>
          </w:tcPr>
          <w:p w14:paraId="77B12146">
            <w:r>
              <w:t>ENC-IL-001</w:t>
            </w:r>
          </w:p>
        </w:tc>
        <w:tc>
          <w:tcPr>
            <w:tcW w:w="2977" w:type="dxa"/>
          </w:tcPr>
          <w:p w14:paraId="00D6A669">
            <w:r>
              <w:t>ENCORE 票务管理系统立项书</w:t>
            </w:r>
          </w:p>
        </w:tc>
        <w:tc>
          <w:tcPr>
            <w:tcW w:w="948" w:type="dxa"/>
          </w:tcPr>
          <w:p w14:paraId="31D0B93A">
            <w:r>
              <w:t>V1.0</w:t>
            </w:r>
          </w:p>
        </w:tc>
        <w:tc>
          <w:tcPr>
            <w:tcW w:w="1106" w:type="dxa"/>
          </w:tcPr>
          <w:p w14:paraId="03B71C9B">
            <w:r>
              <w:t>2026-04-10</w:t>
            </w:r>
          </w:p>
        </w:tc>
        <w:tc>
          <w:tcPr>
            <w:tcW w:w="1472" w:type="dxa"/>
          </w:tcPr>
          <w:p w14:paraId="60501E3C">
            <w:r>
              <w:t>ENCORE 项目组</w:t>
            </w:r>
          </w:p>
        </w:tc>
      </w:tr>
    </w:tbl>
    <w:p w14:paraId="5407DCE8">
      <w:r>
        <w:t>表 3 中列出的 GB/T 8567 与 ISO/IEC/IEEE 29148 是本文档结构与术语的国际/国内标准依据; ENCORE 项目可行性研究报告与立项书是本文档的上游交付物.</w:t>
      </w:r>
    </w:p>
    <w:p w14:paraId="4DDD8C5B">
      <w:pPr>
        <w:pStyle w:val="2"/>
      </w:pPr>
      <w:bookmarkStart w:id="6" w:name="_Toc26640"/>
      <w:r>
        <w:rPr>
          <w:rFonts w:hint="eastAsia"/>
        </w:rPr>
        <w:t>项目综述</w:t>
      </w:r>
      <w:bookmarkEnd w:id="6"/>
    </w:p>
    <w:p w14:paraId="0CCE270D">
      <w:r>
        <w:t>本章节从业务视角介绍 ENCORE 票务管理系统的项目背景、所服务的剧院组织机构与岗位角色、关键业务流程以及配套的统计报表能力, 以建立后续章节展开功能需求与非功能需求所需的业务上下文.</w:t>
      </w:r>
    </w:p>
    <w:p w14:paraId="50017EA7">
      <w:pPr>
        <w:pStyle w:val="3"/>
        <w:rPr>
          <w:rFonts w:hint="eastAsia"/>
        </w:rPr>
      </w:pPr>
      <w:bookmarkStart w:id="7" w:name="_Toc6534"/>
      <w:r>
        <w:rPr>
          <w:rFonts w:hint="eastAsia"/>
        </w:rPr>
        <w:t>项目背景</w:t>
      </w:r>
      <w:bookmarkEnd w:id="7"/>
    </w:p>
    <w:p w14:paraId="59293E23">
      <w:r>
        <w:t>近年, 中小型剧院、校园剧场以及商业演出场馆纷纷尝试将线下票务流程数字化, 但目前国内多数中小剧院仍存在以下痛点:</w:t>
      </w:r>
    </w:p>
    <w:p w14:paraId="4EC67645">
      <w:pPr>
        <w:pStyle w:val="25"/>
      </w:pPr>
      <w:r>
        <w:t>人工售票效率低: 高度依赖窗口售票, 高峰期排队严重, 错票漏票时有发生;</w:t>
      </w:r>
    </w:p>
    <w:p w14:paraId="6C6E7068">
      <w:pPr>
        <w:pStyle w:val="25"/>
      </w:pPr>
      <w:r>
        <w:t>座位状态不透明: 用户无法在购票前直观看到座位分布与已售情况, 体验欠佳;</w:t>
      </w:r>
    </w:p>
    <w:p w14:paraId="45008CFA">
      <w:pPr>
        <w:pStyle w:val="25"/>
      </w:pPr>
      <w:r>
        <w:t>订单与检票脱节: 票面信息以纸质票为载体, 检票过程难以与售票数据实时联动;</w:t>
      </w:r>
    </w:p>
    <w:p w14:paraId="0B5CE755">
      <w:pPr>
        <w:pStyle w:val="25"/>
      </w:pPr>
      <w:r>
        <w:t>销售统计滞后: 票房数据无法实时反馈, 经营决策严重依赖人工汇总;</w:t>
      </w:r>
    </w:p>
    <w:p w14:paraId="628DBE89">
      <w:pPr>
        <w:pStyle w:val="25"/>
      </w:pPr>
      <w:r>
        <w:t>纸质票据管理不便: 票据印制、分发、回收均产生显著耗材成本与流程负担;</w:t>
      </w:r>
    </w:p>
    <w:p w14:paraId="7D0460DB">
      <w:pPr>
        <w:pStyle w:val="25"/>
      </w:pPr>
      <w:r>
        <w:t>票务数据难以沉淀: 用户、订单、检票、上座率等数据散落于不同环节, 难以形成可分析的资产.</w:t>
      </w:r>
    </w:p>
    <w:p w14:paraId="3F5BE14C">
      <w:r>
        <w:t>基于以上痛点, ENCORE 票务管理系统以 "票务生命周期管理" 为核心理念, 通过可视化选座、座位临时锁定、订单倒计时、电子票核销和票房数据看板, 构建覆盖 "演出发布 → 用户购票 → 现场检票 → 经营分析" 的完整剧院票务闭环, 帮助剧院方将原本分散、滞后的票务环节整合为统一、实时、可分析的数字化运营资产.</w:t>
      </w:r>
    </w:p>
    <w:p w14:paraId="63A06563">
      <w:pPr>
        <w:pStyle w:val="3"/>
      </w:pPr>
      <w:bookmarkStart w:id="8" w:name="_Toc17544"/>
      <w:r>
        <w:rPr>
          <w:rFonts w:hint="eastAsia"/>
        </w:rPr>
        <w:t>组织机构与职责</w:t>
      </w:r>
      <w:bookmarkEnd w:id="8"/>
    </w:p>
    <w:p w14:paraId="74BDEB80">
      <w:r>
        <w:t>ENCORE 票务管理系统服务的剧院组织通常采用如下机构划分:</w:t>
      </w:r>
    </w:p>
    <w:p w14:paraId="64464278">
      <w:pPr>
        <w:pStyle w:val="25"/>
      </w:pPr>
      <w:r>
        <w:t>剧院运营部: 总体管理剧目策划、场次排期、上座率与营收指标;</w:t>
      </w:r>
    </w:p>
    <w:p w14:paraId="11B9FBA1">
      <w:pPr>
        <w:pStyle w:val="25"/>
      </w:pPr>
      <w:r>
        <w:t>剧院票务运营部: 日常维护剧目档案、演出厅与座位、场次售票状态、订单查询;</w:t>
      </w:r>
    </w:p>
    <w:p w14:paraId="3A72E4A3">
      <w:pPr>
        <w:pStyle w:val="25"/>
      </w:pPr>
      <w:r>
        <w:t>剧院现场服务部: 演出现场负责检票核销、座席引导、特殊票据异常处置;</w:t>
      </w:r>
    </w:p>
    <w:p w14:paraId="400EB7B4">
      <w:pPr>
        <w:pStyle w:val="25"/>
      </w:pPr>
      <w:r>
        <w:t>信息中心: 维护员工账号体系、角色分配、系统参数与运维.</w:t>
      </w:r>
    </w:p>
    <w:p w14:paraId="55EF46E7">
      <w:r>
        <w:t>系统的权限模型与上述机构对齐: 票务管理员对应运营/票务运营部, 检票员对应现场服务部, 系统管理员对应信息中心. 剧院运营经理在本期作为只读角色, 通过票务管理员账号查看数据看板.</w:t>
      </w:r>
    </w:p>
    <w:p w14:paraId="28026913">
      <w:pPr>
        <w:pStyle w:val="3"/>
      </w:pPr>
      <w:bookmarkStart w:id="9" w:name="_Toc4802"/>
      <w:r>
        <w:rPr>
          <w:rFonts w:hint="eastAsia"/>
        </w:rPr>
        <w:t>岗位角色</w:t>
      </w:r>
      <w:bookmarkEnd w:id="9"/>
    </w:p>
    <w:p w14:paraId="79F73DD5">
      <w:r>
        <w:t>ENCORE 票务管理系统涉及的主要岗位角色见表 4. 后续功能需求中的参与者定义与此保持一致.</w:t>
      </w:r>
    </w:p>
    <w:p w14:paraId="45EE28FA">
      <w:pPr>
        <w:pStyle w:val="35"/>
        <w:jc w:val="center"/>
      </w:pPr>
      <w:r>
        <w:t>表4  岗位角色</w:t>
      </w:r>
    </w:p>
    <w:tbl>
      <w:tblPr>
        <w:tblStyle w:val="15"/>
        <w:tblW w:w="861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61"/>
        <w:gridCol w:w="2706"/>
        <w:gridCol w:w="4150"/>
      </w:tblGrid>
      <w:tr w14:paraId="44ACBF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1761" w:type="dxa"/>
            <w:tcBorders>
              <w:top w:val="single" w:color="auto" w:sz="12" w:space="0"/>
              <w:bottom w:val="single" w:color="auto" w:sz="12" w:space="0"/>
            </w:tcBorders>
            <w:noWrap w:val="0"/>
            <w:vAlign w:val="center"/>
          </w:tcPr>
          <w:p w14:paraId="59624F7D">
            <w:pPr>
              <w:pStyle w:val="34"/>
              <w:jc w:val="center"/>
              <w:rPr>
                <w:b/>
              </w:rPr>
            </w:pPr>
            <w:r>
              <w:rPr>
                <w:rFonts w:hint="eastAsia"/>
                <w:b/>
              </w:rPr>
              <w:t>岗位</w:t>
            </w:r>
          </w:p>
        </w:tc>
        <w:tc>
          <w:tcPr>
            <w:tcW w:w="2706" w:type="dxa"/>
            <w:tcBorders>
              <w:top w:val="single" w:color="auto" w:sz="12" w:space="0"/>
              <w:bottom w:val="single" w:color="auto" w:sz="12" w:space="0"/>
            </w:tcBorders>
            <w:noWrap w:val="0"/>
            <w:vAlign w:val="center"/>
          </w:tcPr>
          <w:p w14:paraId="138843EC">
            <w:pPr>
              <w:pStyle w:val="34"/>
              <w:jc w:val="center"/>
              <w:rPr>
                <w:b/>
              </w:rPr>
            </w:pPr>
            <w:r>
              <w:rPr>
                <w:rFonts w:hint="eastAsia"/>
                <w:b/>
              </w:rPr>
              <w:t>所在部门</w:t>
            </w:r>
          </w:p>
        </w:tc>
        <w:tc>
          <w:tcPr>
            <w:tcW w:w="4150" w:type="dxa"/>
            <w:tcBorders>
              <w:top w:val="single" w:color="auto" w:sz="12" w:space="0"/>
              <w:bottom w:val="single" w:color="auto" w:sz="12" w:space="0"/>
            </w:tcBorders>
            <w:noWrap w:val="0"/>
            <w:vAlign w:val="center"/>
          </w:tcPr>
          <w:p w14:paraId="3B3DF9B5">
            <w:pPr>
              <w:pStyle w:val="34"/>
              <w:jc w:val="center"/>
              <w:rPr>
                <w:b/>
              </w:rPr>
            </w:pPr>
            <w:r>
              <w:rPr>
                <w:rFonts w:hint="eastAsia"/>
                <w:b/>
              </w:rPr>
              <w:t>岗位职责</w:t>
            </w:r>
          </w:p>
        </w:tc>
      </w:tr>
      <w:tr w14:paraId="119396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8" w:hRule="atLeast"/>
        </w:trPr>
        <w:tc>
          <w:tcPr>
            <w:tcW w:w="1761" w:type="dxa"/>
            <w:tcBorders>
              <w:top w:val="single" w:color="auto" w:sz="12" w:space="0"/>
              <w:bottom w:val="single" w:color="auto" w:sz="4" w:space="0"/>
              <w:right w:val="single" w:color="auto" w:sz="4" w:space="0"/>
            </w:tcBorders>
            <w:noWrap w:val="0"/>
            <w:vAlign w:val="center"/>
          </w:tcPr>
          <w:p w14:paraId="6FDC2CDB">
            <w:r>
              <w:t>票务管理员</w:t>
            </w:r>
          </w:p>
        </w:tc>
        <w:tc>
          <w:tcPr>
            <w:tcW w:w="2706" w:type="dxa"/>
            <w:tcBorders>
              <w:top w:val="single" w:color="auto" w:sz="12" w:space="0"/>
              <w:left w:val="single" w:color="auto" w:sz="4" w:space="0"/>
              <w:bottom w:val="single" w:color="auto" w:sz="4" w:space="0"/>
              <w:right w:val="single" w:color="auto" w:sz="4" w:space="0"/>
            </w:tcBorders>
            <w:noWrap w:val="0"/>
            <w:vAlign w:val="center"/>
          </w:tcPr>
          <w:p w14:paraId="394CE630">
            <w:r>
              <w:t>剧院票务运营部</w:t>
            </w:r>
          </w:p>
        </w:tc>
        <w:tc>
          <w:tcPr>
            <w:tcW w:w="4150" w:type="dxa"/>
            <w:tcBorders>
              <w:top w:val="single" w:color="auto" w:sz="12" w:space="0"/>
              <w:left w:val="single" w:color="auto" w:sz="4" w:space="0"/>
              <w:bottom w:val="single" w:color="auto" w:sz="4" w:space="0"/>
              <w:right w:val="single" w:color="auto" w:sz="4" w:space="0"/>
            </w:tcBorders>
            <w:noWrap w:val="0"/>
            <w:vAlign w:val="center"/>
          </w:tcPr>
          <w:p w14:paraId="75F5D611">
            <w:r>
              <w:t>维护剧目、演出分类、演出厅与座位布局、场次排期、订单查询、统计报表查看</w:t>
            </w:r>
          </w:p>
        </w:tc>
      </w:tr>
      <w:tr w14:paraId="3EAE1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8" w:hRule="atLeast"/>
        </w:trPr>
        <w:tc>
          <w:tcPr>
            <w:tcW w:w="1761" w:type="dxa"/>
            <w:tcBorders>
              <w:top w:val="single" w:color="auto" w:sz="4" w:space="0"/>
              <w:bottom w:val="single" w:color="auto" w:sz="12" w:space="0"/>
              <w:right w:val="single" w:color="auto" w:sz="4" w:space="0"/>
            </w:tcBorders>
            <w:noWrap w:val="0"/>
            <w:vAlign w:val="center"/>
          </w:tcPr>
          <w:p w14:paraId="514F7ED9">
            <w:r>
              <w:t>检票员</w:t>
            </w:r>
          </w:p>
        </w:tc>
        <w:tc>
          <w:tcPr>
            <w:tcW w:w="2706" w:type="dxa"/>
            <w:tcBorders>
              <w:top w:val="single" w:color="auto" w:sz="4" w:space="0"/>
              <w:left w:val="single" w:color="auto" w:sz="4" w:space="0"/>
              <w:bottom w:val="single" w:color="auto" w:sz="12" w:space="0"/>
              <w:right w:val="single" w:color="auto" w:sz="4" w:space="0"/>
            </w:tcBorders>
            <w:noWrap w:val="0"/>
            <w:vAlign w:val="center"/>
          </w:tcPr>
          <w:p w14:paraId="1A972012">
            <w:r>
              <w:t>剧院现场服务部</w:t>
            </w:r>
          </w:p>
        </w:tc>
        <w:tc>
          <w:tcPr>
            <w:tcW w:w="4150" w:type="dxa"/>
            <w:tcBorders>
              <w:top w:val="single" w:color="auto" w:sz="4" w:space="0"/>
              <w:left w:val="single" w:color="auto" w:sz="4" w:space="0"/>
              <w:bottom w:val="single" w:color="auto" w:sz="12" w:space="0"/>
              <w:right w:val="single" w:color="auto" w:sz="4" w:space="0"/>
            </w:tcBorders>
            <w:noWrap w:val="0"/>
            <w:vAlign w:val="center"/>
          </w:tcPr>
          <w:p w14:paraId="5C860F6D">
            <w:r>
              <w:t>在演出现场使用检票端核验电子票, 处理重复检票、作废票、非当前场次等异常</w:t>
            </w:r>
          </w:p>
        </w:tc>
      </w:tr>
      <w:tr w14:paraId="43F0E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61" w:type="dxa"/>
          </w:tcPr>
          <w:p w14:paraId="470C10A2">
            <w:r>
              <w:t>剧院运营经理</w:t>
            </w:r>
          </w:p>
        </w:tc>
        <w:tc>
          <w:tcPr>
            <w:tcW w:w="2706" w:type="dxa"/>
          </w:tcPr>
          <w:p w14:paraId="0D274222">
            <w:r>
              <w:t>剧院运营部</w:t>
            </w:r>
          </w:p>
        </w:tc>
        <w:tc>
          <w:tcPr>
            <w:tcW w:w="4150" w:type="dxa"/>
          </w:tcPr>
          <w:p w14:paraId="58F21FEC">
            <w:r>
              <w:t>审阅票房数据看板, 把控售票与上座节奏 (本期由票务管理员账号兼任只读权限)</w:t>
            </w:r>
          </w:p>
        </w:tc>
      </w:tr>
      <w:tr w14:paraId="7F5C8D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61" w:type="dxa"/>
          </w:tcPr>
          <w:p w14:paraId="4E41E91D">
            <w:r>
              <w:t>系统管理员</w:t>
            </w:r>
          </w:p>
        </w:tc>
        <w:tc>
          <w:tcPr>
            <w:tcW w:w="2706" w:type="dxa"/>
          </w:tcPr>
          <w:p w14:paraId="37437346">
            <w:r>
              <w:t>信息中心</w:t>
            </w:r>
          </w:p>
        </w:tc>
        <w:tc>
          <w:tcPr>
            <w:tcW w:w="4150" w:type="dxa"/>
          </w:tcPr>
          <w:p w14:paraId="39698122">
            <w:r>
              <w:t>维护员工账号与角色分配 (role 单列)、系统参数配置</w:t>
            </w:r>
          </w:p>
        </w:tc>
      </w:tr>
    </w:tbl>
    <w:p w14:paraId="5C6D5D07">
      <w:r>
        <w:t>岗位角色侧重组织/部门视角, 与第 4.1 节系统参与者一一映射但描述维度不同: 岗位角色描述部门职责, 参与者定义描述其与系统的交互能力.</w:t>
      </w:r>
    </w:p>
    <w:p w14:paraId="541953CC">
      <w:pPr>
        <w:pStyle w:val="3"/>
      </w:pPr>
      <w:bookmarkStart w:id="10" w:name="_Toc20990"/>
      <w:r>
        <w:rPr>
          <w:rFonts w:hint="eastAsia"/>
        </w:rPr>
        <w:t>业务流程</w:t>
      </w:r>
      <w:bookmarkEnd w:id="10"/>
    </w:p>
    <w:p w14:paraId="535D077E">
      <w:r>
        <w:t>ENCORE 票务管理系统的核心业务流程围绕 "剧目—场次—座位票池—订单—电子票—检票—统计" 建立完整闭环, 总流程如图1 所示, 其文字描述如下:</w:t>
      </w:r>
    </w:p>
    <w:p w14:paraId="6E6453F7">
      <w:pPr>
        <w:jc w:val="center"/>
      </w:pPr>
      <w:r>
        <w:drawing>
          <wp:inline distT="0" distB="0" distL="114300" distR="114300">
            <wp:extent cx="5039995" cy="527925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039995" cy="5279259"/>
                    </a:xfrm>
                    <a:prstGeom prst="rect">
                      <a:avLst/>
                    </a:prstGeom>
                  </pic:spPr>
                </pic:pic>
              </a:graphicData>
            </a:graphic>
          </wp:inline>
        </w:drawing>
      </w:r>
    </w:p>
    <w:p w14:paraId="0B96A1AF">
      <w:pPr>
        <w:pStyle w:val="40"/>
        <w:jc w:val="center"/>
      </w:pPr>
      <w:r>
        <w:t>图1  ENCORE 核心业务总活动图</w:t>
      </w:r>
    </w:p>
    <w:p w14:paraId="59255266">
      <w:pPr>
        <w:pStyle w:val="25"/>
      </w:pPr>
      <w:r>
        <w:t>① 票务管理员在后台创建剧目档案 (标题、海报、简介、时长、分类、票价区间);</w:t>
      </w:r>
    </w:p>
    <w:p w14:paraId="54DA9D11">
      <w:pPr>
        <w:pStyle w:val="25"/>
      </w:pPr>
      <w:r>
        <w:t>② 票务管理员维护场馆 venue、演出厅 venue_hall 与座位布局 seat_layout (区域 + 座位, 支持 SEATED / ZONED / MIXED);</w:t>
      </w:r>
    </w:p>
    <w:p w14:paraId="61290A1E">
      <w:pPr>
        <w:pStyle w:val="25"/>
      </w:pPr>
      <w:r>
        <w:t>③ 票务管理员为剧目创建演出场次, 绑定演出厅与已发布布局, 指定开演时间与售票模式;</w:t>
      </w:r>
    </w:p>
    <w:p w14:paraId="7DD5A5ED">
      <w:pPr>
        <w:pStyle w:val="25"/>
      </w:pPr>
      <w:r>
        <w:t>④ 系统快照布局生成场次座位票池 schedule_seat 与区域库存 schedule_area_inventory (座位 AVAILABLE、区域计数初始化);</w:t>
      </w:r>
    </w:p>
    <w:p w14:paraId="2E9C443B">
      <w:pPr>
        <w:pStyle w:val="25"/>
      </w:pPr>
      <w:r>
        <w:t>⑤ 校验同厅时间冲突后, 票务管理员发布场次 (publishStatus=PUBLISHED) 并置为 ON_SALE 开始售票;</w:t>
      </w:r>
    </w:p>
    <w:p w14:paraId="38B97680">
      <w:pPr>
        <w:pStyle w:val="25"/>
      </w:pPr>
      <w:r>
        <w:t>⑥ 注册用户登录后浏览演出, 进入演出详情页, 选定具体场次进入选座 / 区域购票页;</w:t>
      </w:r>
    </w:p>
    <w:p w14:paraId="6E930BB9">
      <w:pPr>
        <w:pStyle w:val="25"/>
      </w:pPr>
      <w:r>
        <w:t>⑦ SEATED 场次选 1~6 个座位经 Redis 临时锁定 (LOCKED), ZONED 场次选区域与张数 (1~4); 提交后创建待支付订单 (PENDING_PAYMENT), 启动 15 分钟倒计时;</w:t>
      </w:r>
    </w:p>
    <w:p w14:paraId="3F8159A0">
      <w:pPr>
        <w:pStyle w:val="25"/>
      </w:pPr>
      <w:r>
        <w:t>⑧ 用户在倒计时内模拟支付: 订单转 PAID, 座位置 SOLD 或区域库存 sold 累加, 票据由 RESERVED 翻转为 UNUSED 并展示票号 ticketCode;</w:t>
      </w:r>
    </w:p>
    <w:p w14:paraId="10E4B86D">
      <w:pPr>
        <w:pStyle w:val="25"/>
      </w:pPr>
      <w:r>
        <w:t>⑨ 若超时未支付, 订单自动 EXPIRED, 系统释放座位锁 (LOCKED → AVAILABLE) 或回滚区域库存 (locked → available);</w:t>
      </w:r>
    </w:p>
    <w:p w14:paraId="08CEA3F3">
      <w:pPr>
        <w:pStyle w:val="25"/>
      </w:pPr>
      <w:r>
        <w:t>⑩ 演出当日 (开演前 2 小时起), 检票员在检票端输入或扫描票号, 系统校验票据与场次后将票据翻转为 CHECKED_IN (无独立 checkin_record 表);</w:t>
      </w:r>
    </w:p>
    <w:p w14:paraId="7E3CC969">
      <w:pPr>
        <w:pStyle w:val="25"/>
      </w:pPr>
      <w:r>
        <w:t>⑪ 演出前后, 票务管理员通过数据看板查看营收、订单数、近 7 日票房趋势、Top5 热门演出与检票汇总, 支撑排期与运营决策。</w:t>
      </w:r>
    </w:p>
    <w:p w14:paraId="1E669013">
      <w:r>
        <w:t>该业务闭环既是后续 4.2 节用例图与用例一览表的设计依据, 也是 4.3 节核心用例详述、状态机以及 5.2 节性能指标的核心场景.</w:t>
      </w:r>
    </w:p>
    <w:p w14:paraId="61412C9F">
      <w:pPr>
        <w:pStyle w:val="3"/>
        <w:rPr>
          <w:rFonts w:ascii="Times New Roman" w:hAnsi="Times New Roman"/>
        </w:rPr>
      </w:pPr>
      <w:bookmarkStart w:id="11" w:name="_Toc31133"/>
      <w:bookmarkStart w:id="12" w:name="_Toc3967"/>
      <w:r>
        <w:rPr>
          <w:rFonts w:hint="eastAsia" w:ascii="Times New Roman" w:hAnsi="Times New Roman"/>
        </w:rPr>
        <w:t>统计报表</w:t>
      </w:r>
      <w:bookmarkEnd w:id="11"/>
      <w:bookmarkEnd w:id="12"/>
    </w:p>
    <w:p w14:paraId="67D522DF">
      <w:r>
        <w:t>ENCORE 票务管理系统的统计报表能力面向票务管理员的票房数据看板, 用于辅助剧院经营分析与排期决策, 报表清单见表 5.</w:t>
      </w:r>
    </w:p>
    <w:p w14:paraId="491F55E3">
      <w:pPr>
        <w:pStyle w:val="35"/>
        <w:jc w:val="center"/>
      </w:pPr>
      <w:r>
        <w:t>表5  系统统计报表一览</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69"/>
        <w:gridCol w:w="2769"/>
        <w:gridCol w:w="2769"/>
      </w:tblGrid>
      <w:tr w14:paraId="49B40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104F379">
            <w:pPr>
              <w:jc w:val="center"/>
            </w:pPr>
            <w:r>
              <w:rPr>
                <w:b/>
              </w:rPr>
              <w:t>报表名称</w:t>
            </w:r>
          </w:p>
        </w:tc>
        <w:tc>
          <w:tcPr>
            <w:tcW w:w="2769" w:type="dxa"/>
          </w:tcPr>
          <w:p w14:paraId="1965AB8A">
            <w:pPr>
              <w:jc w:val="center"/>
            </w:pPr>
            <w:r>
              <w:rPr>
                <w:b/>
              </w:rPr>
              <w:t>类别 (主要/次要)</w:t>
            </w:r>
          </w:p>
        </w:tc>
        <w:tc>
          <w:tcPr>
            <w:tcW w:w="2769" w:type="dxa"/>
          </w:tcPr>
          <w:p w14:paraId="6750CABF">
            <w:pPr>
              <w:jc w:val="center"/>
            </w:pPr>
            <w:r>
              <w:rPr>
                <w:b/>
              </w:rPr>
              <w:t>说明</w:t>
            </w:r>
          </w:p>
        </w:tc>
      </w:tr>
      <w:tr w14:paraId="3E589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534F2E6">
            <w:r>
              <w:t>今日订单数</w:t>
            </w:r>
          </w:p>
        </w:tc>
        <w:tc>
          <w:tcPr>
            <w:tcW w:w="2769" w:type="dxa"/>
          </w:tcPr>
          <w:p w14:paraId="64867CF6">
            <w:r>
              <w:t>主要</w:t>
            </w:r>
          </w:p>
        </w:tc>
        <w:tc>
          <w:tcPr>
            <w:tcW w:w="2769" w:type="dxa"/>
          </w:tcPr>
          <w:p w14:paraId="47038C52">
            <w:r>
              <w:t>按支付日期统计当日成功支付的订单总数</w:t>
            </w:r>
          </w:p>
        </w:tc>
      </w:tr>
      <w:tr w14:paraId="34E86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132DCFB6">
            <w:r>
              <w:t>今日销售额</w:t>
            </w:r>
          </w:p>
        </w:tc>
        <w:tc>
          <w:tcPr>
            <w:tcW w:w="2769" w:type="dxa"/>
          </w:tcPr>
          <w:p w14:paraId="0628E0A2">
            <w:r>
              <w:t>主要</w:t>
            </w:r>
          </w:p>
        </w:tc>
        <w:tc>
          <w:tcPr>
            <w:tcW w:w="2769" w:type="dxa"/>
          </w:tcPr>
          <w:p w14:paraId="6709F63C">
            <w:r>
              <w:t>按支付日期统计当日成功支付订单的成交金额合计</w:t>
            </w:r>
          </w:p>
        </w:tc>
      </w:tr>
      <w:tr w14:paraId="3A1A4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7BEB5FF">
            <w:r>
              <w:t>近 7 日票房趋势</w:t>
            </w:r>
          </w:p>
        </w:tc>
        <w:tc>
          <w:tcPr>
            <w:tcW w:w="2769" w:type="dxa"/>
          </w:tcPr>
          <w:p w14:paraId="3A4C61C0">
            <w:r>
              <w:t>主要</w:t>
            </w:r>
          </w:p>
        </w:tc>
        <w:tc>
          <w:tcPr>
            <w:tcW w:w="2769" w:type="dxa"/>
          </w:tcPr>
          <w:p w14:paraId="5C13E888">
            <w:r>
              <w:t>近 7 个自然日每日订单数与销售额的折线趋势</w:t>
            </w:r>
          </w:p>
        </w:tc>
      </w:tr>
      <w:tr w14:paraId="5B92A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4292D5AD">
            <w:r>
              <w:t>热门演出 TOP 5</w:t>
            </w:r>
          </w:p>
        </w:tc>
        <w:tc>
          <w:tcPr>
            <w:tcW w:w="2769" w:type="dxa"/>
          </w:tcPr>
          <w:p w14:paraId="347251B9">
            <w:r>
              <w:t>主要</w:t>
            </w:r>
          </w:p>
        </w:tc>
        <w:tc>
          <w:tcPr>
            <w:tcW w:w="2769" w:type="dxa"/>
          </w:tcPr>
          <w:p w14:paraId="0F907F17">
            <w:r>
              <w:t>按累计销量与营收对在售剧目排行 (Top5)</w:t>
            </w:r>
          </w:p>
        </w:tc>
      </w:tr>
      <w:tr w14:paraId="14813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3F02F78">
            <w:r>
              <w:t>场次上座率</w:t>
            </w:r>
          </w:p>
        </w:tc>
        <w:tc>
          <w:tcPr>
            <w:tcW w:w="2769" w:type="dxa"/>
          </w:tcPr>
          <w:p w14:paraId="08A7337B">
            <w:r>
              <w:t>主要</w:t>
            </w:r>
          </w:p>
        </w:tc>
        <w:tc>
          <w:tcPr>
            <w:tcW w:w="2769" w:type="dxa"/>
          </w:tcPr>
          <w:p w14:paraId="7B6529C7">
            <w:r>
              <w:t>每场次 已售座位 / 总座位 的比率</w:t>
            </w:r>
          </w:p>
        </w:tc>
      </w:tr>
      <w:tr w14:paraId="477C1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70BE50D9">
            <w:r>
              <w:t>演出厅利用率</w:t>
            </w:r>
          </w:p>
        </w:tc>
        <w:tc>
          <w:tcPr>
            <w:tcW w:w="2769" w:type="dxa"/>
          </w:tcPr>
          <w:p w14:paraId="0CC2DD98">
            <w:r>
              <w:t>次要</w:t>
            </w:r>
          </w:p>
        </w:tc>
        <w:tc>
          <w:tcPr>
            <w:tcW w:w="2769" w:type="dxa"/>
          </w:tcPr>
          <w:p w14:paraId="48402E1F">
            <w:r>
              <w:t>每演出厅 已开场次 / 可排场次 的比率</w:t>
            </w:r>
          </w:p>
        </w:tc>
      </w:tr>
      <w:tr w14:paraId="4F619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FDC7304">
            <w:r>
              <w:t>订单状态分布</w:t>
            </w:r>
          </w:p>
        </w:tc>
        <w:tc>
          <w:tcPr>
            <w:tcW w:w="2769" w:type="dxa"/>
          </w:tcPr>
          <w:p w14:paraId="26F7F753">
            <w:r>
              <w:t>次要</w:t>
            </w:r>
          </w:p>
        </w:tc>
        <w:tc>
          <w:tcPr>
            <w:tcW w:w="2769" w:type="dxa"/>
          </w:tcPr>
          <w:p w14:paraId="5EB85084">
            <w:r>
              <w:t>PENDING_PAYMENT / PAID / EXPIRED / CANCELLED / REFUNDED 占比饼图</w:t>
            </w:r>
          </w:p>
        </w:tc>
      </w:tr>
      <w:tr w14:paraId="65BE9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EB78C3A">
            <w:r>
              <w:t>座位区域热度</w:t>
            </w:r>
          </w:p>
        </w:tc>
        <w:tc>
          <w:tcPr>
            <w:tcW w:w="2769" w:type="dxa"/>
          </w:tcPr>
          <w:p w14:paraId="4ACB0BD3">
            <w:r>
              <w:t>次要</w:t>
            </w:r>
          </w:p>
        </w:tc>
        <w:tc>
          <w:tcPr>
            <w:tcW w:w="2769" w:type="dxa"/>
          </w:tcPr>
          <w:p w14:paraId="06F60ED8">
            <w:r>
              <w:t>按座位区域统计已售比率, 用于优化票价分区</w:t>
            </w:r>
          </w:p>
        </w:tc>
      </w:tr>
    </w:tbl>
    <w:p w14:paraId="4AD446B4">
      <w:r>
        <w:t>表 5 中 "主要" 类报表是数据看板首屏的核心指标; "次要" 类报表在二级页面展开, 用于细粒度的经营分析.</w:t>
      </w:r>
    </w:p>
    <w:p w14:paraId="055E877E">
      <w:pPr>
        <w:pStyle w:val="2"/>
        <w:jc w:val="both"/>
      </w:pPr>
      <w:bookmarkStart w:id="13" w:name="_Toc14991"/>
      <w:r>
        <w:rPr>
          <w:rFonts w:hint="eastAsia"/>
        </w:rPr>
        <w:t>系统体系结构</w:t>
      </w:r>
      <w:bookmarkEnd w:id="13"/>
      <w:r>
        <w:t xml:space="preserve"> </w:t>
      </w:r>
    </w:p>
    <w:p w14:paraId="59B36999">
      <w:r>
        <w:t>本章节描述 ENCORE 票务管理系统的物理架构、网络环节与运行环境. 系统采用 B/S 架构与前后端分离设计, 业务逻辑全部集中于后端, 通过浏览器交付前端 SPA, 部署成本与运维复杂度低, 适合中小型剧院场景.</w:t>
      </w:r>
    </w:p>
    <w:p w14:paraId="501F44CD">
      <w:pPr>
        <w:pStyle w:val="3"/>
      </w:pPr>
      <w:bookmarkStart w:id="14" w:name="_Toc20239"/>
      <w:r>
        <w:rPr>
          <w:rFonts w:hint="eastAsia"/>
        </w:rPr>
        <w:t>物理架构</w:t>
      </w:r>
      <w:bookmarkEnd w:id="14"/>
    </w:p>
    <w:p w14:paraId="0EF6DA3F">
      <w:r>
        <w:t>ENCORE 票务管理系统的物理架构如图2 所示. 用户、票务管理员、检票员均通过浏览器访问同一套前端 SPA, 由 Nginx 负责静态资源与 /api/** 反向代理, Spring Boot 应用承载全部业务逻辑, MySQL 与 Redis 分别承担持久化与短期状态.</w:t>
      </w:r>
    </w:p>
    <w:p w14:paraId="5899020B">
      <w:pPr>
        <w:jc w:val="center"/>
      </w:pPr>
      <w:r>
        <w:drawing>
          <wp:inline distT="0" distB="0" distL="114300" distR="114300">
            <wp:extent cx="5039995" cy="4355995"/>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039995" cy="4355995"/>
                    </a:xfrm>
                    <a:prstGeom prst="rect">
                      <a:avLst/>
                    </a:prstGeom>
                  </pic:spPr>
                </pic:pic>
              </a:graphicData>
            </a:graphic>
          </wp:inline>
        </w:drawing>
      </w:r>
    </w:p>
    <w:p w14:paraId="7CE54BBD">
      <w:pPr>
        <w:pStyle w:val="40"/>
      </w:pPr>
      <w:r>
        <w:t>图2  ENCORE 票务管理系统物理架构</w:t>
      </w:r>
    </w:p>
    <w:p w14:paraId="573595D5">
      <w:r>
        <w:t>如图2 所示, ENCORE 在物理上由用户终端浏览器、应用服务器 (Nginx + Spring Boot)、数据服务 (MySQL + Redis) 三层构成. MySQL 持久化全部业务数据; Redis 承担登录态、座位临时锁、订单倒计时等高频读写但短生命周期的数据, 显著降低对 MySQL 的并发压力.</w:t>
      </w:r>
    </w:p>
    <w:p w14:paraId="64D3C41C">
      <w:pPr>
        <w:pStyle w:val="3"/>
      </w:pPr>
      <w:bookmarkStart w:id="15" w:name="_Toc20272"/>
      <w:r>
        <w:rPr>
          <w:rFonts w:hint="eastAsia"/>
        </w:rPr>
        <w:t>网络环节</w:t>
      </w:r>
      <w:bookmarkEnd w:id="15"/>
    </w:p>
    <w:p w14:paraId="693AE26A">
      <w:r>
        <w:t>ENCORE 票务管理系统的网络拓扑如图3 所示. 外网入口仅暴露 Nginx 的 80/443 端口; 应用服务器、数据库服务器、缓存服务器之间通过内网通信, 减小攻击面, 也降低跨网延迟. 检票员可通过演出现场的 Wi-Fi 局域网或商用 4G/5G 接入.</w:t>
      </w:r>
    </w:p>
    <w:p w14:paraId="4EEC25CB">
      <w:pPr>
        <w:jc w:val="center"/>
      </w:pPr>
      <w:r>
        <w:drawing>
          <wp:inline distT="0" distB="0" distL="114300" distR="114300">
            <wp:extent cx="5039995" cy="6451193"/>
            <wp:effectExtent l="0" t="0" r="190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a:stretch>
                      <a:fillRect/>
                    </a:stretch>
                  </pic:blipFill>
                  <pic:spPr>
                    <a:xfrm>
                      <a:off x="0" y="0"/>
                      <a:ext cx="5039995" cy="6451193"/>
                    </a:xfrm>
                    <a:prstGeom prst="rect">
                      <a:avLst/>
                    </a:prstGeom>
                  </pic:spPr>
                </pic:pic>
              </a:graphicData>
            </a:graphic>
          </wp:inline>
        </w:drawing>
      </w:r>
    </w:p>
    <w:p w14:paraId="36F4F7ED">
      <w:pPr>
        <w:pStyle w:val="40"/>
      </w:pPr>
      <w:r>
        <w:t>图3  ENCORE 票务管理系统网络拓扑</w:t>
      </w:r>
    </w:p>
    <w:p w14:paraId="0994F2AA">
      <w:r>
        <w:t>如图3 所示, 演出现场的检票端、剧院后台的票务管理端与互联网中的用户购票端共享同一套后端 API, 但通过 Sa-Token 角色与权限差异加以隔离, 不允许检票员或管理员账号在公网无 IP 白名单情况下访问敏感接口.</w:t>
      </w:r>
    </w:p>
    <w:p w14:paraId="452C20B9">
      <w:pPr>
        <w:pStyle w:val="3"/>
      </w:pPr>
      <w:bookmarkStart w:id="16" w:name="_Toc23007"/>
      <w:r>
        <w:rPr>
          <w:rFonts w:hint="eastAsia"/>
        </w:rPr>
        <w:t>运行环境</w:t>
      </w:r>
      <w:bookmarkEnd w:id="16"/>
    </w:p>
    <w:p w14:paraId="0F1FCCA6">
      <w:r>
        <w:t>ENCORE 票务管理系统的运行环境配置如下:</w:t>
      </w:r>
    </w:p>
    <w:p w14:paraId="3E369A32">
      <w:pPr>
        <w:pStyle w:val="25"/>
      </w:pPr>
      <w:r>
        <w:t>服务器操作系统: 兼容 Linux (Ubuntu 22.04 LTS / CentOS Stream 9) 与 Windows Server 2019 及以上;</w:t>
      </w:r>
    </w:p>
    <w:p w14:paraId="246D76E4">
      <w:pPr>
        <w:pStyle w:val="25"/>
      </w:pPr>
      <w:r>
        <w:t>JDK: OpenJDK 17 或 21, 长期支持版本;</w:t>
      </w:r>
    </w:p>
    <w:p w14:paraId="322EA9A8">
      <w:pPr>
        <w:pStyle w:val="25"/>
      </w:pPr>
      <w:r>
        <w:t>Web 服务器: Nginx 1.24+, 负责静态资源与反向代理 (含 WebSocket Upgrade 转发);</w:t>
      </w:r>
    </w:p>
    <w:p w14:paraId="59759F6A">
      <w:pPr>
        <w:pStyle w:val="25"/>
      </w:pPr>
      <w:r>
        <w:t>数据库: MySQL 8.0+ (utf8mb4 字符集), 推荐部署在独立服务器或托管实例;</w:t>
      </w:r>
    </w:p>
    <w:p w14:paraId="4C7E03AF">
      <w:pPr>
        <w:pStyle w:val="25"/>
      </w:pPr>
      <w:r>
        <w:t>缓存: Redis 7.0+, 启用持久化, 用于座位锁与订单倒计时, 并兼作实时选座广播的 STOMP relay;</w:t>
      </w:r>
    </w:p>
    <w:p w14:paraId="4B6F44A1">
      <w:pPr>
        <w:pStyle w:val="25"/>
      </w:pPr>
      <w:r>
        <w:t>浏览器兼容性: 用户端与管理端兼容 Chrome 100+ / Edge 100+ / Firefox 100+ / Safari 15+, 不再支持 IE;</w:t>
      </w:r>
    </w:p>
    <w:p w14:paraId="15C608DA">
      <w:pPr>
        <w:pStyle w:val="25"/>
      </w:pPr>
      <w:r>
        <w:t>终端分辨率: 用户端不低于 1280×720, 管理端不低于 1366×768, 检票端不低于 800×600 (横屏);</w:t>
      </w:r>
    </w:p>
    <w:p w14:paraId="6F56E62B">
      <w:pPr>
        <w:pStyle w:val="25"/>
      </w:pPr>
      <w:r>
        <w:t>前端技术栈: Vue 3 + TypeScript + Vite + Vue Router + Pinia + Element Plus + ECharts + Axios + SCSS; 引入 three.js 0.16x 渲染剧院 3D 视角, @stomp/stompjs 作为 WebSocket 客户端;</w:t>
      </w:r>
    </w:p>
    <w:p w14:paraId="05B55229">
      <w:pPr>
        <w:pStyle w:val="25"/>
      </w:pPr>
      <w:r>
        <w:t>后端技术栈: Spring Boot 3 + Java 17 + MyBatis-Plus + Sa-Token + Spring WebSocket (simp messaging) + Knife4j 4.x (Swagger UI) + Lombok + Maven;</w:t>
      </w:r>
    </w:p>
    <w:p w14:paraId="1D2F5734">
      <w:pPr>
        <w:pStyle w:val="25"/>
      </w:pPr>
      <w:r>
        <w:t>部署工具: Docker Compose 编排; GitHub 作为代码托管, DataGrip 作为数据库 IDE, Apifox/Postman 用于接口联调; JMeter 5.6 + Skywalking 9.x 用于全链路压测与调用链追踪.</w:t>
      </w:r>
    </w:p>
    <w:p w14:paraId="16707A5C">
      <w:pPr>
        <w:pStyle w:val="2"/>
      </w:pPr>
      <w:bookmarkStart w:id="17" w:name="_Toc3283"/>
      <w:r>
        <w:rPr>
          <w:rFonts w:hint="eastAsia"/>
        </w:rPr>
        <w:t>功能需求</w:t>
      </w:r>
      <w:bookmarkEnd w:id="17"/>
    </w:p>
    <w:p w14:paraId="5FD24DB3">
      <w:r>
        <w:t>本章节描述 ENCORE 票务管理系统的功能需求, 包括系统参与者、功能构成、核心用例的详细说明, 以及配套的核心领域类图、数据库实体关系图.</w:t>
      </w:r>
    </w:p>
    <w:p w14:paraId="2AE497F3">
      <w:pPr>
        <w:pStyle w:val="3"/>
      </w:pPr>
      <w:bookmarkStart w:id="18" w:name="_Toc24160"/>
      <w:r>
        <w:t>参与者定义</w:t>
      </w:r>
      <w:bookmarkEnd w:id="18"/>
    </w:p>
    <w:p w14:paraId="6F643538">
      <w:r>
        <w:t>参与者 (Actor) 指与 ENCORE 票务管理系统产生交互的外部用户、岗位角色或外部系统。本系统依据剧院票务全流程共定义 5 类参与者, 其职责边界与系统交互能力见表 6。</w:t>
      </w:r>
    </w:p>
    <w:p w14:paraId="1A05EAF7">
      <w:pPr>
        <w:pStyle w:val="35"/>
        <w:jc w:val="center"/>
      </w:pPr>
      <w:r>
        <w:t>表6  ENCORE 系统参与者一览</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69"/>
        <w:gridCol w:w="1569"/>
        <w:gridCol w:w="1569"/>
        <w:gridCol w:w="2245"/>
        <w:gridCol w:w="1570"/>
      </w:tblGrid>
      <w:tr w14:paraId="1DA5C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12C3882C">
            <w:pPr>
              <w:jc w:val="center"/>
            </w:pPr>
            <w:r>
              <w:rPr>
                <w:b/>
              </w:rPr>
              <w:t>编号</w:t>
            </w:r>
          </w:p>
        </w:tc>
        <w:tc>
          <w:tcPr>
            <w:tcW w:w="1661" w:type="dxa"/>
          </w:tcPr>
          <w:p w14:paraId="678ED7B2">
            <w:pPr>
              <w:jc w:val="center"/>
            </w:pPr>
            <w:r>
              <w:rPr>
                <w:b/>
              </w:rPr>
              <w:t>参与者名称</w:t>
            </w:r>
          </w:p>
        </w:tc>
        <w:tc>
          <w:tcPr>
            <w:tcW w:w="1661" w:type="dxa"/>
          </w:tcPr>
          <w:p w14:paraId="3F7ECBDE">
            <w:pPr>
              <w:jc w:val="center"/>
            </w:pPr>
            <w:r>
              <w:rPr>
                <w:b/>
              </w:rPr>
              <w:t>类别</w:t>
            </w:r>
          </w:p>
        </w:tc>
        <w:tc>
          <w:tcPr>
            <w:tcW w:w="1661" w:type="dxa"/>
          </w:tcPr>
          <w:p w14:paraId="2CA59BB8">
            <w:pPr>
              <w:jc w:val="center"/>
            </w:pPr>
            <w:r>
              <w:rPr>
                <w:b/>
              </w:rPr>
              <w:t>标识符</w:t>
            </w:r>
          </w:p>
        </w:tc>
        <w:tc>
          <w:tcPr>
            <w:tcW w:w="1661" w:type="dxa"/>
          </w:tcPr>
          <w:p w14:paraId="32AA5E81">
            <w:pPr>
              <w:jc w:val="center"/>
            </w:pPr>
            <w:r>
              <w:rPr>
                <w:b/>
              </w:rPr>
              <w:t>描述</w:t>
            </w:r>
          </w:p>
        </w:tc>
      </w:tr>
      <w:tr w14:paraId="3370A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15B8CA39">
            <w:r>
              <w:t>1</w:t>
            </w:r>
          </w:p>
        </w:tc>
        <w:tc>
          <w:tcPr>
            <w:tcW w:w="1661" w:type="dxa"/>
          </w:tcPr>
          <w:p w14:paraId="3CC457D8">
            <w:r>
              <w:t>游客</w:t>
            </w:r>
          </w:p>
        </w:tc>
        <w:tc>
          <w:tcPr>
            <w:tcW w:w="1661" w:type="dxa"/>
          </w:tcPr>
          <w:p w14:paraId="40F9CC36">
            <w:r>
              <w:t>主要</w:t>
            </w:r>
          </w:p>
        </w:tc>
        <w:tc>
          <w:tcPr>
            <w:tcW w:w="1661" w:type="dxa"/>
          </w:tcPr>
          <w:p w14:paraId="483D59E0">
            <w:r>
              <w:t>ENC_ACTOR_01</w:t>
            </w:r>
          </w:p>
        </w:tc>
        <w:tc>
          <w:tcPr>
            <w:tcW w:w="1661" w:type="dxa"/>
          </w:tcPr>
          <w:p w14:paraId="378D87CE">
            <w:r>
              <w:t>未登录用户, 可浏览演出列表、搜索、查看演出详情与场次基础信息、查看公告. 不能选座、下单和查看电子票.</w:t>
            </w:r>
          </w:p>
        </w:tc>
      </w:tr>
      <w:tr w14:paraId="39E4E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5A394C87">
            <w:r>
              <w:t>2</w:t>
            </w:r>
          </w:p>
        </w:tc>
        <w:tc>
          <w:tcPr>
            <w:tcW w:w="1661" w:type="dxa"/>
          </w:tcPr>
          <w:p w14:paraId="5D390025">
            <w:r>
              <w:t>注册用户</w:t>
            </w:r>
          </w:p>
        </w:tc>
        <w:tc>
          <w:tcPr>
            <w:tcW w:w="1661" w:type="dxa"/>
          </w:tcPr>
          <w:p w14:paraId="111C316D">
            <w:r>
              <w:t>主要</w:t>
            </w:r>
          </w:p>
        </w:tc>
        <w:tc>
          <w:tcPr>
            <w:tcW w:w="1661" w:type="dxa"/>
          </w:tcPr>
          <w:p w14:paraId="117CF4D4">
            <w:r>
              <w:t>ENC_ACTOR_02</w:t>
            </w:r>
          </w:p>
        </w:tc>
        <w:tc>
          <w:tcPr>
            <w:tcW w:w="1661" w:type="dxa"/>
          </w:tcPr>
          <w:p w14:paraId="774A4AFA">
            <w:r>
              <w:t>已注册并登录的最终消费者. 可执行可视化选座与区域购票 (SEATED / ZONED / MIXED)、创建订单、模拟支付、发起或加入拼座邀请、查看我的订单与电子票、舞台视角预览等核心用例.</w:t>
            </w:r>
          </w:p>
        </w:tc>
      </w:tr>
      <w:tr w14:paraId="33A0F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2307C8AC">
            <w:r>
              <w:t>3</w:t>
            </w:r>
          </w:p>
        </w:tc>
        <w:tc>
          <w:tcPr>
            <w:tcW w:w="1661" w:type="dxa"/>
          </w:tcPr>
          <w:p w14:paraId="26C18B76">
            <w:r>
              <w:t>票务管理员</w:t>
            </w:r>
          </w:p>
        </w:tc>
        <w:tc>
          <w:tcPr>
            <w:tcW w:w="1661" w:type="dxa"/>
          </w:tcPr>
          <w:p w14:paraId="3165D64F">
            <w:r>
              <w:t>主要</w:t>
            </w:r>
          </w:p>
        </w:tc>
        <w:tc>
          <w:tcPr>
            <w:tcW w:w="1661" w:type="dxa"/>
          </w:tcPr>
          <w:p w14:paraId="5E008153">
            <w:r>
              <w:t>ENC_ACTOR_03</w:t>
            </w:r>
          </w:p>
        </w:tc>
        <w:tc>
          <w:tcPr>
            <w:tcW w:w="1661" w:type="dxa"/>
          </w:tcPr>
          <w:p w14:paraId="27472B26">
            <w:r>
              <w:t>剧院票务运营部岗位. 负责剧目、演出分类、演出厅、座位布局、场次、座位票池、订单、公告、数据看板的全部后台管理.</w:t>
            </w:r>
          </w:p>
        </w:tc>
      </w:tr>
      <w:tr w14:paraId="7146E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2C1AD363">
            <w:r>
              <w:t>4</w:t>
            </w:r>
          </w:p>
        </w:tc>
        <w:tc>
          <w:tcPr>
            <w:tcW w:w="1661" w:type="dxa"/>
          </w:tcPr>
          <w:p w14:paraId="361C9CC5">
            <w:r>
              <w:t>检票员</w:t>
            </w:r>
          </w:p>
        </w:tc>
        <w:tc>
          <w:tcPr>
            <w:tcW w:w="1661" w:type="dxa"/>
          </w:tcPr>
          <w:p w14:paraId="58F95DB9">
            <w:r>
              <w:t>主要</w:t>
            </w:r>
          </w:p>
        </w:tc>
        <w:tc>
          <w:tcPr>
            <w:tcW w:w="1661" w:type="dxa"/>
          </w:tcPr>
          <w:p w14:paraId="040AC50A">
            <w:r>
              <w:t>ENC_ACTOR_04</w:t>
            </w:r>
          </w:p>
        </w:tc>
        <w:tc>
          <w:tcPr>
            <w:tcW w:w="1661" w:type="dxa"/>
          </w:tcPr>
          <w:p w14:paraId="0854AB26">
            <w:r>
              <w:t>剧院现场服务部岗位. 负责通过票号或二维码模拟码核销电子票, 并处理重复检票、作废票、非当前场次等异常.</w:t>
            </w:r>
          </w:p>
        </w:tc>
      </w:tr>
      <w:tr w14:paraId="43994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219C88B0">
            <w:r>
              <w:t>5</w:t>
            </w:r>
          </w:p>
        </w:tc>
        <w:tc>
          <w:tcPr>
            <w:tcW w:w="1661" w:type="dxa"/>
          </w:tcPr>
          <w:p w14:paraId="2F6AE4AB">
            <w:r>
              <w:t>系统管理员</w:t>
            </w:r>
          </w:p>
        </w:tc>
        <w:tc>
          <w:tcPr>
            <w:tcW w:w="1661" w:type="dxa"/>
          </w:tcPr>
          <w:p w14:paraId="7A59A14D">
            <w:r>
              <w:t>次要</w:t>
            </w:r>
          </w:p>
        </w:tc>
        <w:tc>
          <w:tcPr>
            <w:tcW w:w="1661" w:type="dxa"/>
          </w:tcPr>
          <w:p w14:paraId="4666CD13">
            <w:r>
              <w:t>ENC_ACTOR_05</w:t>
            </w:r>
          </w:p>
        </w:tc>
        <w:tc>
          <w:tcPr>
            <w:tcW w:w="1661" w:type="dxa"/>
          </w:tcPr>
          <w:p w14:paraId="0130A268">
            <w:r>
              <w:t>信息中心岗位. 负责员工账号管理 (创建 / 禁用 / 重置密码) 与角色分配 (user / admin / checker / sysadmin)、系统参数配置. 不参与剧目和票务业务.</w:t>
            </w:r>
          </w:p>
        </w:tc>
      </w:tr>
    </w:tbl>
    <w:p w14:paraId="2F853E75">
      <w:r>
        <w:t>注: 主要参与者直接从系统获取业务价值; 次要参与者提供支撑性管理能力。参与者定义仅描述与系统交互的边界, 具体功能归属在 4.2 节统一展开。</w:t>
      </w:r>
    </w:p>
    <w:p w14:paraId="719DAED9">
      <w:pPr>
        <w:pStyle w:val="3"/>
      </w:pPr>
      <w:bookmarkStart w:id="19" w:name="_Toc16429"/>
      <w:r>
        <w:t>功能构成</w:t>
      </w:r>
      <w:bookmarkEnd w:id="19"/>
    </w:p>
    <w:p w14:paraId="63C599CC">
      <w:r>
        <w:t>ENCORE 票务管理系统从用户端、管理端、检票端、系统管理端四类界面切入, 覆盖游客、注册用户、票务管理员、检票员、系统管理员 5 类角色的全部用例; 其中 4.3 ~ 4.13 共 11 个核心用例按模板字段详述。4.2 节先给出功能模块、数据库实体、用例清单与对应 UML 用例图。</w:t>
      </w:r>
    </w:p>
    <w:p w14:paraId="530C2C2D">
      <w:pPr>
        <w:pStyle w:val="25"/>
      </w:pPr>
      <w:r>
        <w:t>用户端: 用户注册与登录、演出浏览与搜索、演出详情查看、场次选择、可视化选座与区域购票、订单创建与模拟支付、我的订单、我的电子票、舞台视角预览、拼座邀请、个性化推荐;</w:t>
      </w:r>
    </w:p>
    <w:p w14:paraId="7DA55D3C">
      <w:pPr>
        <w:pStyle w:val="25"/>
      </w:pPr>
      <w:r>
        <w:t>管理端: 员工账号管理 (建 / 禁用 / 重置密码 / 角色分配)、剧目信息管理、场馆与演出厅管理、座位布局管理、场次排期管理、场次座位票池与区域库存管理、订单与退款管理、数据统计看板; 规划中: 公告、优惠策略、批量排期、报表导出;</w:t>
      </w:r>
    </w:p>
    <w:p w14:paraId="203B8B6D">
      <w:pPr>
        <w:pStyle w:val="25"/>
      </w:pPr>
      <w:r>
        <w:t>检票端: 票号输入 / 扫描、票据核验、检票入场、异常处理; 系统管理端: 员工账号管理与角色分配、系统参数配置。</w:t>
      </w:r>
    </w:p>
    <w:p w14:paraId="688DBCCF">
      <w:r>
        <w:t>从开发者角度, 本系统将高风险链路收束为锁座、下单、支付、检票、看板刷新五条主链路, 便于分层开发、接口联调和验收演示; 从目标使用者角度, 重点优化售票高峰、现场检票、排期维护和经营复盘四类真实工作场景, 避免只停留在“能增删改查”的普通 TTMS 水平。</w:t>
      </w:r>
    </w:p>
    <w:p w14:paraId="5FDAD7FF">
      <w:r>
        <w:t>为方便后续设计阶段的类与表对齐, 本节给出 ENCORE 核心领域类图 (图4) 与数据库实体关系图 (图5), 再列出系统全部用例。</w:t>
      </w:r>
    </w:p>
    <w:p w14:paraId="553EE9AE">
      <w:pPr>
        <w:jc w:val="center"/>
      </w:pPr>
      <w:r>
        <w:drawing>
          <wp:inline distT="0" distB="0" distL="114300" distR="114300">
            <wp:extent cx="5039995" cy="7255720"/>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039995" cy="7255720"/>
                    </a:xfrm>
                    <a:prstGeom prst="rect">
                      <a:avLst/>
                    </a:prstGeom>
                  </pic:spPr>
                </pic:pic>
              </a:graphicData>
            </a:graphic>
          </wp:inline>
        </w:drawing>
      </w:r>
    </w:p>
    <w:p w14:paraId="69D12D3B">
      <w:pPr>
        <w:pStyle w:val="40"/>
        <w:jc w:val="center"/>
      </w:pPr>
      <w:r>
        <w:t>图4  ENCORE 核心领域类图</w:t>
      </w:r>
    </w:p>
    <w:p w14:paraId="48248DFE">
      <w:r>
        <w:t>如图4 所示, ENCORE 核心领域对象包括账号 UserAccount (role 单列承载角色), 剧目 ShowEntity, 场馆体系 Venue / VenueHall / SeatLayout / SeatLayoutArea / SeatLayoutSeat / VenueArea, 场次体系 ShowSchedule / ScheduleSeat / ScheduleAreaInventory, 以及订单与票据 TicketOrder / TicketItem, 共 13 个实体。状态枚举 ShowStatus / TicketMode / ScheduleStatus / SeatStatus / OrderStatus / TicketStatus 与正文及状态图保持一致。</w:t>
      </w:r>
    </w:p>
    <w:p w14:paraId="05B77A89">
      <w:pPr>
        <w:jc w:val="center"/>
      </w:pPr>
      <w:r>
        <w:drawing>
          <wp:inline distT="0" distB="0" distL="114300" distR="114300">
            <wp:extent cx="4812129" cy="777240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4812129" cy="7772400"/>
                    </a:xfrm>
                    <a:prstGeom prst="rect">
                      <a:avLst/>
                    </a:prstGeom>
                  </pic:spPr>
                </pic:pic>
              </a:graphicData>
            </a:graphic>
          </wp:inline>
        </w:drawing>
      </w:r>
    </w:p>
    <w:p w14:paraId="5EE983B0">
      <w:pPr>
        <w:pStyle w:val="40"/>
        <w:jc w:val="center"/>
      </w:pPr>
      <w:r>
        <w:t>图5  ENCORE 数据库实体关系图 (ER)</w:t>
      </w:r>
    </w:p>
    <w:p w14:paraId="2CBF95B7">
      <w:r>
        <w:t>如图5 所示, ENCORE 在数据库层面由 13 张业务表支撑购票闭环: user_account、encore_show、venue、venue_hall、seat_layout、seat_layout_area、seat_layout_seat、venue_area、show_schedule、schedule_seat、schedule_area_inventory、ticket_order、ticket_item。角色以 user_account.role 单列承载, 支付为内联模拟、检票仅翻转票据状态, 故不设独立支付 / 检票记录表; 公告、优惠等扩展能力可在后续迭代增表补充。数据库实体字段语义见表 8。</w:t>
      </w:r>
    </w:p>
    <w:p w14:paraId="61955578">
      <w:r>
        <w:t>系统全部用例的标识符、名称与功能描述见表 7.</w:t>
      </w:r>
    </w:p>
    <w:p w14:paraId="2780FAF0">
      <w:pPr>
        <w:pStyle w:val="35"/>
        <w:jc w:val="center"/>
      </w:pPr>
      <w:r>
        <w:t>表7  ENCORE 系统用例一览</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7"/>
        <w:gridCol w:w="1618"/>
        <w:gridCol w:w="2761"/>
        <w:gridCol w:w="2526"/>
      </w:tblGrid>
      <w:tr w14:paraId="3FBFB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CAB689D">
            <w:pPr>
              <w:jc w:val="center"/>
            </w:pPr>
            <w:r>
              <w:rPr>
                <w:b/>
              </w:rPr>
              <w:t>序号</w:t>
            </w:r>
          </w:p>
        </w:tc>
        <w:tc>
          <w:tcPr>
            <w:tcW w:w="2076" w:type="dxa"/>
          </w:tcPr>
          <w:p w14:paraId="3FC1212E">
            <w:pPr>
              <w:jc w:val="center"/>
            </w:pPr>
            <w:r>
              <w:rPr>
                <w:b/>
              </w:rPr>
              <w:t>用例名称</w:t>
            </w:r>
          </w:p>
        </w:tc>
        <w:tc>
          <w:tcPr>
            <w:tcW w:w="2076" w:type="dxa"/>
          </w:tcPr>
          <w:p w14:paraId="4D820DDF">
            <w:pPr>
              <w:jc w:val="center"/>
            </w:pPr>
            <w:r>
              <w:rPr>
                <w:b/>
              </w:rPr>
              <w:t>用例标识符</w:t>
            </w:r>
          </w:p>
        </w:tc>
        <w:tc>
          <w:tcPr>
            <w:tcW w:w="2076" w:type="dxa"/>
          </w:tcPr>
          <w:p w14:paraId="68A5F99C">
            <w:pPr>
              <w:jc w:val="center"/>
            </w:pPr>
            <w:r>
              <w:rPr>
                <w:b/>
              </w:rPr>
              <w:t>需求描述</w:t>
            </w:r>
          </w:p>
        </w:tc>
      </w:tr>
      <w:tr w14:paraId="65100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4516A9A">
            <w:r>
              <w:rPr>
                <w:b w:val="0"/>
                <w:sz w:val="21"/>
              </w:rPr>
              <w:t>1</w:t>
            </w:r>
          </w:p>
        </w:tc>
        <w:tc>
          <w:tcPr>
            <w:tcW w:w="2076" w:type="dxa"/>
          </w:tcPr>
          <w:p w14:paraId="386E7528">
            <w:r>
              <w:rPr>
                <w:b w:val="0"/>
                <w:sz w:val="21"/>
              </w:rPr>
              <w:t>用户注册</w:t>
            </w:r>
          </w:p>
        </w:tc>
        <w:tc>
          <w:tcPr>
            <w:tcW w:w="2076" w:type="dxa"/>
          </w:tcPr>
          <w:p w14:paraId="17B8C3D9">
            <w:r>
              <w:rPr>
                <w:b w:val="0"/>
                <w:sz w:val="21"/>
              </w:rPr>
              <w:t>ENC_UC_AUTH_00</w:t>
            </w:r>
          </w:p>
        </w:tc>
        <w:tc>
          <w:tcPr>
            <w:tcW w:w="2076" w:type="dxa"/>
          </w:tcPr>
          <w:p w14:paraId="67683B1A">
            <w:r>
              <w:rPr>
                <w:b w:val="0"/>
                <w:sz w:val="21"/>
              </w:rPr>
              <w:t>新用户填写账号、密码、手机号完成注册</w:t>
            </w:r>
          </w:p>
        </w:tc>
      </w:tr>
      <w:tr w14:paraId="29C47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5FF5AA3">
            <w:r>
              <w:rPr>
                <w:b w:val="0"/>
                <w:sz w:val="21"/>
              </w:rPr>
              <w:t>2</w:t>
            </w:r>
          </w:p>
        </w:tc>
        <w:tc>
          <w:tcPr>
            <w:tcW w:w="2076" w:type="dxa"/>
          </w:tcPr>
          <w:p w14:paraId="53B6895D">
            <w:r>
              <w:rPr>
                <w:b w:val="0"/>
                <w:sz w:val="21"/>
              </w:rPr>
              <w:t>用户登录</w:t>
            </w:r>
          </w:p>
        </w:tc>
        <w:tc>
          <w:tcPr>
            <w:tcW w:w="2076" w:type="dxa"/>
          </w:tcPr>
          <w:p w14:paraId="0BC46A55">
            <w:r>
              <w:rPr>
                <w:b w:val="0"/>
                <w:sz w:val="21"/>
              </w:rPr>
              <w:t>ENC_UC_AUTH_01</w:t>
            </w:r>
          </w:p>
        </w:tc>
        <w:tc>
          <w:tcPr>
            <w:tcW w:w="2076" w:type="dxa"/>
          </w:tcPr>
          <w:p w14:paraId="74C016FE">
            <w:r>
              <w:rPr>
                <w:b w:val="0"/>
                <w:sz w:val="21"/>
              </w:rPr>
              <w:t>已注册用户输入账号与密码登录, 系统下发 Sa-Token 令牌</w:t>
            </w:r>
          </w:p>
        </w:tc>
      </w:tr>
      <w:tr w14:paraId="4B81B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F55F503">
            <w:r>
              <w:rPr>
                <w:b w:val="0"/>
                <w:sz w:val="21"/>
              </w:rPr>
              <w:t>3</w:t>
            </w:r>
          </w:p>
        </w:tc>
        <w:tc>
          <w:tcPr>
            <w:tcW w:w="2076" w:type="dxa"/>
          </w:tcPr>
          <w:p w14:paraId="4B476975">
            <w:r>
              <w:rPr>
                <w:b w:val="0"/>
                <w:sz w:val="21"/>
              </w:rPr>
              <w:t>用户登出</w:t>
            </w:r>
          </w:p>
        </w:tc>
        <w:tc>
          <w:tcPr>
            <w:tcW w:w="2076" w:type="dxa"/>
          </w:tcPr>
          <w:p w14:paraId="1DF5DE8E">
            <w:r>
              <w:rPr>
                <w:b w:val="0"/>
                <w:sz w:val="21"/>
              </w:rPr>
              <w:t>ENC_UC_AUTH_02</w:t>
            </w:r>
          </w:p>
        </w:tc>
        <w:tc>
          <w:tcPr>
            <w:tcW w:w="2076" w:type="dxa"/>
          </w:tcPr>
          <w:p w14:paraId="333AA81F">
            <w:r>
              <w:rPr>
                <w:b w:val="0"/>
                <w:sz w:val="21"/>
              </w:rPr>
              <w:t>已登录用户主动退出, 清理令牌</w:t>
            </w:r>
          </w:p>
        </w:tc>
      </w:tr>
      <w:tr w14:paraId="6EB98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CF52B6D">
            <w:r>
              <w:rPr>
                <w:b w:val="0"/>
                <w:sz w:val="21"/>
              </w:rPr>
              <w:t>4</w:t>
            </w:r>
          </w:p>
        </w:tc>
        <w:tc>
          <w:tcPr>
            <w:tcW w:w="2076" w:type="dxa"/>
          </w:tcPr>
          <w:p w14:paraId="2756D0DA">
            <w:r>
              <w:rPr>
                <w:b w:val="0"/>
                <w:sz w:val="21"/>
              </w:rPr>
              <w:t>浏览演出列表</w:t>
            </w:r>
          </w:p>
        </w:tc>
        <w:tc>
          <w:tcPr>
            <w:tcW w:w="2076" w:type="dxa"/>
          </w:tcPr>
          <w:p w14:paraId="783F3C7B">
            <w:r>
              <w:rPr>
                <w:b w:val="0"/>
                <w:sz w:val="21"/>
              </w:rPr>
              <w:t>ENC_UC_BROWSE_01</w:t>
            </w:r>
          </w:p>
        </w:tc>
        <w:tc>
          <w:tcPr>
            <w:tcW w:w="2076" w:type="dxa"/>
          </w:tcPr>
          <w:p w14:paraId="5DBEA1F7">
            <w:r>
              <w:rPr>
                <w:b w:val="0"/>
                <w:sz w:val="21"/>
              </w:rPr>
              <w:t>游客或注册用户浏览全部正在售票的剧目</w:t>
            </w:r>
          </w:p>
        </w:tc>
      </w:tr>
      <w:tr w14:paraId="2C085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957B0F1">
            <w:r>
              <w:rPr>
                <w:b w:val="0"/>
                <w:sz w:val="21"/>
              </w:rPr>
              <w:t>5</w:t>
            </w:r>
          </w:p>
        </w:tc>
        <w:tc>
          <w:tcPr>
            <w:tcW w:w="2076" w:type="dxa"/>
          </w:tcPr>
          <w:p w14:paraId="291A784A">
            <w:r>
              <w:rPr>
                <w:b w:val="0"/>
                <w:sz w:val="21"/>
              </w:rPr>
              <w:t>搜索演出</w:t>
            </w:r>
          </w:p>
        </w:tc>
        <w:tc>
          <w:tcPr>
            <w:tcW w:w="2076" w:type="dxa"/>
          </w:tcPr>
          <w:p w14:paraId="0F94A4B8">
            <w:r>
              <w:rPr>
                <w:b w:val="0"/>
                <w:sz w:val="21"/>
              </w:rPr>
              <w:t>ENC_UC_BROWSE_02</w:t>
            </w:r>
          </w:p>
        </w:tc>
        <w:tc>
          <w:tcPr>
            <w:tcW w:w="2076" w:type="dxa"/>
          </w:tcPr>
          <w:p w14:paraId="7DEBDC49">
            <w:r>
              <w:rPr>
                <w:b w:val="0"/>
                <w:sz w:val="21"/>
              </w:rPr>
              <w:t>按分类、关键词、时间检索剧目</w:t>
            </w:r>
          </w:p>
        </w:tc>
      </w:tr>
      <w:tr w14:paraId="0250B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F3C4586">
            <w:r>
              <w:rPr>
                <w:b w:val="0"/>
                <w:sz w:val="21"/>
              </w:rPr>
              <w:t>6</w:t>
            </w:r>
          </w:p>
        </w:tc>
        <w:tc>
          <w:tcPr>
            <w:tcW w:w="2076" w:type="dxa"/>
          </w:tcPr>
          <w:p w14:paraId="0548120A">
            <w:r>
              <w:rPr>
                <w:b w:val="0"/>
                <w:sz w:val="21"/>
              </w:rPr>
              <w:t>查看演出详情</w:t>
            </w:r>
          </w:p>
        </w:tc>
        <w:tc>
          <w:tcPr>
            <w:tcW w:w="2076" w:type="dxa"/>
          </w:tcPr>
          <w:p w14:paraId="52C541C4">
            <w:r>
              <w:rPr>
                <w:b w:val="0"/>
                <w:sz w:val="21"/>
              </w:rPr>
              <w:t>ENC_UC_BROWSE_03</w:t>
            </w:r>
          </w:p>
        </w:tc>
        <w:tc>
          <w:tcPr>
            <w:tcW w:w="2076" w:type="dxa"/>
          </w:tcPr>
          <w:p w14:paraId="6D38257A">
            <w:r>
              <w:rPr>
                <w:b w:val="0"/>
                <w:sz w:val="21"/>
              </w:rPr>
              <w:t>查看剧目海报、简介、时长、票价区间与场次列表</w:t>
            </w:r>
          </w:p>
        </w:tc>
      </w:tr>
      <w:tr w14:paraId="7457B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82DEE57">
            <w:r>
              <w:rPr>
                <w:b w:val="0"/>
                <w:sz w:val="21"/>
              </w:rPr>
              <w:t>7</w:t>
            </w:r>
          </w:p>
        </w:tc>
        <w:tc>
          <w:tcPr>
            <w:tcW w:w="2076" w:type="dxa"/>
          </w:tcPr>
          <w:p w14:paraId="363B6B6E">
            <w:r>
              <w:rPr>
                <w:b w:val="0"/>
                <w:sz w:val="21"/>
              </w:rPr>
              <w:t>查看场次</w:t>
            </w:r>
          </w:p>
        </w:tc>
        <w:tc>
          <w:tcPr>
            <w:tcW w:w="2076" w:type="dxa"/>
          </w:tcPr>
          <w:p w14:paraId="47C25663">
            <w:r>
              <w:rPr>
                <w:b w:val="0"/>
                <w:sz w:val="21"/>
              </w:rPr>
              <w:t>ENC_UC_BROWSE_04</w:t>
            </w:r>
          </w:p>
        </w:tc>
        <w:tc>
          <w:tcPr>
            <w:tcW w:w="2076" w:type="dxa"/>
          </w:tcPr>
          <w:p w14:paraId="70848BCD">
            <w:r>
              <w:rPr>
                <w:b w:val="0"/>
                <w:sz w:val="21"/>
              </w:rPr>
              <w:t>选择具体演出时间与演出厅, 进入选座入口</w:t>
            </w:r>
          </w:p>
        </w:tc>
      </w:tr>
      <w:tr w14:paraId="5E242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314A4B4">
            <w:r>
              <w:rPr>
                <w:b w:val="0"/>
                <w:sz w:val="21"/>
              </w:rPr>
              <w:t>8</w:t>
            </w:r>
          </w:p>
        </w:tc>
        <w:tc>
          <w:tcPr>
            <w:tcW w:w="2076" w:type="dxa"/>
          </w:tcPr>
          <w:p w14:paraId="4B52F8E1">
            <w:r>
              <w:rPr>
                <w:b w:val="0"/>
                <w:sz w:val="21"/>
              </w:rPr>
              <w:t>可视化选座</w:t>
            </w:r>
          </w:p>
        </w:tc>
        <w:tc>
          <w:tcPr>
            <w:tcW w:w="2076" w:type="dxa"/>
          </w:tcPr>
          <w:p w14:paraId="3A868F89">
            <w:r>
              <w:rPr>
                <w:b w:val="0"/>
                <w:sz w:val="21"/>
              </w:rPr>
              <w:t>ENC_UC_SEAT_01</w:t>
            </w:r>
          </w:p>
        </w:tc>
        <w:tc>
          <w:tcPr>
            <w:tcW w:w="2076" w:type="dxa"/>
          </w:tcPr>
          <w:p w14:paraId="0AF57C63">
            <w:r>
              <w:rPr>
                <w:b w:val="0"/>
                <w:sz w:val="21"/>
              </w:rPr>
              <w:t>在座位图上选择一个或多个 AVAILABLE 座位并临时锁定</w:t>
            </w:r>
          </w:p>
        </w:tc>
      </w:tr>
      <w:tr w14:paraId="4BA84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91759C2">
            <w:r>
              <w:rPr>
                <w:b w:val="0"/>
                <w:sz w:val="21"/>
              </w:rPr>
              <w:t>9</w:t>
            </w:r>
          </w:p>
        </w:tc>
        <w:tc>
          <w:tcPr>
            <w:tcW w:w="2076" w:type="dxa"/>
          </w:tcPr>
          <w:p w14:paraId="55BC72B2">
            <w:r>
              <w:rPr>
                <w:b w:val="0"/>
                <w:sz w:val="21"/>
              </w:rPr>
              <w:t>创建订单</w:t>
            </w:r>
          </w:p>
        </w:tc>
        <w:tc>
          <w:tcPr>
            <w:tcW w:w="2076" w:type="dxa"/>
          </w:tcPr>
          <w:p w14:paraId="4EB9652C">
            <w:r>
              <w:rPr>
                <w:b w:val="0"/>
                <w:sz w:val="21"/>
              </w:rPr>
              <w:t>ENC_UC_ORDER_01</w:t>
            </w:r>
          </w:p>
        </w:tc>
        <w:tc>
          <w:tcPr>
            <w:tcW w:w="2076" w:type="dxa"/>
          </w:tcPr>
          <w:p w14:paraId="6D418104">
            <w:r>
              <w:rPr>
                <w:b w:val="0"/>
                <w:sz w:val="21"/>
              </w:rPr>
              <w:t>依据已锁座位生成待支付订单并启动倒计时</w:t>
            </w:r>
          </w:p>
        </w:tc>
      </w:tr>
      <w:tr w14:paraId="3222E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D08AC43">
            <w:r>
              <w:rPr>
                <w:b w:val="0"/>
                <w:sz w:val="21"/>
              </w:rPr>
              <w:t>10</w:t>
            </w:r>
          </w:p>
        </w:tc>
        <w:tc>
          <w:tcPr>
            <w:tcW w:w="2076" w:type="dxa"/>
          </w:tcPr>
          <w:p w14:paraId="45B1DA88">
            <w:r>
              <w:rPr>
                <w:b w:val="0"/>
                <w:sz w:val="21"/>
              </w:rPr>
              <w:t>取消订单</w:t>
            </w:r>
          </w:p>
        </w:tc>
        <w:tc>
          <w:tcPr>
            <w:tcW w:w="2076" w:type="dxa"/>
          </w:tcPr>
          <w:p w14:paraId="4567A459">
            <w:r>
              <w:rPr>
                <w:b w:val="0"/>
                <w:sz w:val="21"/>
              </w:rPr>
              <w:t>ENC_UC_ORDER_02</w:t>
            </w:r>
          </w:p>
        </w:tc>
        <w:tc>
          <w:tcPr>
            <w:tcW w:w="2076" w:type="dxa"/>
          </w:tcPr>
          <w:p w14:paraId="670B466D">
            <w:r>
              <w:rPr>
                <w:b w:val="0"/>
                <w:sz w:val="21"/>
              </w:rPr>
              <w:t>用户主动取消待支付订单, 释放座位</w:t>
            </w:r>
          </w:p>
        </w:tc>
      </w:tr>
      <w:tr w14:paraId="78E86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F3608A5">
            <w:r>
              <w:rPr>
                <w:b w:val="0"/>
                <w:sz w:val="21"/>
              </w:rPr>
              <w:t>11</w:t>
            </w:r>
          </w:p>
        </w:tc>
        <w:tc>
          <w:tcPr>
            <w:tcW w:w="2076" w:type="dxa"/>
          </w:tcPr>
          <w:p w14:paraId="3B903BE4">
            <w:r>
              <w:rPr>
                <w:b w:val="0"/>
                <w:sz w:val="21"/>
              </w:rPr>
              <w:t>模拟支付</w:t>
            </w:r>
          </w:p>
        </w:tc>
        <w:tc>
          <w:tcPr>
            <w:tcW w:w="2076" w:type="dxa"/>
          </w:tcPr>
          <w:p w14:paraId="57CEF8C8">
            <w:r>
              <w:rPr>
                <w:b w:val="0"/>
                <w:sz w:val="21"/>
              </w:rPr>
              <w:t>ENC_UC_PAY_01</w:t>
            </w:r>
          </w:p>
        </w:tc>
        <w:tc>
          <w:tcPr>
            <w:tcW w:w="2076" w:type="dxa"/>
          </w:tcPr>
          <w:p w14:paraId="5DF1D71C">
            <w:r>
              <w:rPr>
                <w:b w:val="0"/>
                <w:sz w:val="21"/>
              </w:rPr>
              <w:t>用户在倒计时内完成支付模拟, 订单状态 PENDING_PAYMENT→PAID</w:t>
            </w:r>
          </w:p>
        </w:tc>
      </w:tr>
      <w:tr w14:paraId="5ADDD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ECF7056">
            <w:r>
              <w:rPr>
                <w:b w:val="0"/>
                <w:sz w:val="21"/>
              </w:rPr>
              <w:t>12</w:t>
            </w:r>
          </w:p>
        </w:tc>
        <w:tc>
          <w:tcPr>
            <w:tcW w:w="2076" w:type="dxa"/>
          </w:tcPr>
          <w:p w14:paraId="6DED4607">
            <w:r>
              <w:rPr>
                <w:b w:val="0"/>
                <w:sz w:val="21"/>
              </w:rPr>
              <w:t>查看我的订单</w:t>
            </w:r>
          </w:p>
        </w:tc>
        <w:tc>
          <w:tcPr>
            <w:tcW w:w="2076" w:type="dxa"/>
          </w:tcPr>
          <w:p w14:paraId="4C163A14">
            <w:r>
              <w:rPr>
                <w:b w:val="0"/>
                <w:sz w:val="21"/>
              </w:rPr>
              <w:t>ENC_UC_ORDER_03</w:t>
            </w:r>
          </w:p>
        </w:tc>
        <w:tc>
          <w:tcPr>
            <w:tcW w:w="2076" w:type="dxa"/>
          </w:tcPr>
          <w:p w14:paraId="72613740">
            <w:r>
              <w:rPr>
                <w:b w:val="0"/>
                <w:sz w:val="21"/>
              </w:rPr>
              <w:t>用户分页查看本人的全部订单及当前状态</w:t>
            </w:r>
          </w:p>
        </w:tc>
      </w:tr>
      <w:tr w14:paraId="0A91E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AE77FF0">
            <w:r>
              <w:rPr>
                <w:b w:val="0"/>
                <w:sz w:val="21"/>
              </w:rPr>
              <w:t>13</w:t>
            </w:r>
          </w:p>
        </w:tc>
        <w:tc>
          <w:tcPr>
            <w:tcW w:w="2076" w:type="dxa"/>
          </w:tcPr>
          <w:p w14:paraId="1BD6DB18">
            <w:r>
              <w:rPr>
                <w:b w:val="0"/>
                <w:sz w:val="21"/>
              </w:rPr>
              <w:t>查看电子票</w:t>
            </w:r>
          </w:p>
        </w:tc>
        <w:tc>
          <w:tcPr>
            <w:tcW w:w="2076" w:type="dxa"/>
          </w:tcPr>
          <w:p w14:paraId="30DE1E5C">
            <w:r>
              <w:rPr>
                <w:b w:val="0"/>
                <w:sz w:val="21"/>
              </w:rPr>
              <w:t>ENC_UC_PAY_02</w:t>
            </w:r>
          </w:p>
        </w:tc>
        <w:tc>
          <w:tcPr>
            <w:tcW w:w="2076" w:type="dxa"/>
          </w:tcPr>
          <w:p w14:paraId="26CBFF77">
            <w:r>
              <w:rPr>
                <w:b w:val="0"/>
                <w:sz w:val="21"/>
              </w:rPr>
              <w:t>支付成功后查看票号、二维码模拟码与座位信息</w:t>
            </w:r>
          </w:p>
        </w:tc>
      </w:tr>
      <w:tr w14:paraId="08E77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946C686">
            <w:r>
              <w:rPr>
                <w:b w:val="0"/>
                <w:sz w:val="21"/>
              </w:rPr>
              <w:t>14</w:t>
            </w:r>
          </w:p>
        </w:tc>
        <w:tc>
          <w:tcPr>
            <w:tcW w:w="2076" w:type="dxa"/>
          </w:tcPr>
          <w:p w14:paraId="37B89C97">
            <w:r>
              <w:rPr>
                <w:b w:val="0"/>
                <w:sz w:val="21"/>
              </w:rPr>
              <w:t>演出分类管理</w:t>
            </w:r>
          </w:p>
        </w:tc>
        <w:tc>
          <w:tcPr>
            <w:tcW w:w="2076" w:type="dxa"/>
          </w:tcPr>
          <w:p w14:paraId="62803547">
            <w:r>
              <w:rPr>
                <w:b w:val="0"/>
                <w:sz w:val="21"/>
              </w:rPr>
              <w:t>ENC_UC_SHOW_00</w:t>
            </w:r>
          </w:p>
        </w:tc>
        <w:tc>
          <w:tcPr>
            <w:tcW w:w="2076" w:type="dxa"/>
          </w:tcPr>
          <w:p w14:paraId="5D1651C9">
            <w:r>
              <w:rPr>
                <w:b w:val="0"/>
                <w:sz w:val="21"/>
              </w:rPr>
              <w:t>票务管理员维护分类树, 含新增/修改/启停</w:t>
            </w:r>
          </w:p>
        </w:tc>
      </w:tr>
      <w:tr w14:paraId="531D9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8C62565">
            <w:r>
              <w:rPr>
                <w:b w:val="0"/>
                <w:sz w:val="21"/>
              </w:rPr>
              <w:t>15</w:t>
            </w:r>
          </w:p>
        </w:tc>
        <w:tc>
          <w:tcPr>
            <w:tcW w:w="2076" w:type="dxa"/>
          </w:tcPr>
          <w:p w14:paraId="3814E71F">
            <w:r>
              <w:rPr>
                <w:b w:val="0"/>
                <w:sz w:val="21"/>
              </w:rPr>
              <w:t>剧目信息管理</w:t>
            </w:r>
          </w:p>
        </w:tc>
        <w:tc>
          <w:tcPr>
            <w:tcW w:w="2076" w:type="dxa"/>
          </w:tcPr>
          <w:p w14:paraId="1538A94A">
            <w:r>
              <w:rPr>
                <w:b w:val="0"/>
                <w:sz w:val="21"/>
              </w:rPr>
              <w:t>ENC_UC_SHOW_01</w:t>
            </w:r>
          </w:p>
        </w:tc>
        <w:tc>
          <w:tcPr>
            <w:tcW w:w="2076" w:type="dxa"/>
          </w:tcPr>
          <w:p w14:paraId="4E9522F4">
            <w:r>
              <w:rPr>
                <w:b w:val="0"/>
                <w:sz w:val="21"/>
              </w:rPr>
              <w:t>票务管理员维护剧目档案与海报</w:t>
            </w:r>
          </w:p>
        </w:tc>
      </w:tr>
      <w:tr w14:paraId="7CCB4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6034C88">
            <w:r>
              <w:rPr>
                <w:b w:val="0"/>
                <w:sz w:val="21"/>
              </w:rPr>
              <w:t>16</w:t>
            </w:r>
          </w:p>
        </w:tc>
        <w:tc>
          <w:tcPr>
            <w:tcW w:w="2076" w:type="dxa"/>
          </w:tcPr>
          <w:p w14:paraId="7D0C7DF3">
            <w:r>
              <w:rPr>
                <w:b w:val="0"/>
                <w:sz w:val="21"/>
              </w:rPr>
              <w:t>演出厅管理</w:t>
            </w:r>
          </w:p>
        </w:tc>
        <w:tc>
          <w:tcPr>
            <w:tcW w:w="2076" w:type="dxa"/>
          </w:tcPr>
          <w:p w14:paraId="1F10CE5A">
            <w:r>
              <w:rPr>
                <w:b w:val="0"/>
                <w:sz w:val="21"/>
              </w:rPr>
              <w:t>ENC_UC_HALL_01</w:t>
            </w:r>
          </w:p>
        </w:tc>
        <w:tc>
          <w:tcPr>
            <w:tcW w:w="2076" w:type="dxa"/>
          </w:tcPr>
          <w:p w14:paraId="12822F35">
            <w:r>
              <w:rPr>
                <w:b w:val="0"/>
                <w:sz w:val="21"/>
              </w:rPr>
              <w:t>票务管理员维护演出厅基本信息</w:t>
            </w:r>
          </w:p>
        </w:tc>
      </w:tr>
      <w:tr w14:paraId="48A60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A7EC8AE">
            <w:r>
              <w:rPr>
                <w:b w:val="0"/>
                <w:sz w:val="21"/>
              </w:rPr>
              <w:t>17</w:t>
            </w:r>
          </w:p>
        </w:tc>
        <w:tc>
          <w:tcPr>
            <w:tcW w:w="2076" w:type="dxa"/>
          </w:tcPr>
          <w:p w14:paraId="1EA5B12D">
            <w:r>
              <w:rPr>
                <w:b w:val="0"/>
                <w:sz w:val="21"/>
              </w:rPr>
              <w:t>座位布局管理</w:t>
            </w:r>
          </w:p>
        </w:tc>
        <w:tc>
          <w:tcPr>
            <w:tcW w:w="2076" w:type="dxa"/>
          </w:tcPr>
          <w:p w14:paraId="575C82CE">
            <w:r>
              <w:rPr>
                <w:b w:val="0"/>
                <w:sz w:val="21"/>
              </w:rPr>
              <w:t>ENC_UC_HALL_02</w:t>
            </w:r>
          </w:p>
        </w:tc>
        <w:tc>
          <w:tcPr>
            <w:tcW w:w="2076" w:type="dxa"/>
          </w:tcPr>
          <w:p w14:paraId="0BD3A141">
            <w:r>
              <w:rPr>
                <w:b w:val="0"/>
                <w:sz w:val="21"/>
              </w:rPr>
              <w:t>票务管理员维护演出厅座位行列与区域</w:t>
            </w:r>
          </w:p>
        </w:tc>
      </w:tr>
      <w:tr w14:paraId="398AF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38D992C">
            <w:r>
              <w:rPr>
                <w:b w:val="0"/>
                <w:sz w:val="21"/>
              </w:rPr>
              <w:t>18</w:t>
            </w:r>
          </w:p>
        </w:tc>
        <w:tc>
          <w:tcPr>
            <w:tcW w:w="2076" w:type="dxa"/>
          </w:tcPr>
          <w:p w14:paraId="45E688EC">
            <w:r>
              <w:rPr>
                <w:b w:val="0"/>
                <w:sz w:val="21"/>
              </w:rPr>
              <w:t>场次排期管理</w:t>
            </w:r>
          </w:p>
        </w:tc>
        <w:tc>
          <w:tcPr>
            <w:tcW w:w="2076" w:type="dxa"/>
          </w:tcPr>
          <w:p w14:paraId="5E096B95">
            <w:r>
              <w:rPr>
                <w:b w:val="0"/>
                <w:sz w:val="21"/>
              </w:rPr>
              <w:t>ENC_UC_SCH_01</w:t>
            </w:r>
          </w:p>
        </w:tc>
        <w:tc>
          <w:tcPr>
            <w:tcW w:w="2076" w:type="dxa"/>
          </w:tcPr>
          <w:p w14:paraId="0C785FD9">
            <w:r>
              <w:rPr>
                <w:b w:val="0"/>
                <w:sz w:val="21"/>
              </w:rPr>
              <w:t>票务管理员为剧目创建场次并选定演出厅与开演时间</w:t>
            </w:r>
          </w:p>
        </w:tc>
      </w:tr>
      <w:tr w14:paraId="1435D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5CDDEEC">
            <w:r>
              <w:rPr>
                <w:b w:val="0"/>
                <w:sz w:val="21"/>
              </w:rPr>
              <w:t>19</w:t>
            </w:r>
          </w:p>
        </w:tc>
        <w:tc>
          <w:tcPr>
            <w:tcW w:w="2076" w:type="dxa"/>
          </w:tcPr>
          <w:p w14:paraId="17F3FB59">
            <w:r>
              <w:rPr>
                <w:b w:val="0"/>
                <w:sz w:val="21"/>
              </w:rPr>
              <w:t>场次座位票池管理</w:t>
            </w:r>
          </w:p>
        </w:tc>
        <w:tc>
          <w:tcPr>
            <w:tcW w:w="2076" w:type="dxa"/>
          </w:tcPr>
          <w:p w14:paraId="1D145A74">
            <w:r>
              <w:rPr>
                <w:b w:val="0"/>
                <w:sz w:val="21"/>
              </w:rPr>
              <w:t>ENC_UC_SCH_02</w:t>
            </w:r>
          </w:p>
        </w:tc>
        <w:tc>
          <w:tcPr>
            <w:tcW w:w="2076" w:type="dxa"/>
          </w:tcPr>
          <w:p w14:paraId="4BA71C97">
            <w:r>
              <w:rPr>
                <w:b w:val="0"/>
                <w:sz w:val="21"/>
              </w:rPr>
              <w:t>基于演出厅座位生成场次专属票池, 支持票价分区</w:t>
            </w:r>
          </w:p>
        </w:tc>
      </w:tr>
      <w:tr w14:paraId="0569F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ED6758B">
            <w:r>
              <w:rPr>
                <w:b w:val="0"/>
                <w:sz w:val="21"/>
              </w:rPr>
              <w:t>20</w:t>
            </w:r>
          </w:p>
        </w:tc>
        <w:tc>
          <w:tcPr>
            <w:tcW w:w="2076" w:type="dxa"/>
          </w:tcPr>
          <w:p w14:paraId="190751C1">
            <w:r>
              <w:rPr>
                <w:b w:val="0"/>
                <w:sz w:val="21"/>
              </w:rPr>
              <w:t>订单查询与管理</w:t>
            </w:r>
          </w:p>
        </w:tc>
        <w:tc>
          <w:tcPr>
            <w:tcW w:w="2076" w:type="dxa"/>
          </w:tcPr>
          <w:p w14:paraId="4504B565">
            <w:r>
              <w:rPr>
                <w:b w:val="0"/>
                <w:sz w:val="21"/>
              </w:rPr>
              <w:t>ENC_UC_ORDER_04</w:t>
            </w:r>
          </w:p>
        </w:tc>
        <w:tc>
          <w:tcPr>
            <w:tcW w:w="2076" w:type="dxa"/>
          </w:tcPr>
          <w:p w14:paraId="045CA402">
            <w:r>
              <w:rPr>
                <w:b w:val="0"/>
                <w:sz w:val="21"/>
              </w:rPr>
              <w:t>票务管理员检索和处理订单, 含异常订单</w:t>
            </w:r>
          </w:p>
        </w:tc>
      </w:tr>
      <w:tr w14:paraId="454D7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6393892">
            <w:r>
              <w:rPr>
                <w:b w:val="0"/>
                <w:sz w:val="21"/>
              </w:rPr>
              <w:t>21</w:t>
            </w:r>
          </w:p>
        </w:tc>
        <w:tc>
          <w:tcPr>
            <w:tcW w:w="2076" w:type="dxa"/>
          </w:tcPr>
          <w:p w14:paraId="53F2B845">
            <w:r>
              <w:rPr>
                <w:b w:val="0"/>
                <w:sz w:val="21"/>
              </w:rPr>
              <w:t>公告管理</w:t>
            </w:r>
          </w:p>
        </w:tc>
        <w:tc>
          <w:tcPr>
            <w:tcW w:w="2076" w:type="dxa"/>
          </w:tcPr>
          <w:p w14:paraId="4321E521">
            <w:r>
              <w:rPr>
                <w:b w:val="0"/>
                <w:sz w:val="21"/>
              </w:rPr>
              <w:t>ENC_UC_ANN_01</w:t>
            </w:r>
          </w:p>
        </w:tc>
        <w:tc>
          <w:tcPr>
            <w:tcW w:w="2076" w:type="dxa"/>
          </w:tcPr>
          <w:p w14:paraId="5D6DDEFA">
            <w:r>
              <w:rPr>
                <w:b w:val="0"/>
                <w:sz w:val="21"/>
              </w:rPr>
              <w:t>票务管理员发布、修改、下线剧院公告</w:t>
            </w:r>
          </w:p>
        </w:tc>
      </w:tr>
      <w:tr w14:paraId="2E51D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61EF6E7">
            <w:r>
              <w:rPr>
                <w:b w:val="0"/>
                <w:sz w:val="21"/>
              </w:rPr>
              <w:t>22</w:t>
            </w:r>
          </w:p>
        </w:tc>
        <w:tc>
          <w:tcPr>
            <w:tcW w:w="2076" w:type="dxa"/>
          </w:tcPr>
          <w:p w14:paraId="04A31D6F">
            <w:r>
              <w:rPr>
                <w:b w:val="0"/>
                <w:sz w:val="21"/>
              </w:rPr>
              <w:t>查看数据看板</w:t>
            </w:r>
          </w:p>
        </w:tc>
        <w:tc>
          <w:tcPr>
            <w:tcW w:w="2076" w:type="dxa"/>
          </w:tcPr>
          <w:p w14:paraId="7AB2D690">
            <w:r>
              <w:rPr>
                <w:b w:val="0"/>
                <w:sz w:val="21"/>
              </w:rPr>
              <w:t>ENC_UC_STAT_01</w:t>
            </w:r>
          </w:p>
        </w:tc>
        <w:tc>
          <w:tcPr>
            <w:tcW w:w="2076" w:type="dxa"/>
          </w:tcPr>
          <w:p w14:paraId="134E7677">
            <w:r>
              <w:rPr>
                <w:b w:val="0"/>
                <w:sz w:val="21"/>
              </w:rPr>
              <w:t>票务管理员查看销售额、订单数、上座率、热门演出等核心指标</w:t>
            </w:r>
          </w:p>
        </w:tc>
      </w:tr>
      <w:tr w14:paraId="201CE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AFCDA0B">
            <w:r>
              <w:rPr>
                <w:b w:val="0"/>
                <w:sz w:val="21"/>
              </w:rPr>
              <w:t>23</w:t>
            </w:r>
          </w:p>
        </w:tc>
        <w:tc>
          <w:tcPr>
            <w:tcW w:w="2076" w:type="dxa"/>
          </w:tcPr>
          <w:p w14:paraId="6416AC38">
            <w:r>
              <w:rPr>
                <w:b w:val="0"/>
                <w:sz w:val="21"/>
              </w:rPr>
              <w:t>检票核销</w:t>
            </w:r>
          </w:p>
        </w:tc>
        <w:tc>
          <w:tcPr>
            <w:tcW w:w="2076" w:type="dxa"/>
          </w:tcPr>
          <w:p w14:paraId="1ACBB13F">
            <w:r>
              <w:rPr>
                <w:b w:val="0"/>
                <w:sz w:val="21"/>
              </w:rPr>
              <w:t>ENC_UC_CHECKIN_01</w:t>
            </w:r>
          </w:p>
        </w:tc>
        <w:tc>
          <w:tcPr>
            <w:tcW w:w="2076" w:type="dxa"/>
          </w:tcPr>
          <w:p w14:paraId="333F2E77">
            <w:r>
              <w:rPr>
                <w:b w:val="0"/>
                <w:sz w:val="21"/>
              </w:rPr>
              <w:t>检票员通过票号或二维码模拟码核销电子票并允许入场</w:t>
            </w:r>
          </w:p>
        </w:tc>
      </w:tr>
      <w:tr w14:paraId="4A840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9063D55">
            <w:r>
              <w:rPr>
                <w:b w:val="0"/>
                <w:sz w:val="21"/>
              </w:rPr>
              <w:t>24</w:t>
            </w:r>
          </w:p>
        </w:tc>
        <w:tc>
          <w:tcPr>
            <w:tcW w:w="2076" w:type="dxa"/>
          </w:tcPr>
          <w:p w14:paraId="1F69AA57">
            <w:r>
              <w:rPr>
                <w:b w:val="0"/>
                <w:sz w:val="21"/>
              </w:rPr>
              <w:t>异常票据处理</w:t>
            </w:r>
          </w:p>
        </w:tc>
        <w:tc>
          <w:tcPr>
            <w:tcW w:w="2076" w:type="dxa"/>
          </w:tcPr>
          <w:p w14:paraId="729460CA">
            <w:r>
              <w:rPr>
                <w:b w:val="0"/>
                <w:sz w:val="21"/>
              </w:rPr>
              <w:t>ENC_UC_CHECKIN_02</w:t>
            </w:r>
          </w:p>
        </w:tc>
        <w:tc>
          <w:tcPr>
            <w:tcW w:w="2076" w:type="dxa"/>
          </w:tcPr>
          <w:p w14:paraId="4097F140">
            <w:r>
              <w:rPr>
                <w:b w:val="0"/>
                <w:sz w:val="21"/>
              </w:rPr>
              <w:t>检票员对重复检票、作废票、非当前场次票据进行异常处理</w:t>
            </w:r>
          </w:p>
        </w:tc>
      </w:tr>
      <w:tr w14:paraId="7C9E3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51493F7">
            <w:r>
              <w:rPr>
                <w:b w:val="0"/>
                <w:sz w:val="21"/>
              </w:rPr>
              <w:t>25</w:t>
            </w:r>
          </w:p>
        </w:tc>
        <w:tc>
          <w:tcPr>
            <w:tcW w:w="2076" w:type="dxa"/>
          </w:tcPr>
          <w:p w14:paraId="729241FF">
            <w:r>
              <w:rPr>
                <w:b w:val="0"/>
                <w:sz w:val="21"/>
              </w:rPr>
              <w:t>员工账号管理</w:t>
            </w:r>
          </w:p>
        </w:tc>
        <w:tc>
          <w:tcPr>
            <w:tcW w:w="2076" w:type="dxa"/>
          </w:tcPr>
          <w:p w14:paraId="0EC7978E">
            <w:r>
              <w:rPr>
                <w:b w:val="0"/>
                <w:sz w:val="21"/>
              </w:rPr>
              <w:t>ENC_UC_SYS_01</w:t>
            </w:r>
          </w:p>
        </w:tc>
        <w:tc>
          <w:tcPr>
            <w:tcW w:w="2076" w:type="dxa"/>
          </w:tcPr>
          <w:p w14:paraId="23259D32">
            <w:r>
              <w:rPr>
                <w:b w:val="0"/>
                <w:sz w:val="21"/>
              </w:rPr>
              <w:t>系统管理员创建、禁用、重置员工账号 (口令 BCrypt)</w:t>
            </w:r>
          </w:p>
        </w:tc>
      </w:tr>
      <w:tr w14:paraId="3ED59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3D2339A">
            <w:r>
              <w:rPr>
                <w:b w:val="0"/>
                <w:sz w:val="21"/>
              </w:rPr>
              <w:t>26</w:t>
            </w:r>
          </w:p>
        </w:tc>
        <w:tc>
          <w:tcPr>
            <w:tcW w:w="2076" w:type="dxa"/>
          </w:tcPr>
          <w:p w14:paraId="3C894351">
            <w:r>
              <w:rPr>
                <w:b w:val="0"/>
                <w:sz w:val="21"/>
              </w:rPr>
              <w:t>角色分配</w:t>
            </w:r>
          </w:p>
        </w:tc>
        <w:tc>
          <w:tcPr>
            <w:tcW w:w="2076" w:type="dxa"/>
          </w:tcPr>
          <w:p w14:paraId="5176F12E">
            <w:r>
              <w:rPr>
                <w:b w:val="0"/>
                <w:sz w:val="21"/>
              </w:rPr>
              <w:t>ENC_UC_SYS_02</w:t>
            </w:r>
          </w:p>
        </w:tc>
        <w:tc>
          <w:tcPr>
            <w:tcW w:w="2076" w:type="dxa"/>
          </w:tcPr>
          <w:p w14:paraId="57C54FE1">
            <w:r>
              <w:rPr>
                <w:b w:val="0"/>
                <w:sz w:val="21"/>
              </w:rPr>
              <w:t>系统管理员为员工账号分配 user / admin / checker / sysadmin 角色 (role 单列)</w:t>
            </w:r>
          </w:p>
        </w:tc>
      </w:tr>
      <w:tr w14:paraId="7688A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0122E56">
            <w:r>
              <w:rPr>
                <w:b w:val="0"/>
                <w:sz w:val="21"/>
              </w:rPr>
              <w:t>27</w:t>
            </w:r>
          </w:p>
        </w:tc>
        <w:tc>
          <w:tcPr>
            <w:tcW w:w="2076" w:type="dxa"/>
          </w:tcPr>
          <w:p w14:paraId="075A8EED">
            <w:r>
              <w:rPr>
                <w:b w:val="0"/>
                <w:sz w:val="21"/>
              </w:rPr>
              <w:t>区域购票 (ZONED/MIXED)</w:t>
            </w:r>
          </w:p>
        </w:tc>
        <w:tc>
          <w:tcPr>
            <w:tcW w:w="2076" w:type="dxa"/>
          </w:tcPr>
          <w:p w14:paraId="7A7EF7D8">
            <w:r>
              <w:rPr>
                <w:b w:val="0"/>
                <w:sz w:val="21"/>
              </w:rPr>
              <w:t>ENC_UC_ORDER_05</w:t>
            </w:r>
          </w:p>
        </w:tc>
        <w:tc>
          <w:tcPr>
            <w:tcW w:w="2076" w:type="dxa"/>
          </w:tcPr>
          <w:p w14:paraId="7CC38C77">
            <w:r>
              <w:rPr>
                <w:b w:val="0"/>
                <w:sz w:val="21"/>
              </w:rPr>
              <w:t>注册用户在 ZONED / MIXED 场次选定区域与张数 (1~4) 购票, 区域库存原子扣减防超卖</w:t>
            </w:r>
          </w:p>
        </w:tc>
      </w:tr>
      <w:tr w14:paraId="2E985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DC03662">
            <w:r>
              <w:rPr>
                <w:b w:val="0"/>
                <w:sz w:val="21"/>
              </w:rPr>
              <w:t>28</w:t>
            </w:r>
          </w:p>
        </w:tc>
        <w:tc>
          <w:tcPr>
            <w:tcW w:w="2076" w:type="dxa"/>
          </w:tcPr>
          <w:p w14:paraId="5FFD3C07">
            <w:r>
              <w:rPr>
                <w:b w:val="0"/>
                <w:sz w:val="21"/>
              </w:rPr>
              <w:t>舞台视角预览</w:t>
            </w:r>
          </w:p>
        </w:tc>
        <w:tc>
          <w:tcPr>
            <w:tcW w:w="2076" w:type="dxa"/>
          </w:tcPr>
          <w:p w14:paraId="783E1164">
            <w:r>
              <w:rPr>
                <w:b w:val="0"/>
                <w:sz w:val="21"/>
              </w:rPr>
              <w:t>ENC_UC_SEAT_02</w:t>
            </w:r>
          </w:p>
        </w:tc>
        <w:tc>
          <w:tcPr>
            <w:tcW w:w="2076" w:type="dxa"/>
          </w:tcPr>
          <w:p w14:paraId="78FFEF3A">
            <w:r>
              <w:rPr>
                <w:b w:val="0"/>
                <w:sz w:val="21"/>
              </w:rPr>
              <w:t>用户在选座页点击具体座位, 弹出 three.js 3D 场景预览该座位视角</w:t>
            </w:r>
          </w:p>
        </w:tc>
      </w:tr>
      <w:tr w14:paraId="571BF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1D57CE2">
            <w:r>
              <w:rPr>
                <w:b w:val="0"/>
                <w:sz w:val="21"/>
              </w:rPr>
              <w:t>29</w:t>
            </w:r>
          </w:p>
        </w:tc>
        <w:tc>
          <w:tcPr>
            <w:tcW w:w="2076" w:type="dxa"/>
          </w:tcPr>
          <w:p w14:paraId="7ACE7DE1">
            <w:r>
              <w:rPr>
                <w:b w:val="0"/>
                <w:sz w:val="21"/>
              </w:rPr>
              <w:t>拼座邀请</w:t>
            </w:r>
          </w:p>
        </w:tc>
        <w:tc>
          <w:tcPr>
            <w:tcW w:w="2076" w:type="dxa"/>
          </w:tcPr>
          <w:p w14:paraId="2FD346E4">
            <w:r>
              <w:rPr>
                <w:b w:val="0"/>
                <w:sz w:val="21"/>
              </w:rPr>
              <w:t>ENC_UC_SEAT_03</w:t>
            </w:r>
          </w:p>
        </w:tc>
        <w:tc>
          <w:tcPr>
            <w:tcW w:w="2076" w:type="dxa"/>
          </w:tcPr>
          <w:p w14:paraId="081F53B9">
            <w:r>
              <w:rPr>
                <w:b w:val="0"/>
                <w:sz w:val="21"/>
              </w:rPr>
              <w:t>用户生成拼座邀请码, 受邀人加入同场次联合锁座, 发起人合并为一笔订单结算支付</w:t>
            </w:r>
          </w:p>
        </w:tc>
      </w:tr>
      <w:tr w14:paraId="64B10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D39144">
            <w:r>
              <w:rPr>
                <w:b w:val="0"/>
                <w:sz w:val="21"/>
              </w:rPr>
              <w:t>30</w:t>
            </w:r>
          </w:p>
        </w:tc>
        <w:tc>
          <w:tcPr>
            <w:tcW w:w="2076" w:type="dxa"/>
          </w:tcPr>
          <w:p w14:paraId="5EB45C70">
            <w:r>
              <w:rPr>
                <w:b w:val="0"/>
                <w:sz w:val="21"/>
              </w:rPr>
              <w:t>演出智能推荐</w:t>
            </w:r>
          </w:p>
        </w:tc>
        <w:tc>
          <w:tcPr>
            <w:tcW w:w="2076" w:type="dxa"/>
          </w:tcPr>
          <w:p w14:paraId="7505A04A">
            <w:r>
              <w:rPr>
                <w:b w:val="0"/>
                <w:sz w:val="21"/>
              </w:rPr>
              <w:t>ENC_UC_REC_01</w:t>
            </w:r>
          </w:p>
        </w:tc>
        <w:tc>
          <w:tcPr>
            <w:tcW w:w="2076" w:type="dxa"/>
          </w:tcPr>
          <w:p w14:paraId="0444D7F6">
            <w:r>
              <w:rPr>
                <w:b w:val="0"/>
                <w:sz w:val="21"/>
              </w:rPr>
              <w:t>首页基于后端规则排序生成全局 Top8 推荐 (在售 / 销量 / 营收 / 权重 / 新近), 对所有用户一致</w:t>
            </w:r>
          </w:p>
        </w:tc>
      </w:tr>
      <w:tr w14:paraId="2F8CC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C731FEA">
            <w:r>
              <w:rPr>
                <w:b w:val="0"/>
                <w:sz w:val="21"/>
              </w:rPr>
              <w:t>31</w:t>
            </w:r>
          </w:p>
        </w:tc>
        <w:tc>
          <w:tcPr>
            <w:tcW w:w="2076" w:type="dxa"/>
          </w:tcPr>
          <w:p w14:paraId="6A96F7F0">
            <w:r>
              <w:rPr>
                <w:b w:val="0"/>
                <w:sz w:val="21"/>
              </w:rPr>
              <w:t>批量排期</w:t>
            </w:r>
          </w:p>
        </w:tc>
        <w:tc>
          <w:tcPr>
            <w:tcW w:w="2076" w:type="dxa"/>
          </w:tcPr>
          <w:p w14:paraId="6202E45F">
            <w:r>
              <w:rPr>
                <w:b w:val="0"/>
                <w:sz w:val="21"/>
              </w:rPr>
              <w:t>ENC_UC_SCH_03</w:t>
            </w:r>
          </w:p>
        </w:tc>
        <w:tc>
          <w:tcPr>
            <w:tcW w:w="2076" w:type="dxa"/>
          </w:tcPr>
          <w:p w14:paraId="2212DF8C">
            <w:r>
              <w:rPr>
                <w:b w:val="0"/>
                <w:sz w:val="21"/>
              </w:rPr>
              <w:t>票务管理员基于排期模板批量生成连续场次, 自动校验演出厅时间冲突</w:t>
            </w:r>
          </w:p>
        </w:tc>
      </w:tr>
      <w:tr w14:paraId="22998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94793C8">
            <w:r>
              <w:rPr>
                <w:b w:val="0"/>
                <w:sz w:val="21"/>
              </w:rPr>
              <w:t>32</w:t>
            </w:r>
          </w:p>
        </w:tc>
        <w:tc>
          <w:tcPr>
            <w:tcW w:w="2076" w:type="dxa"/>
          </w:tcPr>
          <w:p w14:paraId="54858A04">
            <w:r>
              <w:rPr>
                <w:b w:val="0"/>
                <w:sz w:val="21"/>
              </w:rPr>
              <w:t>退票/改签申请</w:t>
            </w:r>
          </w:p>
        </w:tc>
        <w:tc>
          <w:tcPr>
            <w:tcW w:w="2076" w:type="dxa"/>
          </w:tcPr>
          <w:p w14:paraId="664F6D76">
            <w:r>
              <w:rPr>
                <w:b w:val="0"/>
                <w:sz w:val="21"/>
              </w:rPr>
              <w:t>ENC_UC_AFTERSALE_01</w:t>
            </w:r>
          </w:p>
        </w:tc>
        <w:tc>
          <w:tcPr>
            <w:tcW w:w="2076" w:type="dxa"/>
          </w:tcPr>
          <w:p w14:paraId="3353325A">
            <w:r>
              <w:rPr>
                <w:b w:val="0"/>
                <w:sz w:val="21"/>
              </w:rPr>
              <w:t>注册用户在规则允许范围内提交退票或改签申请, 查看处理进度</w:t>
            </w:r>
          </w:p>
        </w:tc>
      </w:tr>
      <w:tr w14:paraId="1C49F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52E1E25">
            <w:r>
              <w:rPr>
                <w:b w:val="0"/>
                <w:sz w:val="21"/>
              </w:rPr>
              <w:t>33</w:t>
            </w:r>
          </w:p>
        </w:tc>
        <w:tc>
          <w:tcPr>
            <w:tcW w:w="2076" w:type="dxa"/>
          </w:tcPr>
          <w:p w14:paraId="2F3115BC">
            <w:r>
              <w:rPr>
                <w:b w:val="0"/>
                <w:sz w:val="21"/>
              </w:rPr>
              <w:t>退改审核</w:t>
            </w:r>
          </w:p>
        </w:tc>
        <w:tc>
          <w:tcPr>
            <w:tcW w:w="2076" w:type="dxa"/>
          </w:tcPr>
          <w:p w14:paraId="1FD63713">
            <w:r>
              <w:rPr>
                <w:b w:val="0"/>
                <w:sz w:val="21"/>
              </w:rPr>
              <w:t>ENC_UC_AFTERSALE_02</w:t>
            </w:r>
          </w:p>
        </w:tc>
        <w:tc>
          <w:tcPr>
            <w:tcW w:w="2076" w:type="dxa"/>
          </w:tcPr>
          <w:p w14:paraId="53C5E960">
            <w:r>
              <w:rPr>
                <w:b w:val="0"/>
                <w:sz w:val="21"/>
              </w:rPr>
              <w:t>票务管理员审核退票/改签申请, 同步更新订单、票据与座位状态</w:t>
            </w:r>
          </w:p>
        </w:tc>
      </w:tr>
      <w:tr w14:paraId="451BA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CB591DF">
            <w:r>
              <w:rPr>
                <w:b w:val="0"/>
                <w:sz w:val="21"/>
              </w:rPr>
              <w:t>34</w:t>
            </w:r>
          </w:p>
        </w:tc>
        <w:tc>
          <w:tcPr>
            <w:tcW w:w="2076" w:type="dxa"/>
          </w:tcPr>
          <w:p w14:paraId="75766DDC">
            <w:r>
              <w:rPr>
                <w:b w:val="0"/>
                <w:sz w:val="21"/>
              </w:rPr>
              <w:t>报表导出</w:t>
            </w:r>
          </w:p>
        </w:tc>
        <w:tc>
          <w:tcPr>
            <w:tcW w:w="2076" w:type="dxa"/>
          </w:tcPr>
          <w:p w14:paraId="11D464F3">
            <w:r>
              <w:rPr>
                <w:b w:val="0"/>
                <w:sz w:val="21"/>
              </w:rPr>
              <w:t>ENC_UC_STAT_02</w:t>
            </w:r>
          </w:p>
        </w:tc>
        <w:tc>
          <w:tcPr>
            <w:tcW w:w="2076" w:type="dxa"/>
          </w:tcPr>
          <w:p w14:paraId="2464A2F1">
            <w:r>
              <w:rPr>
                <w:b w:val="0"/>
                <w:sz w:val="21"/>
              </w:rPr>
              <w:t>票务管理员按时间、剧目、场次导出票房、上座率和检票明细报表</w:t>
            </w:r>
          </w:p>
        </w:tc>
      </w:tr>
      <w:tr w14:paraId="568BE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D85C482">
            <w:r>
              <w:rPr>
                <w:b w:val="0"/>
                <w:sz w:val="21"/>
              </w:rPr>
              <w:t>35</w:t>
            </w:r>
          </w:p>
        </w:tc>
        <w:tc>
          <w:tcPr>
            <w:tcW w:w="2076" w:type="dxa"/>
          </w:tcPr>
          <w:p w14:paraId="7834656C">
            <w:r>
              <w:rPr>
                <w:b w:val="0"/>
                <w:sz w:val="21"/>
              </w:rPr>
              <w:t>离线检票缓存</w:t>
            </w:r>
          </w:p>
        </w:tc>
        <w:tc>
          <w:tcPr>
            <w:tcW w:w="2076" w:type="dxa"/>
          </w:tcPr>
          <w:p w14:paraId="4AA1ED92">
            <w:r>
              <w:rPr>
                <w:b w:val="0"/>
                <w:sz w:val="21"/>
              </w:rPr>
              <w:t>ENC_UC_CHECKIN_03</w:t>
            </w:r>
          </w:p>
        </w:tc>
        <w:tc>
          <w:tcPr>
            <w:tcW w:w="2076" w:type="dxa"/>
          </w:tcPr>
          <w:p w14:paraId="6FB1D167">
            <w:r>
              <w:rPr>
                <w:b w:val="0"/>
                <w:sz w:val="21"/>
              </w:rPr>
              <w:t>检票端弱网时缓存本地核销记录, 恢复网络后进行冲突检测与同步</w:t>
            </w:r>
          </w:p>
        </w:tc>
      </w:tr>
      <w:tr w14:paraId="64E83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B9AEE6F">
            <w:r>
              <w:rPr>
                <w:b w:val="0"/>
                <w:sz w:val="21"/>
              </w:rPr>
              <w:t>36</w:t>
            </w:r>
          </w:p>
        </w:tc>
        <w:tc>
          <w:tcPr>
            <w:tcW w:w="2076" w:type="dxa"/>
          </w:tcPr>
          <w:p w14:paraId="511C943D">
            <w:r>
              <w:rPr>
                <w:b w:val="0"/>
                <w:sz w:val="21"/>
              </w:rPr>
              <w:t>优惠策略管理</w:t>
            </w:r>
          </w:p>
        </w:tc>
        <w:tc>
          <w:tcPr>
            <w:tcW w:w="2076" w:type="dxa"/>
          </w:tcPr>
          <w:p w14:paraId="749D235B">
            <w:r>
              <w:rPr>
                <w:b w:val="0"/>
                <w:sz w:val="21"/>
              </w:rPr>
              <w:t>ENC_UC_MKT_01</w:t>
            </w:r>
          </w:p>
        </w:tc>
        <w:tc>
          <w:tcPr>
            <w:tcW w:w="2076" w:type="dxa"/>
          </w:tcPr>
          <w:p w14:paraId="3F626F1B">
            <w:r>
              <w:rPr>
                <w:b w:val="0"/>
                <w:sz w:val="21"/>
              </w:rPr>
              <w:t>票务管理员配置早鸟票、学生票、满减等优惠策略, 购票端按规则试算价格</w:t>
            </w:r>
          </w:p>
        </w:tc>
      </w:tr>
    </w:tbl>
    <w:p w14:paraId="1F890D0B">
      <w:r>
        <w:t>表 7 列出系统用例, 覆盖游客、注册用户、票务管理员、检票员、系统管理员 5 类参与者。其中 4.3 ~ 4.13 共 11 个核心用例按模板字段展开详述 (含区域售票与拼座邀请); 批量排期、退改处理、报表导出、离线检票缓存、优惠策略等为面向真实运营的规划用例。各参与者对应的 UML 用例图见图6 ~ 图11。</w:t>
      </w:r>
    </w:p>
    <w:p w14:paraId="078E03FA">
      <w:r>
        <w:t>ENCORE 票务管理系统的总用例图如图6 所示, 5 类参与者与系统的关键用例一览无遗.</w:t>
      </w:r>
    </w:p>
    <w:p w14:paraId="47761D6F">
      <w:pPr>
        <w:jc w:val="center"/>
      </w:pPr>
      <w:r>
        <w:drawing>
          <wp:inline distT="0" distB="0" distL="114300" distR="114300">
            <wp:extent cx="5039995" cy="6813472"/>
            <wp:effectExtent l="0" t="0" r="19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039995" cy="6813472"/>
                    </a:xfrm>
                    <a:prstGeom prst="rect">
                      <a:avLst/>
                    </a:prstGeom>
                  </pic:spPr>
                </pic:pic>
              </a:graphicData>
            </a:graphic>
          </wp:inline>
        </w:drawing>
      </w:r>
    </w:p>
    <w:p w14:paraId="248A0979">
      <w:pPr>
        <w:pStyle w:val="40"/>
        <w:jc w:val="center"/>
      </w:pPr>
      <w:r>
        <w:t>图6  ENCORE 票务管理系统总用例图</w:t>
      </w:r>
    </w:p>
    <w:p w14:paraId="4560C6EE">
      <w:r>
        <w:t>为便于聚焦各类参与者, 下面分别给出游客、注册用户、票务管理员、检票员、系统管理员对应的子用例图.</w:t>
      </w:r>
    </w:p>
    <w:p w14:paraId="6B9DAB82">
      <w:pPr>
        <w:jc w:val="center"/>
      </w:pPr>
      <w:r>
        <w:drawing>
          <wp:inline distT="0" distB="0" distL="114300" distR="114300">
            <wp:extent cx="5039995" cy="3260891"/>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039995" cy="3260891"/>
                    </a:xfrm>
                    <a:prstGeom prst="rect">
                      <a:avLst/>
                    </a:prstGeom>
                  </pic:spPr>
                </pic:pic>
              </a:graphicData>
            </a:graphic>
          </wp:inline>
        </w:drawing>
      </w:r>
    </w:p>
    <w:p w14:paraId="2A645069">
      <w:pPr>
        <w:pStyle w:val="40"/>
        <w:jc w:val="center"/>
      </w:pPr>
      <w:r>
        <w:t>图7  游客浏览演出用例图</w:t>
      </w:r>
    </w:p>
    <w:p w14:paraId="597FBA0B">
      <w:pPr>
        <w:jc w:val="center"/>
      </w:pPr>
      <w:r>
        <w:drawing>
          <wp:inline distT="0" distB="0" distL="114300" distR="114300">
            <wp:extent cx="5039995" cy="3992663"/>
            <wp:effectExtent l="0" t="0" r="190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039995" cy="3992663"/>
                    </a:xfrm>
                    <a:prstGeom prst="rect">
                      <a:avLst/>
                    </a:prstGeom>
                  </pic:spPr>
                </pic:pic>
              </a:graphicData>
            </a:graphic>
          </wp:inline>
        </w:drawing>
      </w:r>
    </w:p>
    <w:p w14:paraId="0F18604A">
      <w:pPr>
        <w:pStyle w:val="40"/>
        <w:jc w:val="center"/>
      </w:pPr>
      <w:r>
        <w:t>图8  注册用户购票用例图</w:t>
      </w:r>
    </w:p>
    <w:p w14:paraId="5208E12A">
      <w:pPr>
        <w:jc w:val="center"/>
      </w:pPr>
      <w:r>
        <w:drawing>
          <wp:inline distT="0" distB="0" distL="114300" distR="114300">
            <wp:extent cx="5039995" cy="4718887"/>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5039995" cy="4718887"/>
                    </a:xfrm>
                    <a:prstGeom prst="rect">
                      <a:avLst/>
                    </a:prstGeom>
                  </pic:spPr>
                </pic:pic>
              </a:graphicData>
            </a:graphic>
          </wp:inline>
        </w:drawing>
      </w:r>
    </w:p>
    <w:p w14:paraId="18F345CA">
      <w:pPr>
        <w:pStyle w:val="40"/>
        <w:jc w:val="center"/>
      </w:pPr>
      <w:r>
        <w:t>图9  票务管理员后台管理用例图</w:t>
      </w:r>
    </w:p>
    <w:p w14:paraId="7C78FBFB">
      <w:pPr>
        <w:jc w:val="center"/>
      </w:pPr>
      <w:r>
        <w:drawing>
          <wp:inline distT="0" distB="0" distL="114300" distR="114300">
            <wp:extent cx="5039995" cy="2299834"/>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stretch>
                      <a:fillRect/>
                    </a:stretch>
                  </pic:blipFill>
                  <pic:spPr>
                    <a:xfrm>
                      <a:off x="0" y="0"/>
                      <a:ext cx="5039995" cy="2299834"/>
                    </a:xfrm>
                    <a:prstGeom prst="rect">
                      <a:avLst/>
                    </a:prstGeom>
                  </pic:spPr>
                </pic:pic>
              </a:graphicData>
            </a:graphic>
          </wp:inline>
        </w:drawing>
      </w:r>
    </w:p>
    <w:p w14:paraId="7D7A3D7E">
      <w:pPr>
        <w:pStyle w:val="40"/>
        <w:jc w:val="center"/>
      </w:pPr>
      <w:r>
        <w:t>图10  检票员检票核销用例图</w:t>
      </w:r>
    </w:p>
    <w:p w14:paraId="12DDDEF8">
      <w:pPr>
        <w:jc w:val="center"/>
      </w:pPr>
      <w:r>
        <w:drawing>
          <wp:inline distT="0" distB="0" distL="114300" distR="114300">
            <wp:extent cx="5039995" cy="2649597"/>
            <wp:effectExtent l="0" t="0" r="190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stretch>
                      <a:fillRect/>
                    </a:stretch>
                  </pic:blipFill>
                  <pic:spPr>
                    <a:xfrm>
                      <a:off x="0" y="0"/>
                      <a:ext cx="5039995" cy="2649597"/>
                    </a:xfrm>
                    <a:prstGeom prst="rect">
                      <a:avLst/>
                    </a:prstGeom>
                  </pic:spPr>
                </pic:pic>
              </a:graphicData>
            </a:graphic>
          </wp:inline>
        </w:drawing>
      </w:r>
    </w:p>
    <w:p w14:paraId="410222D5">
      <w:pPr>
        <w:pStyle w:val="40"/>
        <w:jc w:val="center"/>
      </w:pPr>
      <w:r>
        <w:t>图11  系统管理员账号管理用例图</w:t>
      </w:r>
    </w:p>
    <w:p w14:paraId="4947FC24">
      <w:pPr>
        <w:pStyle w:val="35"/>
        <w:jc w:val="center"/>
      </w:pPr>
      <w:r>
        <w:t>表8  ENCORE 数据库实体说明</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69"/>
        <w:gridCol w:w="2769"/>
        <w:gridCol w:w="2769"/>
      </w:tblGrid>
      <w:tr w14:paraId="5A201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65A4C369">
            <w:pPr>
              <w:jc w:val="center"/>
            </w:pPr>
            <w:r>
              <w:rPr>
                <w:b/>
              </w:rPr>
              <w:t>数据库表名</w:t>
            </w:r>
          </w:p>
        </w:tc>
        <w:tc>
          <w:tcPr>
            <w:tcW w:w="2769" w:type="dxa"/>
          </w:tcPr>
          <w:p w14:paraId="6C430A70">
            <w:pPr>
              <w:jc w:val="center"/>
            </w:pPr>
            <w:r>
              <w:rPr>
                <w:b/>
              </w:rPr>
              <w:t>中文名</w:t>
            </w:r>
          </w:p>
        </w:tc>
        <w:tc>
          <w:tcPr>
            <w:tcW w:w="2769" w:type="dxa"/>
          </w:tcPr>
          <w:p w14:paraId="42257A5A">
            <w:pPr>
              <w:jc w:val="center"/>
            </w:pPr>
            <w:r>
              <w:rPr>
                <w:b/>
              </w:rPr>
              <w:t>用途说明</w:t>
            </w:r>
          </w:p>
        </w:tc>
      </w:tr>
      <w:tr w14:paraId="57DFC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C91A63E">
            <w:r>
              <w:t>user_account</w:t>
            </w:r>
          </w:p>
        </w:tc>
        <w:tc>
          <w:tcPr>
            <w:tcW w:w="2769" w:type="dxa"/>
          </w:tcPr>
          <w:p w14:paraId="1BEECA32">
            <w:r>
              <w:t>用户账号</w:t>
            </w:r>
          </w:p>
        </w:tc>
        <w:tc>
          <w:tcPr>
            <w:tcW w:w="2769" w:type="dxa"/>
          </w:tcPr>
          <w:p w14:paraId="3BC33E69">
            <w:r>
              <w:t>账号 id、username、password (BCrypt 哈希)、role 单列角色、display_name、status; 全部角色与登录鉴权的唯一来源</w:t>
            </w:r>
          </w:p>
        </w:tc>
      </w:tr>
      <w:tr w14:paraId="6FA5D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23720B9">
            <w:r>
              <w:t>encore_show</w:t>
            </w:r>
          </w:p>
        </w:tc>
        <w:tc>
          <w:tcPr>
            <w:tcW w:w="2769" w:type="dxa"/>
          </w:tcPr>
          <w:p w14:paraId="46B137E5">
            <w:r>
              <w:t>剧目信息</w:t>
            </w:r>
          </w:p>
        </w:tc>
        <w:tc>
          <w:tcPr>
            <w:tcW w:w="2769" w:type="dxa"/>
          </w:tcPr>
          <w:p w14:paraId="16805932">
            <w:r>
              <w:t>剧目标题、副标题、海报、简介、时长、分类 category、标签、状态 (ShowStatus)、运营权重 sort_order</w:t>
            </w:r>
          </w:p>
        </w:tc>
      </w:tr>
      <w:tr w14:paraId="15A27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B13EC48">
            <w:r>
              <w:t>venue</w:t>
            </w:r>
          </w:p>
        </w:tc>
        <w:tc>
          <w:tcPr>
            <w:tcW w:w="2769" w:type="dxa"/>
          </w:tcPr>
          <w:p w14:paraId="29F165B3">
            <w:r>
              <w:t>场馆</w:t>
            </w:r>
          </w:p>
        </w:tc>
        <w:tc>
          <w:tcPr>
            <w:tcW w:w="2769" w:type="dxa"/>
          </w:tcPr>
          <w:p w14:paraId="257CB424">
            <w:r>
              <w:t>剧院 / 剧场场馆的名称、城市、地址与状态</w:t>
            </w:r>
          </w:p>
        </w:tc>
      </w:tr>
      <w:tr w14:paraId="122E5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47E71D37">
            <w:r>
              <w:t>venue_hall</w:t>
            </w:r>
          </w:p>
        </w:tc>
        <w:tc>
          <w:tcPr>
            <w:tcW w:w="2769" w:type="dxa"/>
          </w:tcPr>
          <w:p w14:paraId="5AB20F3F">
            <w:r>
              <w:t>演出厅</w:t>
            </w:r>
          </w:p>
        </w:tc>
        <w:tc>
          <w:tcPr>
            <w:tcW w:w="2769" w:type="dxa"/>
          </w:tcPr>
          <w:p w14:paraId="4B5FEE86">
            <w:r>
              <w:t>场馆下演出厅的名称、类型、容量、清场缓冲 clearance_minutes 与默认布局</w:t>
            </w:r>
          </w:p>
        </w:tc>
      </w:tr>
      <w:tr w14:paraId="6125E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3A3DA40">
            <w:r>
              <w:t>seat_layout</w:t>
            </w:r>
          </w:p>
        </w:tc>
        <w:tc>
          <w:tcPr>
            <w:tcW w:w="2769" w:type="dxa"/>
          </w:tcPr>
          <w:p w14:paraId="4F61DA0D">
            <w:r>
              <w:t>座位布局</w:t>
            </w:r>
          </w:p>
        </w:tc>
        <w:tc>
          <w:tcPr>
            <w:tcW w:w="2769" w:type="dxa"/>
          </w:tcPr>
          <w:p w14:paraId="544A9527">
            <w:r>
              <w:t>演出厅可复用座位布局, 含售票模式 ticket_mode、版本号与状态 (DRAFT / PUBLISHED)</w:t>
            </w:r>
          </w:p>
        </w:tc>
      </w:tr>
      <w:tr w14:paraId="7FA0F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CE92B60">
            <w:r>
              <w:t>seat_layout_area</w:t>
            </w:r>
          </w:p>
        </w:tc>
        <w:tc>
          <w:tcPr>
            <w:tcW w:w="2769" w:type="dxa"/>
          </w:tcPr>
          <w:p w14:paraId="46E9146B">
            <w:r>
              <w:t>布局区域</w:t>
            </w:r>
          </w:p>
        </w:tc>
        <w:tc>
          <w:tcPr>
            <w:tcW w:w="2769" w:type="dxa"/>
          </w:tcPr>
          <w:p w14:paraId="790659CA">
            <w:r>
              <w:t>座位布局内区域划分: 名称、编码、类型、是否对号入座 is_seated、容量与基准票价</w:t>
            </w:r>
          </w:p>
        </w:tc>
      </w:tr>
      <w:tr w14:paraId="15371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52FE5D9">
            <w:r>
              <w:t>seat_layout_seat</w:t>
            </w:r>
          </w:p>
        </w:tc>
        <w:tc>
          <w:tcPr>
            <w:tcW w:w="2769" w:type="dxa"/>
          </w:tcPr>
          <w:p w14:paraId="3D6A90C8">
            <w:r>
              <w:t>布局座位</w:t>
            </w:r>
          </w:p>
        </w:tc>
        <w:tc>
          <w:tcPr>
            <w:tcW w:w="2769" w:type="dxa"/>
          </w:tcPr>
          <w:p w14:paraId="549A6458">
            <w:r>
              <w:t>布局内每个座位的编码、行列、分区、状态与票价, 关联布局区域</w:t>
            </w:r>
          </w:p>
        </w:tc>
      </w:tr>
      <w:tr w14:paraId="05125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2FF77F44">
            <w:r>
              <w:t>venue_area</w:t>
            </w:r>
          </w:p>
        </w:tc>
        <w:tc>
          <w:tcPr>
            <w:tcW w:w="2769" w:type="dxa"/>
          </w:tcPr>
          <w:p w14:paraId="2B846610">
            <w:r>
              <w:t>场馆区域</w:t>
            </w:r>
          </w:p>
        </w:tc>
        <w:tc>
          <w:tcPr>
            <w:tcW w:w="2769" w:type="dxa"/>
          </w:tcPr>
          <w:p w14:paraId="6CBDCD84">
            <w:r>
              <w:t>演出厅级售票区域 (ZONED 站票 / 看台) 定义, 维护 available / locked / sold 计数基准</w:t>
            </w:r>
          </w:p>
        </w:tc>
      </w:tr>
      <w:tr w14:paraId="0C64D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6D3D5CBA">
            <w:r>
              <w:t>show_schedule</w:t>
            </w:r>
          </w:p>
        </w:tc>
        <w:tc>
          <w:tcPr>
            <w:tcW w:w="2769" w:type="dxa"/>
          </w:tcPr>
          <w:p w14:paraId="3847016E">
            <w:r>
              <w:t>演出场次</w:t>
            </w:r>
          </w:p>
        </w:tc>
        <w:tc>
          <w:tcPr>
            <w:tcW w:w="2769" w:type="dxa"/>
          </w:tcPr>
          <w:p w14:paraId="7F08A241">
            <w:r>
              <w:t>剧目在某厅某布局的场次: 开演 / 结束 / 售票时间、状态 (ScheduleStatus)、发布状态、售票模式、票价区间</w:t>
            </w:r>
          </w:p>
        </w:tc>
      </w:tr>
      <w:tr w14:paraId="7774F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DD3B815">
            <w:r>
              <w:t>schedule_seat</w:t>
            </w:r>
          </w:p>
        </w:tc>
        <w:tc>
          <w:tcPr>
            <w:tcW w:w="2769" w:type="dxa"/>
          </w:tcPr>
          <w:p w14:paraId="1166B481">
            <w:r>
              <w:t>场次座位票池</w:t>
            </w:r>
          </w:p>
        </w:tc>
        <w:tc>
          <w:tcPr>
            <w:tcW w:w="2769" w:type="dxa"/>
          </w:tcPr>
          <w:p w14:paraId="4FE6D181">
            <w:r>
              <w:t>场次座位副本 (座位码 / 行列 / 分区 / SeatStatus / 票价 / 区域), 售票最小可锁定单元</w:t>
            </w:r>
          </w:p>
        </w:tc>
      </w:tr>
      <w:tr w14:paraId="74BAF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2E8CB887">
            <w:r>
              <w:t>schedule_area_inventory</w:t>
            </w:r>
          </w:p>
        </w:tc>
        <w:tc>
          <w:tcPr>
            <w:tcW w:w="2769" w:type="dxa"/>
          </w:tcPr>
          <w:p w14:paraId="1731E18E">
            <w:r>
              <w:t>场次区域库存</w:t>
            </w:r>
          </w:p>
        </w:tc>
        <w:tc>
          <w:tcPr>
            <w:tcW w:w="2769" w:type="dxa"/>
          </w:tcPr>
          <w:p w14:paraId="2C0706F7">
            <w:r>
              <w:t>区域票 total / available / locked / sold 四原子计数 + 票价 + 状态, 经 CAS 更新维护</w:t>
            </w:r>
          </w:p>
        </w:tc>
      </w:tr>
      <w:tr w14:paraId="5491D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7F31D7F5">
            <w:r>
              <w:t>ticket_order</w:t>
            </w:r>
          </w:p>
        </w:tc>
        <w:tc>
          <w:tcPr>
            <w:tcW w:w="2769" w:type="dxa"/>
          </w:tcPr>
          <w:p w14:paraId="2C0E5FB4">
            <w:r>
              <w:t>订单</w:t>
            </w:r>
          </w:p>
        </w:tc>
        <w:tc>
          <w:tcPr>
            <w:tcW w:w="2769" w:type="dxa"/>
          </w:tcPr>
          <w:p w14:paraId="371D6CDE">
            <w:r>
              <w:t>用户订单: 总金额、状态 (OrderStatus)、15 分钟过期 expires_at、支付时间 paid_at</w:t>
            </w:r>
          </w:p>
        </w:tc>
      </w:tr>
      <w:tr w14:paraId="5EAB9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1A775E54">
            <w:r>
              <w:t>ticket_item</w:t>
            </w:r>
          </w:p>
        </w:tc>
        <w:tc>
          <w:tcPr>
            <w:tcW w:w="2769" w:type="dxa"/>
          </w:tcPr>
          <w:p w14:paraId="68994225">
            <w:r>
              <w:t>票据明细</w:t>
            </w:r>
          </w:p>
        </w:tc>
        <w:tc>
          <w:tcPr>
            <w:tcW w:w="2769" w:type="dxa"/>
          </w:tcPr>
          <w:p w14:paraId="22471692">
            <w:r>
              <w:t>电子票: 票号 ticketCode (全局唯一)、状态 (TicketStatus)、绑定座位 seat_id 或区域库存 area_inventory_id</w:t>
            </w:r>
          </w:p>
        </w:tc>
      </w:tr>
    </w:tbl>
    <w:p w14:paraId="50EB9148">
      <w:r>
        <w:t>数据库实体的关系约束: 一个剧目 (encore_show) 可创建多个演出场次 (show_schedule); 一个场馆 (venue) 含多个演出厅 (venue_hall), 一个演出厅可有多个座位布局 (seat_layout), 一个布局含多个区域 (seat_layout_area) 与座位 (seat_layout_seat); 一个场次基于已发布布局快照生成多条 schedule_seat 与 schedule_area_inventory; 一个订单 (ticket_order) 含一张或多张 ticket_item; 一张 ticket_item 唯一关联一个 schedule_seat 或一条区域库存 (schedule_area_inventory).</w:t>
      </w:r>
    </w:p>
    <w:p w14:paraId="7E94CCCF">
      <w:pPr>
        <w:pStyle w:val="3"/>
      </w:pPr>
      <w:bookmarkStart w:id="20" w:name="_Toc5725"/>
      <w:r>
        <w:t>用户注册与登录（ENC_UC_AUTH_01）</w:t>
      </w:r>
      <w:bookmarkEnd w:id="20"/>
    </w:p>
    <w:p w14:paraId="31018209">
      <w:r>
        <w:t>本节详细描述用户注册与登录功能的需求, 以及用户身份建立过程中的关键交互。</w:t>
      </w:r>
    </w:p>
    <w:p w14:paraId="10152A63">
      <w:pPr>
        <w:pStyle w:val="25"/>
      </w:pPr>
      <w:r>
        <w:rPr>
          <w:color w:val="0000FF"/>
          <w:sz w:val="24"/>
        </w:rPr>
        <w:t>●  用例标示符: ENC_UC_AUTH_01</w:t>
      </w:r>
    </w:p>
    <w:p w14:paraId="301D0B14">
      <w:pPr>
        <w:pStyle w:val="25"/>
      </w:pPr>
      <w:r>
        <w:rPr>
          <w:color w:val="0000FF"/>
          <w:sz w:val="24"/>
        </w:rPr>
        <w:t>●  用例名称: 用户注册与登录</w:t>
      </w:r>
    </w:p>
    <w:p w14:paraId="65A32F11">
      <w:pPr>
        <w:pStyle w:val="25"/>
      </w:pPr>
      <w:r>
        <w:rPr>
          <w:color w:val="0000FF"/>
          <w:sz w:val="24"/>
        </w:rPr>
        <w:t>●  范围: 系统用例</w:t>
      </w:r>
    </w:p>
    <w:p w14:paraId="0EE53EDD">
      <w:pPr>
        <w:pStyle w:val="25"/>
      </w:pPr>
      <w:r>
        <w:rPr>
          <w:color w:val="0000FF"/>
          <w:sz w:val="24"/>
        </w:rPr>
        <w:t>●  级别: 用户目标级别</w:t>
      </w:r>
    </w:p>
    <w:p w14:paraId="21BB8DB1">
      <w:pPr>
        <w:pStyle w:val="25"/>
      </w:pPr>
      <w:r>
        <w:rPr>
          <w:color w:val="0000FF"/>
          <w:sz w:val="24"/>
        </w:rPr>
        <w:t>●  主要角色: 游客 (注册时) / 注册用户 (登录时)</w:t>
      </w:r>
    </w:p>
    <w:p w14:paraId="6F0A21B5">
      <w:pPr>
        <w:pStyle w:val="25"/>
      </w:pPr>
      <w:r>
        <w:rPr>
          <w:color w:val="0000FF"/>
          <w:sz w:val="24"/>
        </w:rPr>
        <w:t>●  涉众: 用户: 期望快速完成账号注册并稳定登录购票; 票务管理员: 期望识别合法用户以审计追踪.</w:t>
      </w:r>
    </w:p>
    <w:p w14:paraId="1B5D9461">
      <w:pPr>
        <w:pStyle w:val="25"/>
      </w:pPr>
      <w:r>
        <w:rPr>
          <w:color w:val="0000FF"/>
          <w:sz w:val="24"/>
        </w:rPr>
        <w:t>●  前置条件: 用户已访问 ENCORE 用户端首页且具备可注册的手机号/邮箱.</w:t>
      </w:r>
    </w:p>
    <w:p w14:paraId="70522C43">
      <w:pPr>
        <w:pStyle w:val="25"/>
      </w:pPr>
      <w:r>
        <w:rPr>
          <w:color w:val="0000FF"/>
          <w:sz w:val="24"/>
        </w:rPr>
        <w:t>●  后置条件: 用户成功创建账号或登录, 系统在 Redis 写入 Sa-Token 会话, 返回身份信息及角色列表.</w:t>
      </w:r>
    </w:p>
    <w:p w14:paraId="0E124DD1">
      <w:pPr>
        <w:pStyle w:val="25"/>
      </w:pPr>
      <w:r>
        <w:rPr>
          <w:color w:val="0000FF"/>
          <w:sz w:val="24"/>
        </w:rPr>
        <w:t>●  主成功场景: 1. 用户进入注册或登录页面; 2. 用户输入账号 / 密码 (注册时同步采集手机号); 3. 前端校验表单非空与格式合法; 4. 前端提交 POST /api/auth/register 或 /api/auth/login; 5. 后端校验账号唯一性 (注册) 或密码 BCrypt 校验 (登录); 6. 后端通过 Sa-Token 颁发令牌并返回身份信息; 7. 前端写入本地存储与 Pinia, 跳转主页.</w:t>
      </w:r>
    </w:p>
    <w:p w14:paraId="37B2D846">
      <w:pPr>
        <w:pStyle w:val="25"/>
      </w:pPr>
      <w:r>
        <w:rPr>
          <w:color w:val="0000FF"/>
          <w:sz w:val="24"/>
        </w:rPr>
        <w:t>●  扩展（或替代流程）: 5a. 账号已存在 (注册场景): 提示重新选择账号. 5b. 密码错误 (登录场景): 系统返回 401, 5 次错误后短期锁定 10 分钟. 6a. 用户状态为禁用: 拒绝登录并提示联系管理员.</w:t>
      </w:r>
    </w:p>
    <w:p w14:paraId="710E03C9">
      <w:pPr>
        <w:pStyle w:val="25"/>
      </w:pPr>
      <w:r>
        <w:rPr>
          <w:color w:val="0000FF"/>
          <w:sz w:val="24"/>
        </w:rPr>
        <w:t>●  特殊需求: 密码须以 BCrypt 强度 ≥ 10 哈希存储; 登录接口须做防暴力破解; 登录成功 P95 响应时间 ≤ 1.0 秒.</w:t>
      </w:r>
    </w:p>
    <w:p w14:paraId="73D22DFC">
      <w:pPr>
        <w:pStyle w:val="25"/>
      </w:pPr>
      <w:r>
        <w:rPr>
          <w:color w:val="0000FF"/>
          <w:sz w:val="24"/>
        </w:rPr>
        <w:t>●  技术和数据变元表: 用户名: ≤ 32 字符; 密码: 6~32 字符且含字母与数字; 手机号: 11 位; Sa-Token TTL: 7 天可滚动续期; 验证码: 后续扩展, 不在本期范围.</w:t>
      </w:r>
    </w:p>
    <w:p w14:paraId="510A924D"/>
    <w:p w14:paraId="211A63D2">
      <w:r>
        <w:t>用户登录的关键交互见顺序图 12.</w:t>
      </w:r>
    </w:p>
    <w:p w14:paraId="644F49AC">
      <w:pPr>
        <w:jc w:val="center"/>
      </w:pPr>
      <w:r>
        <w:drawing>
          <wp:inline distT="0" distB="0" distL="114300" distR="114300">
            <wp:extent cx="5039995" cy="3397932"/>
            <wp:effectExtent l="0" t="0" r="190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039995" cy="3397932"/>
                    </a:xfrm>
                    <a:prstGeom prst="rect">
                      <a:avLst/>
                    </a:prstGeom>
                  </pic:spPr>
                </pic:pic>
              </a:graphicData>
            </a:graphic>
          </wp:inline>
        </w:drawing>
      </w:r>
    </w:p>
    <w:p w14:paraId="2E8820A3">
      <w:pPr>
        <w:pStyle w:val="40"/>
        <w:jc w:val="center"/>
      </w:pPr>
      <w:r>
        <w:t>图12  用户注册登录顺序图</w:t>
      </w:r>
    </w:p>
    <w:p w14:paraId="3AF258BF">
      <w:pPr>
        <w:pStyle w:val="3"/>
      </w:pPr>
      <w:bookmarkStart w:id="21" w:name="_Toc25656"/>
      <w:r>
        <w:t>浏览与查询演出（ENC_UC_BROWSE_01）</w:t>
      </w:r>
      <w:bookmarkEnd w:id="21"/>
    </w:p>
    <w:p w14:paraId="752F4A07">
      <w:r>
        <w:t>本节详细描述浏览与查询演出功能的需求, 覆盖游客与注册用户查找演出的主要流程。</w:t>
      </w:r>
    </w:p>
    <w:p w14:paraId="34A8018E">
      <w:pPr>
        <w:pStyle w:val="25"/>
      </w:pPr>
      <w:r>
        <w:rPr>
          <w:color w:val="0000FF"/>
          <w:sz w:val="24"/>
        </w:rPr>
        <w:t>●  用例标示符: ENC_UC_BROWSE_01</w:t>
      </w:r>
    </w:p>
    <w:p w14:paraId="4C3B8836">
      <w:pPr>
        <w:pStyle w:val="25"/>
      </w:pPr>
      <w:r>
        <w:rPr>
          <w:color w:val="0000FF"/>
          <w:sz w:val="24"/>
        </w:rPr>
        <w:t>●  用例名称: 浏览与查询演出</w:t>
      </w:r>
    </w:p>
    <w:p w14:paraId="5104FDB3">
      <w:pPr>
        <w:pStyle w:val="25"/>
      </w:pPr>
      <w:r>
        <w:rPr>
          <w:color w:val="0000FF"/>
          <w:sz w:val="24"/>
        </w:rPr>
        <w:t>●  范围: 系统用例</w:t>
      </w:r>
    </w:p>
    <w:p w14:paraId="7ED21C7D">
      <w:pPr>
        <w:pStyle w:val="25"/>
      </w:pPr>
      <w:r>
        <w:rPr>
          <w:color w:val="0000FF"/>
          <w:sz w:val="24"/>
        </w:rPr>
        <w:t>●  级别: 用户目标级别</w:t>
      </w:r>
    </w:p>
    <w:p w14:paraId="666EE826">
      <w:pPr>
        <w:pStyle w:val="25"/>
      </w:pPr>
      <w:r>
        <w:rPr>
          <w:color w:val="0000FF"/>
          <w:sz w:val="24"/>
        </w:rPr>
        <w:t>●  主要角色: 游客 / 注册用户</w:t>
      </w:r>
    </w:p>
    <w:p w14:paraId="6A525C88">
      <w:pPr>
        <w:pStyle w:val="25"/>
      </w:pPr>
      <w:r>
        <w:rPr>
          <w:color w:val="0000FF"/>
          <w:sz w:val="24"/>
        </w:rPr>
        <w:t>●  涉众: 用户: 期望快速找到感兴趣的剧目和场次; 票务管理员: 期望剧目曝光与售卖.</w:t>
      </w:r>
    </w:p>
    <w:p w14:paraId="7A7C985A">
      <w:pPr>
        <w:pStyle w:val="25"/>
      </w:pPr>
      <w:r>
        <w:rPr>
          <w:color w:val="0000FF"/>
          <w:sz w:val="24"/>
        </w:rPr>
        <w:t>●  前置条件: 用户已访问 ENCORE 用户端首页或演出列表页.</w:t>
      </w:r>
    </w:p>
    <w:p w14:paraId="40956470">
      <w:pPr>
        <w:pStyle w:val="25"/>
      </w:pPr>
      <w:r>
        <w:rPr>
          <w:color w:val="0000FF"/>
          <w:sz w:val="24"/>
        </w:rPr>
        <w:t>●  后置条件: 用户成功获取剧目列表、详情或场次信息, 可继续进入选座流程.</w:t>
      </w:r>
    </w:p>
    <w:p w14:paraId="75C6DC48">
      <w:pPr>
        <w:pStyle w:val="25"/>
      </w:pPr>
      <w:r>
        <w:rPr>
          <w:color w:val="0000FF"/>
          <w:sz w:val="24"/>
        </w:rPr>
        <w:t>●  主成功场景: 1. 用户进入演出列表页; 2. 前端 GET /api/shows 获取剧目列表; 3. 用户按分类、关键词或时间筛选; 4. 前端 GET /api/shows/{id} 加载详情、GET /api/shows/{id}/schedules 加载场次; 5. 用户查看场次卡片; 6. 用户点击场次进入选座 / 区域购票入口。</w:t>
      </w:r>
    </w:p>
    <w:p w14:paraId="622ADCE0">
      <w:pPr>
        <w:pStyle w:val="25"/>
      </w:pPr>
      <w:r>
        <w:rPr>
          <w:color w:val="0000FF"/>
          <w:sz w:val="24"/>
        </w:rPr>
        <w:t>●  扩展（或替代流程）: 3a. 无匹配结果: 提示 "暂无相关演出". 5a. 该剧目暂无 ON_SALE 场次: 仅展示场次列表但不提供选座按钮.</w:t>
      </w:r>
    </w:p>
    <w:p w14:paraId="410CD94A">
      <w:pPr>
        <w:pStyle w:val="25"/>
      </w:pPr>
      <w:r>
        <w:rPr>
          <w:color w:val="0000FF"/>
          <w:sz w:val="24"/>
        </w:rPr>
        <w:t>●  特殊需求: 首页与列表页须支持响应式; 首屏可见数据 P95 加载 ≤ 1.5 秒; 海报图片懒加载.</w:t>
      </w:r>
    </w:p>
    <w:p w14:paraId="7236388A">
      <w:pPr>
        <w:pStyle w:val="25"/>
      </w:pPr>
      <w:r>
        <w:rPr>
          <w:color w:val="0000FF"/>
          <w:sz w:val="24"/>
        </w:rPr>
        <w:t>●  技术和数据变元表: 分页大小: 12 条/页; 筛选条件: 分类、关键词、开演日期区间; 排序: 默认按场次开演时间升序.</w:t>
      </w:r>
    </w:p>
    <w:p w14:paraId="0CFDAE16"/>
    <w:p w14:paraId="76482D7A">
      <w:pPr>
        <w:pStyle w:val="3"/>
      </w:pPr>
      <w:bookmarkStart w:id="22" w:name="_Toc32727"/>
      <w:r>
        <w:t>可视化选座（ENC_UC_SEAT_01）</w:t>
      </w:r>
      <w:bookmarkEnd w:id="22"/>
    </w:p>
    <w:p w14:paraId="079297F8">
      <w:r>
        <w:t>本节详细描述可视化选座功能的需求, 以及选座活动图、顺序图和座位状态流转。</w:t>
      </w:r>
    </w:p>
    <w:p w14:paraId="27C1F613">
      <w:pPr>
        <w:pStyle w:val="25"/>
      </w:pPr>
      <w:r>
        <w:rPr>
          <w:color w:val="0000FF"/>
          <w:sz w:val="24"/>
        </w:rPr>
        <w:t>●  用例标示符: ENC_UC_SEAT_01</w:t>
      </w:r>
    </w:p>
    <w:p w14:paraId="3A75E0AE">
      <w:pPr>
        <w:pStyle w:val="25"/>
      </w:pPr>
      <w:r>
        <w:rPr>
          <w:color w:val="0000FF"/>
          <w:sz w:val="24"/>
        </w:rPr>
        <w:t>●  用例名称: 可视化选座</w:t>
      </w:r>
    </w:p>
    <w:p w14:paraId="08DD624C">
      <w:pPr>
        <w:pStyle w:val="25"/>
      </w:pPr>
      <w:r>
        <w:rPr>
          <w:color w:val="0000FF"/>
          <w:sz w:val="24"/>
        </w:rPr>
        <w:t>●  范围: 系统用例</w:t>
      </w:r>
    </w:p>
    <w:p w14:paraId="0631A84B">
      <w:pPr>
        <w:pStyle w:val="25"/>
      </w:pPr>
      <w:r>
        <w:rPr>
          <w:color w:val="0000FF"/>
          <w:sz w:val="24"/>
        </w:rPr>
        <w:t>●  级别: 用户目标级别</w:t>
      </w:r>
    </w:p>
    <w:p w14:paraId="1929FC98">
      <w:pPr>
        <w:pStyle w:val="25"/>
      </w:pPr>
      <w:r>
        <w:rPr>
          <w:color w:val="0000FF"/>
          <w:sz w:val="24"/>
        </w:rPr>
        <w:t>●  主要角色: 注册用户</w:t>
      </w:r>
    </w:p>
    <w:p w14:paraId="6FC9E820">
      <w:pPr>
        <w:pStyle w:val="25"/>
      </w:pPr>
      <w:r>
        <w:rPr>
          <w:color w:val="0000FF"/>
          <w:sz w:val="24"/>
        </w:rPr>
        <w:t>●  涉众: 用户: 期望直观看到剧院座位图并选到心仪座位; 票务管理员: 期望防重复售票, 维持高上座率; 检票员: 期望最终票据与座位严格一一对应.</w:t>
      </w:r>
    </w:p>
    <w:p w14:paraId="0D02F556">
      <w:pPr>
        <w:pStyle w:val="25"/>
      </w:pPr>
      <w:r>
        <w:rPr>
          <w:color w:val="0000FF"/>
          <w:sz w:val="24"/>
        </w:rPr>
        <w:t>●  前置条件: 用户已登录, 已进入具体场次详情页, 场次状态为 ON_SALE.</w:t>
      </w:r>
    </w:p>
    <w:p w14:paraId="487702DE">
      <w:pPr>
        <w:pStyle w:val="25"/>
      </w:pPr>
      <w:r>
        <w:rPr>
          <w:color w:val="0000FF"/>
          <w:sz w:val="24"/>
        </w:rPr>
        <w:t>●  后置条件: 用户选定的座位临时锁定为 LOCKED, 系统创建状态为 PENDING_PAYMENT 的订单并启动倒计时.</w:t>
      </w:r>
    </w:p>
    <w:p w14:paraId="5730749A">
      <w:pPr>
        <w:pStyle w:val="25"/>
      </w:pPr>
      <w:r>
        <w:rPr>
          <w:color w:val="0000FF"/>
          <w:sz w:val="24"/>
        </w:rPr>
        <w:t>●  主成功场景: 1. 用户进入选座页; 2. 前端 GET /api/schedules/{id}/seats 加载座位 (区域票则 GET /api/schedules/{id}/areas); 3. 用户点击一个或多个 AVAILABLE 座位; 4. 前端 POST /api/schedules/{id}/seats/lock 请求锁定; 5. 后端 Redis SETNX 加锁 (不写库, LOCKED 为运行时叠加) 并经 SeatStatusPublisher 广播; 6. 返回锁定成功; 7. 前端进入下单确认页。</w:t>
      </w:r>
    </w:p>
    <w:p w14:paraId="5DC1DBB9">
      <w:pPr>
        <w:pStyle w:val="25"/>
      </w:pPr>
      <w:r>
        <w:rPr>
          <w:color w:val="0000FF"/>
          <w:sz w:val="24"/>
        </w:rPr>
        <w:t>●  扩展（或替代流程）: 3a. 用户取消选择: 释放本地选中态. 5a. 部分座位被并发占用: 后端返回 409, 前端高亮失败座位并提示重选. 5b. 用户离线超过 30 秒未提交锁定: 前端自动放弃, 不发起锁定请求.</w:t>
      </w:r>
    </w:p>
    <w:p w14:paraId="11FD1BCB">
      <w:pPr>
        <w:pStyle w:val="25"/>
      </w:pPr>
      <w:r>
        <w:rPr>
          <w:color w:val="0000FF"/>
          <w:sz w:val="24"/>
        </w:rPr>
        <w:t>●  特殊需求: Redis 座位锁 TTL = 15 分钟; 后端必须保证 Redis 锁与 MySQL 状态最终一致; 选座页 P95 渲染 ≤ 1.8 秒.</w:t>
      </w:r>
    </w:p>
    <w:p w14:paraId="68B1F0FE">
      <w:pPr>
        <w:pStyle w:val="25"/>
      </w:pPr>
      <w:r>
        <w:rPr>
          <w:color w:val="0000FF"/>
          <w:sz w:val="24"/>
        </w:rPr>
        <w:t>●  技术和数据变元表: 单次最多锁定 6 个座位; 座位状态 AVAILABLE / LOCKED / SOLD / DISABLED; 锁键 encore:seat-lock:{scheduleId}:{seatCode}, TTL 15 分钟; 区域购票每单 1~4 张。</w:t>
      </w:r>
    </w:p>
    <w:p w14:paraId="69A0F2EA"/>
    <w:p w14:paraId="0DAEF914">
      <w:r>
        <w:t>可视化选座的活动流程与系统交互分别见图13 与图14; 场次座位的完整状态流转见图15.</w:t>
      </w:r>
    </w:p>
    <w:p w14:paraId="61F23D0F">
      <w:pPr>
        <w:jc w:val="center"/>
      </w:pPr>
      <w:r>
        <w:drawing>
          <wp:inline distT="0" distB="0" distL="114300" distR="114300">
            <wp:extent cx="5039995" cy="6807951"/>
            <wp:effectExtent l="0" t="0" r="190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5039995" cy="6807951"/>
                    </a:xfrm>
                    <a:prstGeom prst="rect">
                      <a:avLst/>
                    </a:prstGeom>
                  </pic:spPr>
                </pic:pic>
              </a:graphicData>
            </a:graphic>
          </wp:inline>
        </w:drawing>
      </w:r>
    </w:p>
    <w:p w14:paraId="5892CE40">
      <w:pPr>
        <w:pStyle w:val="40"/>
        <w:jc w:val="center"/>
      </w:pPr>
      <w:r>
        <w:t>图13  用户选座购票活动图</w:t>
      </w:r>
    </w:p>
    <w:p w14:paraId="710B62E2">
      <w:pPr>
        <w:jc w:val="center"/>
      </w:pPr>
      <w:r>
        <w:drawing>
          <wp:inline distT="0" distB="0" distL="114300" distR="114300">
            <wp:extent cx="5039995" cy="5264887"/>
            <wp:effectExtent l="0" t="0" r="190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tretch>
                      <a:fillRect/>
                    </a:stretch>
                  </pic:blipFill>
                  <pic:spPr>
                    <a:xfrm>
                      <a:off x="0" y="0"/>
                      <a:ext cx="5039995" cy="5264887"/>
                    </a:xfrm>
                    <a:prstGeom prst="rect">
                      <a:avLst/>
                    </a:prstGeom>
                  </pic:spPr>
                </pic:pic>
              </a:graphicData>
            </a:graphic>
          </wp:inline>
        </w:drawing>
      </w:r>
    </w:p>
    <w:p w14:paraId="12DEA37F">
      <w:pPr>
        <w:pStyle w:val="40"/>
        <w:jc w:val="center"/>
      </w:pPr>
      <w:r>
        <w:t>图14  可视化选座顺序图</w:t>
      </w:r>
    </w:p>
    <w:p w14:paraId="1938AAD9">
      <w:pPr>
        <w:jc w:val="center"/>
      </w:pPr>
      <w:r>
        <w:drawing>
          <wp:inline distT="0" distB="0" distL="114300" distR="114300">
            <wp:extent cx="5039995" cy="3669470"/>
            <wp:effectExtent l="0" t="0" r="190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039995" cy="3669470"/>
                    </a:xfrm>
                    <a:prstGeom prst="rect">
                      <a:avLst/>
                    </a:prstGeom>
                  </pic:spPr>
                </pic:pic>
              </a:graphicData>
            </a:graphic>
          </wp:inline>
        </w:drawing>
      </w:r>
    </w:p>
    <w:p w14:paraId="6524E9DE">
      <w:pPr>
        <w:pStyle w:val="40"/>
        <w:jc w:val="center"/>
      </w:pPr>
      <w:r>
        <w:t>图15  场次座位状态图</w:t>
      </w:r>
    </w:p>
    <w:p w14:paraId="1BFA15B9">
      <w:r>
        <w:t>在 ENC_UC_SEAT_01 主成功场景之上, ENCORE 票务管理系统进一步注入三项差异化扩展能力, 体现"实时 + 沉浸 + 社交"的剧院级选座体验:</w:t>
      </w:r>
    </w:p>
    <w:p w14:paraId="0480F691">
      <w:pPr>
        <w:pStyle w:val="25"/>
      </w:pPr>
      <w:r>
        <w:t>实时多人选座广播: 同一场次的多名在线用户通过 WebSocket / STOMP 订阅 /topic/schedules/{id}/seats 主题, 任一用户的锁座 / 释放 / 售出经后端 SeatStatusPublisher 在 P95 ≤ 200ms 内推送给所有订阅者, 屏幕端无需轮询即可同步显示, 完整时序如图16 所示。</w:t>
      </w:r>
    </w:p>
    <w:p w14:paraId="25B90FC2">
      <w:pPr>
        <w:jc w:val="center"/>
      </w:pPr>
      <w:r>
        <w:drawing>
          <wp:inline distT="0" distB="0" distL="114300" distR="114300">
            <wp:extent cx="5039995" cy="5021029"/>
            <wp:effectExtent l="0" t="0" r="190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tretch>
                      <a:fillRect/>
                    </a:stretch>
                  </pic:blipFill>
                  <pic:spPr>
                    <a:xfrm>
                      <a:off x="0" y="0"/>
                      <a:ext cx="5039995" cy="5021029"/>
                    </a:xfrm>
                    <a:prstGeom prst="rect">
                      <a:avLst/>
                    </a:prstGeom>
                  </pic:spPr>
                </pic:pic>
              </a:graphicData>
            </a:graphic>
          </wp:inline>
        </w:drawing>
      </w:r>
    </w:p>
    <w:p w14:paraId="61C2179C">
      <w:pPr>
        <w:pStyle w:val="40"/>
        <w:jc w:val="center"/>
      </w:pPr>
      <w:r>
        <w:t>图16  WebSocket 实时多人选座顺序图</w:t>
      </w:r>
    </w:p>
    <w:p w14:paraId="6401275A">
      <w:pPr>
        <w:pStyle w:val="25"/>
      </w:pPr>
      <w:r>
        <w:t>舞台视角预览 (ENC_UC_SEAT_02): 选座页用户点击具体座位时, 浮层基于 three.js + WebGL 原生渲染剧院 3D 场景, 以该座位为 PerspectiveCamera 位置展示从该座位看向舞台的视野 (经 Raycaster 拾取、程序化几何), 帧率 ≥ 30 FPS, 首屏加载 ≤ 3 秒, WebGL 不可用时降级, 组件结构如图17 所示。</w:t>
      </w:r>
    </w:p>
    <w:p w14:paraId="2B9DA1A6">
      <w:pPr>
        <w:jc w:val="center"/>
      </w:pPr>
      <w:r>
        <w:drawing>
          <wp:inline distT="0" distB="0" distL="114300" distR="114300">
            <wp:extent cx="5039995" cy="2270432"/>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3"/>
                    <a:stretch>
                      <a:fillRect/>
                    </a:stretch>
                  </pic:blipFill>
                  <pic:spPr>
                    <a:xfrm>
                      <a:off x="0" y="0"/>
                      <a:ext cx="5039995" cy="2270432"/>
                    </a:xfrm>
                    <a:prstGeom prst="rect">
                      <a:avLst/>
                    </a:prstGeom>
                  </pic:spPr>
                </pic:pic>
              </a:graphicData>
            </a:graphic>
          </wp:inline>
        </w:drawing>
      </w:r>
    </w:p>
    <w:p w14:paraId="5BFAD68C">
      <w:pPr>
        <w:pStyle w:val="40"/>
        <w:jc w:val="center"/>
      </w:pPr>
      <w:r>
        <w:t>图17  three.js 3D 座位舞台视角预览组件视图</w:t>
      </w:r>
    </w:p>
    <w:p w14:paraId="4D54C4F4">
      <w:pPr>
        <w:pStyle w:val="25"/>
      </w:pPr>
      <w:r>
        <w:t>拼座邀请 (ENC_UC_SEAT_03): 用户发起拼座后系统生成邀请码 g-xxxx, 以 owner=group:{inviteCode} 锁定其座位 (Redis 会话 encore:group-order:{inviteCode}, TTL 15 分钟); 受邀人凭邀请码加入同场次联合锁座, 发起人结算 (checkout) 合并为一笔订单后支付; 邀请超时、成员退出或发起人取消则相应座位锁释放。详见 4.13 节与图31。</w:t>
      </w:r>
    </w:p>
    <w:p w14:paraId="26DF399A">
      <w:pPr>
        <w:pStyle w:val="3"/>
      </w:pPr>
      <w:bookmarkStart w:id="23" w:name="_Toc31259"/>
      <w:r>
        <w:t>创建订单（ENC_UC_ORDER_01）</w:t>
      </w:r>
      <w:bookmarkEnd w:id="23"/>
    </w:p>
    <w:p w14:paraId="0254C24B">
      <w:r>
        <w:t>本节详细描述创建订单功能的需求, 以及锁座结果转化为待支付订单的处理流程。</w:t>
      </w:r>
    </w:p>
    <w:p w14:paraId="7387E23C">
      <w:pPr>
        <w:pStyle w:val="25"/>
      </w:pPr>
      <w:r>
        <w:rPr>
          <w:color w:val="0000FF"/>
          <w:sz w:val="24"/>
        </w:rPr>
        <w:t>●  用例标示符: ENC_UC_ORDER_01</w:t>
      </w:r>
    </w:p>
    <w:p w14:paraId="4FBD4A43">
      <w:pPr>
        <w:pStyle w:val="25"/>
      </w:pPr>
      <w:r>
        <w:rPr>
          <w:color w:val="0000FF"/>
          <w:sz w:val="24"/>
        </w:rPr>
        <w:t>●  用例名称: 创建订单</w:t>
      </w:r>
    </w:p>
    <w:p w14:paraId="3B8F33C0">
      <w:pPr>
        <w:pStyle w:val="25"/>
      </w:pPr>
      <w:r>
        <w:rPr>
          <w:color w:val="0000FF"/>
          <w:sz w:val="24"/>
        </w:rPr>
        <w:t>●  范围: 系统用例</w:t>
      </w:r>
    </w:p>
    <w:p w14:paraId="15D53DD3">
      <w:pPr>
        <w:pStyle w:val="25"/>
      </w:pPr>
      <w:r>
        <w:rPr>
          <w:color w:val="0000FF"/>
          <w:sz w:val="24"/>
        </w:rPr>
        <w:t>●  级别: 用户目标级别</w:t>
      </w:r>
    </w:p>
    <w:p w14:paraId="0F5DD927">
      <w:pPr>
        <w:pStyle w:val="25"/>
      </w:pPr>
      <w:r>
        <w:rPr>
          <w:color w:val="0000FF"/>
          <w:sz w:val="24"/>
        </w:rPr>
        <w:t>●  主要角色: 注册用户</w:t>
      </w:r>
    </w:p>
    <w:p w14:paraId="66FE8C28">
      <w:pPr>
        <w:pStyle w:val="25"/>
      </w:pPr>
      <w:r>
        <w:rPr>
          <w:color w:val="0000FF"/>
          <w:sz w:val="24"/>
        </w:rPr>
        <w:t>●  涉众: 用户: 期望快速生成订单并在限定时间内完成支付; 票务管理员: 期望防止超卖与单据不一致.</w:t>
      </w:r>
    </w:p>
    <w:p w14:paraId="4F0962A3">
      <w:pPr>
        <w:pStyle w:val="25"/>
      </w:pPr>
      <w:r>
        <w:rPr>
          <w:color w:val="0000FF"/>
          <w:sz w:val="24"/>
        </w:rPr>
        <w:t>●  前置条件: SEATED 场次已锁定 1~6 个座位且锁归属本用户; 或 ZONED 场次已选定区域与张数 (1~4)。</w:t>
      </w:r>
    </w:p>
    <w:p w14:paraId="6C93825F">
      <w:pPr>
        <w:pStyle w:val="25"/>
      </w:pPr>
      <w:r>
        <w:rPr>
          <w:color w:val="0000FF"/>
          <w:sz w:val="24"/>
        </w:rPr>
        <w:t>●  后置条件: 数据库中生成状态为 PENDING_PAYMENT 的 ticket_order 记录, 关联场次与座位, 启动订单倒计时.</w:t>
      </w:r>
    </w:p>
    <w:p w14:paraId="5BB2F8E8">
      <w:pPr>
        <w:pStyle w:val="25"/>
      </w:pPr>
      <w:r>
        <w:rPr>
          <w:color w:val="0000FF"/>
          <w:sz w:val="24"/>
        </w:rPr>
        <w:t>●  主成功场景: 1. 用户在订单确认页核对座位 / 区域与金额; 2. 用户点击「提交订单」; 3. 前端 POST /api/orders; 4. 后端校验场次在售与座位锁归属 (区域票校验余量); 5. 写入 ticket_order (PENDING_PAYMENT, expiresAt = now + 15 分钟) 与 RESERVED 票据 (即时生成 ticketCode); 6. 座位锁值改写为 orderId / 区域库存 lockInventory 原子扣减; 7. 返回订单 ID; 8. 前端跳转支付页。</w:t>
      </w:r>
    </w:p>
    <w:p w14:paraId="04E244FD">
      <w:pPr>
        <w:pStyle w:val="25"/>
      </w:pPr>
      <w:r>
        <w:rPr>
          <w:color w:val="0000FF"/>
          <w:sz w:val="24"/>
        </w:rPr>
        <w:t>●  扩展（或替代流程）: 4a. 座位锁不存在 / 已过期 / 不属于该用户: 返回 409, 提示重新选座; 4b. 区域余票不足: lockInventory 影响行数为 0, 返回 409; 5a. 数据库写入失败: 事务回滚并经同步钩子释放 Redis 锁, 返回 500。</w:t>
      </w:r>
    </w:p>
    <w:p w14:paraId="213688D3">
      <w:pPr>
        <w:pStyle w:val="25"/>
      </w:pPr>
      <w:r>
        <w:rPr>
          <w:color w:val="0000FF"/>
          <w:sz w:val="24"/>
        </w:rPr>
        <w:t>●  特殊需求: 订单创建接口须幂等; 倒计时窗口默认 15 分钟; 订单提交 P95 响应时间 ≤ 1.0 秒.</w:t>
      </w:r>
    </w:p>
    <w:p w14:paraId="6D16CF1F">
      <w:pPr>
        <w:pStyle w:val="25"/>
      </w:pPr>
      <w:r>
        <w:rPr>
          <w:color w:val="0000FF"/>
          <w:sz w:val="24"/>
        </w:rPr>
        <w:t>●  技术和数据变元表: 订单 ID = ord-&lt;uuid 前 16 位&gt;; 金额 = Σ 座位 / 区域单价 × 张数; 倒计时 15 分钟, 由 expiresAt 列 + @Scheduled 定时任务回收; 同场次同选座的重复提交幂等返回原订单。</w:t>
      </w:r>
    </w:p>
    <w:p w14:paraId="46C8A487"/>
    <w:p w14:paraId="5AEA78F0">
      <w:r>
        <w:t>订单创建的关键交互见图18; 订单完整状态流转见图19.</w:t>
      </w:r>
    </w:p>
    <w:p w14:paraId="14A205FC">
      <w:pPr>
        <w:jc w:val="center"/>
      </w:pPr>
      <w:r>
        <w:drawing>
          <wp:inline distT="0" distB="0" distL="114300" distR="114300">
            <wp:extent cx="5039995" cy="4203796"/>
            <wp:effectExtent l="0" t="0" r="190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4"/>
                    <a:stretch>
                      <a:fillRect/>
                    </a:stretch>
                  </pic:blipFill>
                  <pic:spPr>
                    <a:xfrm>
                      <a:off x="0" y="0"/>
                      <a:ext cx="5039995" cy="4203796"/>
                    </a:xfrm>
                    <a:prstGeom prst="rect">
                      <a:avLst/>
                    </a:prstGeom>
                  </pic:spPr>
                </pic:pic>
              </a:graphicData>
            </a:graphic>
          </wp:inline>
        </w:drawing>
      </w:r>
    </w:p>
    <w:p w14:paraId="746F33F5">
      <w:pPr>
        <w:pStyle w:val="40"/>
        <w:jc w:val="center"/>
      </w:pPr>
      <w:r>
        <w:t>图18  创建订单顺序图</w:t>
      </w:r>
    </w:p>
    <w:p w14:paraId="5D1B0EA1">
      <w:pPr>
        <w:jc w:val="center"/>
      </w:pPr>
      <w:r>
        <w:drawing>
          <wp:inline distT="0" distB="0" distL="114300" distR="114300">
            <wp:extent cx="5039995" cy="3652077"/>
            <wp:effectExtent l="0" t="0" r="190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5"/>
                    <a:stretch>
                      <a:fillRect/>
                    </a:stretch>
                  </pic:blipFill>
                  <pic:spPr>
                    <a:xfrm>
                      <a:off x="0" y="0"/>
                      <a:ext cx="5039995" cy="3652077"/>
                    </a:xfrm>
                    <a:prstGeom prst="rect">
                      <a:avLst/>
                    </a:prstGeom>
                  </pic:spPr>
                </pic:pic>
              </a:graphicData>
            </a:graphic>
          </wp:inline>
        </w:drawing>
      </w:r>
    </w:p>
    <w:p w14:paraId="6DF00FB1">
      <w:pPr>
        <w:pStyle w:val="40"/>
        <w:jc w:val="center"/>
      </w:pPr>
      <w:r>
        <w:t>图19  订单状态流转图</w:t>
      </w:r>
    </w:p>
    <w:p w14:paraId="15EE26BC">
      <w:pPr>
        <w:pStyle w:val="3"/>
      </w:pPr>
      <w:bookmarkStart w:id="24" w:name="_Toc19928"/>
      <w:r>
        <w:t>模拟支付与电子票生成（ENC_UC_PAY_01）</w:t>
      </w:r>
      <w:bookmarkEnd w:id="24"/>
    </w:p>
    <w:p w14:paraId="5BD23210">
      <w:r>
        <w:t>本节详细描述模拟支付与电子票生成功能的需求, 以及订单支付活动图、顺序图和票据状态流转。</w:t>
      </w:r>
    </w:p>
    <w:p w14:paraId="4C5D37BA">
      <w:pPr>
        <w:pStyle w:val="25"/>
      </w:pPr>
      <w:r>
        <w:rPr>
          <w:color w:val="0000FF"/>
          <w:sz w:val="24"/>
        </w:rPr>
        <w:t>●  用例标示符: ENC_UC_PAY_01</w:t>
      </w:r>
    </w:p>
    <w:p w14:paraId="4A299ACE">
      <w:pPr>
        <w:pStyle w:val="25"/>
      </w:pPr>
      <w:r>
        <w:rPr>
          <w:color w:val="0000FF"/>
          <w:sz w:val="24"/>
        </w:rPr>
        <w:t>●  用例名称: 模拟支付与电子票生成</w:t>
      </w:r>
    </w:p>
    <w:p w14:paraId="4274F79B">
      <w:pPr>
        <w:pStyle w:val="25"/>
      </w:pPr>
      <w:r>
        <w:rPr>
          <w:color w:val="0000FF"/>
          <w:sz w:val="24"/>
        </w:rPr>
        <w:t>●  范围: 系统用例</w:t>
      </w:r>
    </w:p>
    <w:p w14:paraId="60D64311">
      <w:pPr>
        <w:pStyle w:val="25"/>
      </w:pPr>
      <w:r>
        <w:rPr>
          <w:color w:val="0000FF"/>
          <w:sz w:val="24"/>
        </w:rPr>
        <w:t>●  级别: 用户目标级别</w:t>
      </w:r>
    </w:p>
    <w:p w14:paraId="3FF897EF">
      <w:pPr>
        <w:pStyle w:val="25"/>
      </w:pPr>
      <w:r>
        <w:rPr>
          <w:color w:val="0000FF"/>
          <w:sz w:val="24"/>
        </w:rPr>
        <w:t>●  主要角色: 注册用户</w:t>
      </w:r>
    </w:p>
    <w:p w14:paraId="28ABAC72">
      <w:pPr>
        <w:pStyle w:val="25"/>
      </w:pPr>
      <w:r>
        <w:rPr>
          <w:color w:val="0000FF"/>
          <w:sz w:val="24"/>
        </w:rPr>
        <w:t>●  涉众: 用户: 期望在倒计时内完成支付获得电子票; 票务管理员: 期望准确记账与统计.</w:t>
      </w:r>
    </w:p>
    <w:p w14:paraId="76D908D5">
      <w:pPr>
        <w:pStyle w:val="25"/>
      </w:pPr>
      <w:r>
        <w:rPr>
          <w:color w:val="0000FF"/>
          <w:sz w:val="24"/>
        </w:rPr>
        <w:t>●  前置条件: 存在状态为 PENDING_PAYMENT 且倒计时未过期的订单.</w:t>
      </w:r>
    </w:p>
    <w:p w14:paraId="54CF3AED">
      <w:pPr>
        <w:pStyle w:val="25"/>
      </w:pPr>
      <w:r>
        <w:rPr>
          <w:color w:val="0000FF"/>
          <w:sz w:val="24"/>
        </w:rPr>
        <w:t>●  后置条件: 订单状态 PAID; SEATED 座位置 SOLD、ZONED 区域库存 sold 累加; 票据由 RESERVED 翻转为 UNUSED (无 payment_record 表)。</w:t>
      </w:r>
    </w:p>
    <w:p w14:paraId="0F277FAA">
      <w:pPr>
        <w:pStyle w:val="25"/>
      </w:pPr>
      <w:r>
        <w:rPr>
          <w:color w:val="0000FF"/>
          <w:sz w:val="24"/>
        </w:rPr>
        <w:t>●  主成功场景: 1. 用户进入支付页; 2. 点击「模拟支付」; 3. 前端 POST /api/orders/{id}/pay; 4. 后端校验订单归属与是否过期 (已 PAID 则幂等返回); 5. ZONED 经 sellInventory 原子扣减、SEATED 校验座位锁并置 SOLD; 6. 票据 RESERVED → UNUSED, 订单置 PAID; 7. 释放座位锁并广播 SOLD / AREA_SOLD, publish ORDER_PAID 刷新看板; 8. 前端跳转「我的电子票」。</w:t>
      </w:r>
    </w:p>
    <w:p w14:paraId="1F880791">
      <w:pPr>
        <w:pStyle w:val="25"/>
      </w:pPr>
      <w:r>
        <w:rPr>
          <w:color w:val="0000FF"/>
          <w:sz w:val="24"/>
        </w:rPr>
        <w:t>●  扩展（或替代流程）: 4a. 订单已过期 / 非待支付: 标记 EXPIRED 并返回失败, 提示重新下单; 5a. 区域 sellInventory 影响行数为 0 或座位状态已变: 回滚并返回失败 / 409。</w:t>
      </w:r>
    </w:p>
    <w:p w14:paraId="049DF578">
      <w:pPr>
        <w:pStyle w:val="25"/>
      </w:pPr>
      <w:r>
        <w:rPr>
          <w:color w:val="0000FF"/>
          <w:sz w:val="24"/>
        </w:rPr>
        <w:t>●  特殊需求: 支付为模拟实现, 不接入真实支付通道; 票号 ticketCode 在下单时生成并全局唯一; 支付成功 publish 事件用于看板实时刷新。</w:t>
      </w:r>
    </w:p>
    <w:p w14:paraId="05E75456">
      <w:pPr>
        <w:pStyle w:val="25"/>
      </w:pPr>
      <w:r>
        <w:rPr>
          <w:color w:val="0000FF"/>
          <w:sz w:val="24"/>
        </w:rPr>
        <w:t>●  技术和数据变元表: 票号 ticketCode = T + base36(时间戳) + 序号; 二维码为后续扩展; 支付渠道固定 MOCK, 不接入真实资金通道。</w:t>
      </w:r>
    </w:p>
    <w:p w14:paraId="7916B141"/>
    <w:p w14:paraId="5D4FBDB7">
      <w:r>
        <w:t>订单支付的活动流程与系统交互分别见图20 与图21; 票据状态流转见图22.</w:t>
      </w:r>
    </w:p>
    <w:p w14:paraId="59633942">
      <w:pPr>
        <w:jc w:val="center"/>
      </w:pPr>
      <w:r>
        <w:drawing>
          <wp:inline distT="0" distB="0" distL="114300" distR="114300">
            <wp:extent cx="5039995" cy="7597729"/>
            <wp:effectExtent l="0" t="0" r="190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6"/>
                    <a:stretch>
                      <a:fillRect/>
                    </a:stretch>
                  </pic:blipFill>
                  <pic:spPr>
                    <a:xfrm>
                      <a:off x="0" y="0"/>
                      <a:ext cx="5039995" cy="7597729"/>
                    </a:xfrm>
                    <a:prstGeom prst="rect">
                      <a:avLst/>
                    </a:prstGeom>
                  </pic:spPr>
                </pic:pic>
              </a:graphicData>
            </a:graphic>
          </wp:inline>
        </w:drawing>
      </w:r>
    </w:p>
    <w:p w14:paraId="0D7BABB7">
      <w:pPr>
        <w:pStyle w:val="40"/>
        <w:jc w:val="center"/>
      </w:pPr>
      <w:r>
        <w:t>图20  订单支付活动图</w:t>
      </w:r>
    </w:p>
    <w:p w14:paraId="5485FFC3">
      <w:pPr>
        <w:jc w:val="center"/>
      </w:pPr>
      <w:r>
        <w:drawing>
          <wp:inline distT="0" distB="0" distL="114300" distR="114300">
            <wp:extent cx="5039995" cy="5637133"/>
            <wp:effectExtent l="0" t="0" r="190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7"/>
                    <a:stretch>
                      <a:fillRect/>
                    </a:stretch>
                  </pic:blipFill>
                  <pic:spPr>
                    <a:xfrm>
                      <a:off x="0" y="0"/>
                      <a:ext cx="5039995" cy="5637133"/>
                    </a:xfrm>
                    <a:prstGeom prst="rect">
                      <a:avLst/>
                    </a:prstGeom>
                  </pic:spPr>
                </pic:pic>
              </a:graphicData>
            </a:graphic>
          </wp:inline>
        </w:drawing>
      </w:r>
    </w:p>
    <w:p w14:paraId="4F1D9BE9">
      <w:pPr>
        <w:pStyle w:val="40"/>
        <w:jc w:val="center"/>
      </w:pPr>
      <w:r>
        <w:t>图21  模拟支付与电子票生成顺序图</w:t>
      </w:r>
    </w:p>
    <w:p w14:paraId="0C6409A8">
      <w:pPr>
        <w:jc w:val="center"/>
      </w:pPr>
      <w:r>
        <w:drawing>
          <wp:inline distT="0" distB="0" distL="114300" distR="114300">
            <wp:extent cx="5039995" cy="3658810"/>
            <wp:effectExtent l="0" t="0" r="190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8"/>
                    <a:stretch>
                      <a:fillRect/>
                    </a:stretch>
                  </pic:blipFill>
                  <pic:spPr>
                    <a:xfrm>
                      <a:off x="0" y="0"/>
                      <a:ext cx="5039995" cy="3658810"/>
                    </a:xfrm>
                    <a:prstGeom prst="rect">
                      <a:avLst/>
                    </a:prstGeom>
                  </pic:spPr>
                </pic:pic>
              </a:graphicData>
            </a:graphic>
          </wp:inline>
        </w:drawing>
      </w:r>
    </w:p>
    <w:p w14:paraId="540D5CDE">
      <w:pPr>
        <w:pStyle w:val="40"/>
        <w:jc w:val="center"/>
      </w:pPr>
      <w:r>
        <w:t>图22  票据状态流转图</w:t>
      </w:r>
    </w:p>
    <w:p w14:paraId="26A46231">
      <w:pPr>
        <w:pStyle w:val="3"/>
      </w:pPr>
      <w:bookmarkStart w:id="25" w:name="_Toc19761"/>
      <w:r>
        <w:t>检票核销（ENC_UC_CHECKIN_01）</w:t>
      </w:r>
      <w:bookmarkEnd w:id="25"/>
    </w:p>
    <w:p w14:paraId="261C4BBC">
      <w:r>
        <w:t>本节详细描述检票核销功能的需求, 覆盖正常入场、重复检票、作废票和非当前场次等处理流程。</w:t>
      </w:r>
    </w:p>
    <w:p w14:paraId="48D0A00B">
      <w:pPr>
        <w:pStyle w:val="25"/>
      </w:pPr>
      <w:r>
        <w:rPr>
          <w:color w:val="0000FF"/>
          <w:sz w:val="24"/>
        </w:rPr>
        <w:t>●  用例标示符: ENC_UC_CHECKIN_01</w:t>
      </w:r>
    </w:p>
    <w:p w14:paraId="3F2AC7A8">
      <w:pPr>
        <w:pStyle w:val="25"/>
      </w:pPr>
      <w:r>
        <w:rPr>
          <w:color w:val="0000FF"/>
          <w:sz w:val="24"/>
        </w:rPr>
        <w:t>●  用例名称: 检票核销</w:t>
      </w:r>
    </w:p>
    <w:p w14:paraId="0EF26273">
      <w:pPr>
        <w:pStyle w:val="25"/>
      </w:pPr>
      <w:r>
        <w:rPr>
          <w:color w:val="0000FF"/>
          <w:sz w:val="24"/>
        </w:rPr>
        <w:t>●  范围: 系统用例</w:t>
      </w:r>
    </w:p>
    <w:p w14:paraId="2945017B">
      <w:pPr>
        <w:pStyle w:val="25"/>
      </w:pPr>
      <w:r>
        <w:rPr>
          <w:color w:val="0000FF"/>
          <w:sz w:val="24"/>
        </w:rPr>
        <w:t>●  级别: 用户目标级别</w:t>
      </w:r>
    </w:p>
    <w:p w14:paraId="165584E7">
      <w:pPr>
        <w:pStyle w:val="25"/>
      </w:pPr>
      <w:r>
        <w:rPr>
          <w:color w:val="0000FF"/>
          <w:sz w:val="24"/>
        </w:rPr>
        <w:t>●  主要角色: 检票员</w:t>
      </w:r>
    </w:p>
    <w:p w14:paraId="34AE632E">
      <w:pPr>
        <w:pStyle w:val="25"/>
      </w:pPr>
      <w:r>
        <w:rPr>
          <w:color w:val="0000FF"/>
          <w:sz w:val="24"/>
        </w:rPr>
        <w:t>●  涉众: 检票员: 期望快速核验票据并放行; 票务管理员: 期望防重复检票与作废票滥用; 注册用户: 期望体验流畅.</w:t>
      </w:r>
    </w:p>
    <w:p w14:paraId="0E7F3D16">
      <w:pPr>
        <w:pStyle w:val="25"/>
      </w:pPr>
      <w:r>
        <w:rPr>
          <w:color w:val="0000FF"/>
          <w:sz w:val="24"/>
        </w:rPr>
        <w:t>●  前置条件: 电子票存在且状态为 UNUSED; 场次时间处于允许检票窗口.</w:t>
      </w:r>
    </w:p>
    <w:p w14:paraId="66890C2C">
      <w:pPr>
        <w:pStyle w:val="25"/>
      </w:pPr>
      <w:r>
        <w:rPr>
          <w:color w:val="0000FF"/>
          <w:sz w:val="24"/>
        </w:rPr>
        <w:t>●  后置条件: 票据状态 UNUSED → CHECKED_IN (无 checkin_record 表), publish TICKET_CHECKED_IN 刷新看板, 允许用户入场。</w:t>
      </w:r>
    </w:p>
    <w:p w14:paraId="46256153">
      <w:pPr>
        <w:pStyle w:val="25"/>
      </w:pPr>
      <w:r>
        <w:rPr>
          <w:color w:val="0000FF"/>
          <w:sz w:val="24"/>
        </w:rPr>
        <w:t>●  主成功场景: 1. 检票员 (checker / admin / sysadmin) 登录检票端; 2. 扫描或手动输入票号; 3. 前端 POST /api/checkin/verify; 4. 后端按 ticketCode 查票并校验所属订单为 PAID; 5. 校验票据为 UNUSED、场次未取消且处于检票窗口; 6. 将票据翻转为 CHECKED_IN; 7. 前端展示核销结果与座位 / 区域信息。</w:t>
      </w:r>
    </w:p>
    <w:p w14:paraId="315A7A15">
      <w:pPr>
        <w:pStyle w:val="25"/>
      </w:pPr>
      <w:r>
        <w:rPr>
          <w:color w:val="0000FF"/>
          <w:sz w:val="24"/>
        </w:rPr>
        <w:t>●  扩展（或替代流程）: 4a. 票码不存在: 返回 404; 4b. 订单非 PAID: 返回 409; 5a. 票据已 CHECKED_IN: 返回 409 重复检票; 5b. 票据状态非 UNUSED (RESERVED / VOID): 返回 409; 5c. 票据不属于当前检票场次或不在检票窗口: 返回 409。</w:t>
      </w:r>
    </w:p>
    <w:p w14:paraId="5C19E9FF">
      <w:pPr>
        <w:pStyle w:val="25"/>
      </w:pPr>
      <w:r>
        <w:rPr>
          <w:color w:val="0000FF"/>
          <w:sz w:val="24"/>
        </w:rPr>
        <w:t>●  特殊需求: 异常类型均需有清晰前台提示, 防止误判; 单次核销 P95 ≤ 0.6 秒.</w:t>
      </w:r>
    </w:p>
    <w:p w14:paraId="5BBA1861">
      <w:pPr>
        <w:pStyle w:val="25"/>
      </w:pPr>
      <w:r>
        <w:rPr>
          <w:color w:val="0000FF"/>
          <w:sz w:val="24"/>
        </w:rPr>
        <w:t>●  技术和数据变元表: 允许检票窗口 = 开演前 2 小时至演出结束; 检票角色 = checker / admin / sysadmin; 另有 GET /api/checkin/schedules 列出可检票场次。</w:t>
      </w:r>
    </w:p>
    <w:p w14:paraId="5B2B0F48"/>
    <w:p w14:paraId="6BFB9121">
      <w:r>
        <w:t>检票核销的活动流程与系统交互分别见图23 与图24.</w:t>
      </w:r>
    </w:p>
    <w:p w14:paraId="0C4D8BA2">
      <w:pPr>
        <w:jc w:val="center"/>
      </w:pPr>
      <w:r>
        <w:drawing>
          <wp:inline distT="0" distB="0" distL="114300" distR="114300">
            <wp:extent cx="3824956" cy="7772400"/>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9"/>
                    <a:stretch>
                      <a:fillRect/>
                    </a:stretch>
                  </pic:blipFill>
                  <pic:spPr>
                    <a:xfrm>
                      <a:off x="0" y="0"/>
                      <a:ext cx="3824956" cy="7772400"/>
                    </a:xfrm>
                    <a:prstGeom prst="rect">
                      <a:avLst/>
                    </a:prstGeom>
                  </pic:spPr>
                </pic:pic>
              </a:graphicData>
            </a:graphic>
          </wp:inline>
        </w:drawing>
      </w:r>
    </w:p>
    <w:p w14:paraId="5DA631B7">
      <w:pPr>
        <w:pStyle w:val="40"/>
        <w:jc w:val="center"/>
      </w:pPr>
      <w:r>
        <w:t>图23  检票核销活动图</w:t>
      </w:r>
    </w:p>
    <w:p w14:paraId="384CCA21">
      <w:pPr>
        <w:jc w:val="center"/>
      </w:pPr>
      <w:r>
        <w:drawing>
          <wp:inline distT="0" distB="0" distL="114300" distR="114300">
            <wp:extent cx="5039995" cy="4861330"/>
            <wp:effectExtent l="0" t="0" r="190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0"/>
                    <a:stretch>
                      <a:fillRect/>
                    </a:stretch>
                  </pic:blipFill>
                  <pic:spPr>
                    <a:xfrm>
                      <a:off x="0" y="0"/>
                      <a:ext cx="5039995" cy="4861330"/>
                    </a:xfrm>
                    <a:prstGeom prst="rect">
                      <a:avLst/>
                    </a:prstGeom>
                  </pic:spPr>
                </pic:pic>
              </a:graphicData>
            </a:graphic>
          </wp:inline>
        </w:drawing>
      </w:r>
    </w:p>
    <w:p w14:paraId="2EB8AE60">
      <w:pPr>
        <w:pStyle w:val="40"/>
        <w:jc w:val="center"/>
      </w:pPr>
      <w:r>
        <w:t>图24  检票核销顺序图</w:t>
      </w:r>
    </w:p>
    <w:p w14:paraId="443308C2">
      <w:pPr>
        <w:pStyle w:val="3"/>
      </w:pPr>
      <w:bookmarkStart w:id="26" w:name="_Toc22759"/>
      <w:r>
        <w:t>剧目与场次管理（ENC_UC_SHOW_01）</w:t>
      </w:r>
      <w:bookmarkEnd w:id="26"/>
    </w:p>
    <w:p w14:paraId="23B61DDA">
      <w:r>
        <w:t>本节详细描述剧目与场次管理功能的需求, 覆盖剧目维护、演出厅座位、排期和票池生成。</w:t>
      </w:r>
    </w:p>
    <w:p w14:paraId="28BAF6AC">
      <w:pPr>
        <w:pStyle w:val="25"/>
      </w:pPr>
      <w:r>
        <w:rPr>
          <w:color w:val="0000FF"/>
          <w:sz w:val="24"/>
        </w:rPr>
        <w:t>●  用例标示符: ENC_UC_SHOW_01</w:t>
      </w:r>
    </w:p>
    <w:p w14:paraId="32A7EC73">
      <w:pPr>
        <w:pStyle w:val="25"/>
      </w:pPr>
      <w:r>
        <w:rPr>
          <w:color w:val="0000FF"/>
          <w:sz w:val="24"/>
        </w:rPr>
        <w:t>●  用例名称: 剧目与场次管理</w:t>
      </w:r>
    </w:p>
    <w:p w14:paraId="634C2371">
      <w:pPr>
        <w:pStyle w:val="25"/>
      </w:pPr>
      <w:r>
        <w:rPr>
          <w:color w:val="0000FF"/>
          <w:sz w:val="24"/>
        </w:rPr>
        <w:t>●  范围: 系统用例</w:t>
      </w:r>
    </w:p>
    <w:p w14:paraId="225C715C">
      <w:pPr>
        <w:pStyle w:val="25"/>
      </w:pPr>
      <w:r>
        <w:rPr>
          <w:color w:val="0000FF"/>
          <w:sz w:val="24"/>
        </w:rPr>
        <w:t>●  级别: 用户目标级别</w:t>
      </w:r>
    </w:p>
    <w:p w14:paraId="382F73E9">
      <w:pPr>
        <w:pStyle w:val="25"/>
      </w:pPr>
      <w:r>
        <w:rPr>
          <w:color w:val="0000FF"/>
          <w:sz w:val="24"/>
        </w:rPr>
        <w:t>●  主要角色: 票务管理员</w:t>
      </w:r>
    </w:p>
    <w:p w14:paraId="75C561E6">
      <w:pPr>
        <w:pStyle w:val="25"/>
      </w:pPr>
      <w:r>
        <w:rPr>
          <w:color w:val="0000FF"/>
          <w:sz w:val="24"/>
        </w:rPr>
        <w:t>●  涉众: 票务管理员: 期望高效维护剧目和场次; 剧院运营经理: 期望排期可控; 注册用户: 期望准确的演出信息.</w:t>
      </w:r>
    </w:p>
    <w:p w14:paraId="45590332">
      <w:pPr>
        <w:pStyle w:val="25"/>
      </w:pPr>
      <w:r>
        <w:rPr>
          <w:color w:val="0000FF"/>
          <w:sz w:val="24"/>
        </w:rPr>
        <w:t>●  前置条件: 票务管理员已登录, 拥有剧目与场次维护权限.</w:t>
      </w:r>
    </w:p>
    <w:p w14:paraId="5723DD44">
      <w:pPr>
        <w:pStyle w:val="25"/>
      </w:pPr>
      <w:r>
        <w:rPr>
          <w:color w:val="0000FF"/>
          <w:sz w:val="24"/>
        </w:rPr>
        <w:t>●  后置条件: 剧目档案与场次信息已正确入库; 场次的座位票池已基于演出厅座位生成完毕.</w:t>
      </w:r>
    </w:p>
    <w:p w14:paraId="375736CF">
      <w:pPr>
        <w:pStyle w:val="25"/>
      </w:pPr>
      <w:r>
        <w:rPr>
          <w:color w:val="0000FF"/>
          <w:sz w:val="24"/>
        </w:rPr>
        <w:t>●  主成功场景: 1. 管理员维护剧目档案 (分类为剧目字段); 2. 维护场馆 venue、演出厅 venue_hall 与座位布局 seat_layout 并发布布局; 3. 为剧目创建场次, 绑定厅 / 布局、开演时间与售票模式; 4. 系统快照布局生成 schedule_seat 与 schedule_area_inventory; 5. 校验同厅时间冲突 (清场缓冲); 6. 发布并将场次置为 ON_SALE。</w:t>
      </w:r>
    </w:p>
    <w:p w14:paraId="31A91E18">
      <w:pPr>
        <w:pStyle w:val="25"/>
      </w:pPr>
      <w:r>
        <w:rPr>
          <w:color w:val="0000FF"/>
          <w:sz w:val="24"/>
        </w:rPr>
        <w:t>●  扩展（或替代流程）: 2a. 布局未发布 / 不完整: 拒绝快照并提示完善; 3a. 同厅时间冲突: 拒绝创建场次; 6a. 售罄或演出结束: 自动置为 SOLD_OUT / ENDED。</w:t>
      </w:r>
    </w:p>
    <w:p w14:paraId="13AEC3B4">
      <w:pPr>
        <w:pStyle w:val="25"/>
      </w:pPr>
      <w:r>
        <w:rPr>
          <w:color w:val="0000FF"/>
          <w:sz w:val="24"/>
        </w:rPr>
        <w:t>●  特殊需求: 票池生成在事务中执行, 单次场次座位数支持至 2000; 价格分区支持 1~4 档.</w:t>
      </w:r>
    </w:p>
    <w:p w14:paraId="04CF81CF">
      <w:pPr>
        <w:pStyle w:val="25"/>
      </w:pPr>
      <w:r>
        <w:rPr>
          <w:color w:val="0000FF"/>
          <w:sz w:val="24"/>
        </w:rPr>
        <w:t>●  技术和数据变元表: 场次状态 ScheduleStatus = DRAFT / PUBLISHED / COMING_SOON / PREPARING / ON_SALE / SOLD_OUT / CANCELLED / ENDED; 售票模式 = SEATED / ZONED / MIXED; 票价精度 DECIMAL(10,2)。</w:t>
      </w:r>
    </w:p>
    <w:p w14:paraId="0B6B9216"/>
    <w:p w14:paraId="51DEE07A">
      <w:r>
        <w:t>剧目与场次管理的完整活动流程见图25.</w:t>
      </w:r>
    </w:p>
    <w:p w14:paraId="6DEE795C">
      <w:pPr>
        <w:jc w:val="center"/>
      </w:pPr>
      <w:r>
        <w:drawing>
          <wp:inline distT="0" distB="0" distL="114300" distR="114300">
            <wp:extent cx="4302281" cy="7772400"/>
            <wp:effectExtent l="0" t="0" r="190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1"/>
                    <a:stretch>
                      <a:fillRect/>
                    </a:stretch>
                  </pic:blipFill>
                  <pic:spPr>
                    <a:xfrm>
                      <a:off x="0" y="0"/>
                      <a:ext cx="4302281" cy="7772400"/>
                    </a:xfrm>
                    <a:prstGeom prst="rect">
                      <a:avLst/>
                    </a:prstGeom>
                  </pic:spPr>
                </pic:pic>
              </a:graphicData>
            </a:graphic>
          </wp:inline>
        </w:drawing>
      </w:r>
    </w:p>
    <w:p w14:paraId="745D3129">
      <w:pPr>
        <w:pStyle w:val="40"/>
        <w:jc w:val="center"/>
      </w:pPr>
      <w:r>
        <w:t>图25  剧目与场次管理活动图</w:t>
      </w:r>
    </w:p>
    <w:p w14:paraId="7AA5B187">
      <w:pPr>
        <w:pStyle w:val="3"/>
      </w:pPr>
      <w:bookmarkStart w:id="27" w:name="_Toc27699"/>
      <w:r>
        <w:t>统计报表查看（ENC_UC_STAT_01）</w:t>
      </w:r>
      <w:bookmarkEnd w:id="27"/>
    </w:p>
    <w:p w14:paraId="6198863D">
      <w:r>
        <w:t>本节详细描述统计报表查看功能的需求, 以及票房看板生成和实时刷新流程。</w:t>
      </w:r>
    </w:p>
    <w:p w14:paraId="6AC3D411">
      <w:pPr>
        <w:pStyle w:val="25"/>
      </w:pPr>
      <w:r>
        <w:rPr>
          <w:color w:val="0000FF"/>
          <w:sz w:val="24"/>
        </w:rPr>
        <w:t>●  用例标示符: ENC_UC_STAT_01</w:t>
      </w:r>
    </w:p>
    <w:p w14:paraId="1FD8D0DE">
      <w:pPr>
        <w:pStyle w:val="25"/>
      </w:pPr>
      <w:r>
        <w:rPr>
          <w:color w:val="0000FF"/>
          <w:sz w:val="24"/>
        </w:rPr>
        <w:t>●  用例名称: 统计报表查看</w:t>
      </w:r>
    </w:p>
    <w:p w14:paraId="6CE9B071">
      <w:pPr>
        <w:pStyle w:val="25"/>
      </w:pPr>
      <w:r>
        <w:rPr>
          <w:color w:val="0000FF"/>
          <w:sz w:val="24"/>
        </w:rPr>
        <w:t>●  范围: 系统用例</w:t>
      </w:r>
    </w:p>
    <w:p w14:paraId="3E5CFEE2">
      <w:pPr>
        <w:pStyle w:val="25"/>
      </w:pPr>
      <w:r>
        <w:rPr>
          <w:color w:val="0000FF"/>
          <w:sz w:val="24"/>
        </w:rPr>
        <w:t>●  级别: 用户目标级别</w:t>
      </w:r>
    </w:p>
    <w:p w14:paraId="1EFE4B5A">
      <w:pPr>
        <w:pStyle w:val="25"/>
      </w:pPr>
      <w:r>
        <w:rPr>
          <w:color w:val="0000FF"/>
          <w:sz w:val="24"/>
        </w:rPr>
        <w:t>●  主要角色: 票务管理员 (兼剧院运营经理只读)</w:t>
      </w:r>
    </w:p>
    <w:p w14:paraId="1984796B">
      <w:pPr>
        <w:pStyle w:val="25"/>
      </w:pPr>
      <w:r>
        <w:rPr>
          <w:color w:val="0000FF"/>
          <w:sz w:val="24"/>
        </w:rPr>
        <w:t>●  涉众: 票务管理员: 期望实时把握销售与上座率; 剧院运营经理: 期望支持排期决策.</w:t>
      </w:r>
    </w:p>
    <w:p w14:paraId="4B08E203">
      <w:pPr>
        <w:pStyle w:val="25"/>
      </w:pPr>
      <w:r>
        <w:rPr>
          <w:color w:val="0000FF"/>
          <w:sz w:val="24"/>
        </w:rPr>
        <w:t>●  前置条件: 管理员已登录后台并具有数据看板查看权限.</w:t>
      </w:r>
    </w:p>
    <w:p w14:paraId="0930B6C6">
      <w:pPr>
        <w:pStyle w:val="25"/>
      </w:pPr>
      <w:r>
        <w:rPr>
          <w:color w:val="0000FF"/>
          <w:sz w:val="24"/>
        </w:rPr>
        <w:t>●  后置条件: 看板展示当日订单数、当日销售额、近 7 日票房趋势、Top5 热门演出、检票汇总等关键指标。</w:t>
      </w:r>
    </w:p>
    <w:p w14:paraId="1D579135">
      <w:pPr>
        <w:pStyle w:val="25"/>
      </w:pPr>
      <w:r>
        <w:rPr>
          <w:color w:val="0000FF"/>
          <w:sz w:val="24"/>
        </w:rPr>
        <w:t>●  主成功场景: 1. 管理员打开数据看板页; 2. 前端 GET /api/admin/dashboard; 3. AdminService 在应用层内存聚合 ticket_order、ticket_item、encore_show、show_schedule; 4. 返回 DashboardResponse; 5. 前端用 ECharts 渲染折线 + 柱状 (双轴) 与 Top5 横向柱。</w:t>
      </w:r>
    </w:p>
    <w:p w14:paraId="3A6079BA">
      <w:pPr>
        <w:pStyle w:val="25"/>
      </w:pPr>
      <w:r>
        <w:rPr>
          <w:color w:val="0000FF"/>
          <w:sz w:val="24"/>
        </w:rPr>
        <w:t>●  扩展（或替代流程）: 2a. 当日无数据: 显示空状态而非 0 错误. 4a. 后端聚合耗时较长: 前端展示骨架屏并最长等待 3 秒.</w:t>
      </w:r>
    </w:p>
    <w:p w14:paraId="1EC3D502">
      <w:pPr>
        <w:pStyle w:val="25"/>
      </w:pPr>
      <w:r>
        <w:rPr>
          <w:color w:val="0000FF"/>
          <w:sz w:val="24"/>
        </w:rPr>
        <w:t>●  特殊需求: 看板数据来自实时查询, 不接入离线数仓; 复杂聚合需建索引避免全表扫.</w:t>
      </w:r>
    </w:p>
    <w:p w14:paraId="1243D66C">
      <w:pPr>
        <w:pStyle w:val="25"/>
      </w:pPr>
      <w:r>
        <w:rPr>
          <w:color w:val="0000FF"/>
          <w:sz w:val="24"/>
        </w:rPr>
        <w:t>●  技术和数据变元表: 时间范围 近 7 日趋势; 折线点数 ≤ 7; 排行榜 Top5; 刷新经 /topic/admin/dashboard 事件信号 + 前端主动重拉。</w:t>
      </w:r>
    </w:p>
    <w:p w14:paraId="3222FF80"/>
    <w:p w14:paraId="2AA215B9">
      <w:r>
        <w:t>统计报表的生成交互见图26.</w:t>
      </w:r>
    </w:p>
    <w:p w14:paraId="302D22D3">
      <w:pPr>
        <w:jc w:val="center"/>
      </w:pPr>
      <w:r>
        <w:drawing>
          <wp:inline distT="0" distB="0" distL="114300" distR="114300">
            <wp:extent cx="5039995" cy="4116386"/>
            <wp:effectExtent l="0" t="0" r="190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2"/>
                    <a:stretch>
                      <a:fillRect/>
                    </a:stretch>
                  </pic:blipFill>
                  <pic:spPr>
                    <a:xfrm>
                      <a:off x="0" y="0"/>
                      <a:ext cx="5039995" cy="4116386"/>
                    </a:xfrm>
                    <a:prstGeom prst="rect">
                      <a:avLst/>
                    </a:prstGeom>
                  </pic:spPr>
                </pic:pic>
              </a:graphicData>
            </a:graphic>
          </wp:inline>
        </w:drawing>
      </w:r>
    </w:p>
    <w:p w14:paraId="7ED28FA6">
      <w:pPr>
        <w:pStyle w:val="40"/>
        <w:jc w:val="center"/>
      </w:pPr>
      <w:r>
        <w:t>图26  统计报表生成顺序图</w:t>
      </w:r>
    </w:p>
    <w:p w14:paraId="2FC2BB14">
      <w:r>
        <w:t>在 ENC_UC_STAT_01 主成功场景之上, ENCORE 管理端数据看板采用深色底 + 金色高亮的 BI 视觉风格, 看板架构与关键数据流如图27 所示:</w:t>
      </w:r>
    </w:p>
    <w:p w14:paraId="2244F0E5">
      <w:pPr>
        <w:pStyle w:val="25"/>
      </w:pPr>
      <w:r>
        <w:t>视觉规范: 深色底 + 金色 (#C8955A) 高亮、灰阶坐标 (#8A8480) 的 ECharts 风格, 与用户端沉浸式剧院风格呼应。</w:t>
      </w:r>
    </w:p>
    <w:p w14:paraId="77B8B392">
      <w:pPr>
        <w:pStyle w:val="25"/>
      </w:pPr>
      <w:r>
        <w:t>图表构成: 营收 / 订单 / 售票 / 检票 KPI 数字卡, 近 7 日票房与销量折线 + 柱状双轴图, Top5 热门演出横向柱, 检票汇总卡 (当期为折线 + 柱状, 暂未含 Sankey / 饼图 / 热力图)。</w:t>
      </w:r>
    </w:p>
    <w:p w14:paraId="1A7FC70B">
      <w:pPr>
        <w:pStyle w:val="25"/>
      </w:pPr>
      <w:r>
        <w:t>实时刷新: 下单 / 支付 / 检票事件触发 DashboardRefreshPublisher 向 /topic/admin/dashboard 推送轻量信号, 前端收到后主动重拉看板数据, 避免高频轮询。</w:t>
      </w:r>
    </w:p>
    <w:p w14:paraId="7FD4B968">
      <w:pPr>
        <w:pStyle w:val="25"/>
      </w:pPr>
      <w:r>
        <w:t>数据聚合: 看板指标由 AdminService 在应用层内存聚合 (stream / groupingBy) 完成, 未引入 Redis 看板缓存与离线数仓; 数据规模增大后可优化为聚合 SQL 或缓存。</w:t>
      </w:r>
    </w:p>
    <w:p w14:paraId="0108938B">
      <w:pPr>
        <w:jc w:val="center"/>
      </w:pPr>
      <w:r>
        <w:drawing>
          <wp:inline distT="0" distB="0" distL="114300" distR="114300">
            <wp:extent cx="5039995" cy="2577903"/>
            <wp:effectExtent l="0" t="0" r="190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3"/>
                    <a:stretch>
                      <a:fillRect/>
                    </a:stretch>
                  </pic:blipFill>
                  <pic:spPr>
                    <a:xfrm>
                      <a:off x="0" y="0"/>
                      <a:ext cx="5039995" cy="2577903"/>
                    </a:xfrm>
                    <a:prstGeom prst="rect">
                      <a:avLst/>
                    </a:prstGeom>
                  </pic:spPr>
                </pic:pic>
              </a:graphicData>
            </a:graphic>
          </wp:inline>
        </w:drawing>
      </w:r>
    </w:p>
    <w:p w14:paraId="44FF0128">
      <w:pPr>
        <w:pStyle w:val="40"/>
        <w:jc w:val="center"/>
      </w:pPr>
      <w:r>
        <w:t>图27  黑金"指挥中心"看板架构与数据流图</w:t>
      </w:r>
    </w:p>
    <w:p w14:paraId="42CCDBB4">
      <w:pPr>
        <w:pStyle w:val="3"/>
      </w:pPr>
      <w:bookmarkStart w:id="28" w:name="_Toc21496"/>
      <w:r>
        <w:t>演出智能推荐（ENC_UC_REC_01）</w:t>
      </w:r>
      <w:bookmarkEnd w:id="28"/>
    </w:p>
    <w:p w14:paraId="1E6B1786">
      <w:r>
        <w:t>本节详细描述演出智能推荐功能的需求, 覆盖游客冷启动与注册用户个性化推荐两类流程。</w:t>
      </w:r>
    </w:p>
    <w:p w14:paraId="5D708377">
      <w:pPr>
        <w:pStyle w:val="25"/>
      </w:pPr>
      <w:r>
        <w:rPr>
          <w:color w:val="0000FF"/>
          <w:sz w:val="24"/>
        </w:rPr>
        <w:t>●  用例标示符: ENC_UC_REC_01</w:t>
      </w:r>
    </w:p>
    <w:p w14:paraId="410D2DF5">
      <w:pPr>
        <w:pStyle w:val="25"/>
      </w:pPr>
      <w:r>
        <w:rPr>
          <w:color w:val="0000FF"/>
          <w:sz w:val="24"/>
        </w:rPr>
        <w:t>●  用例名称: 演出智能推荐</w:t>
      </w:r>
    </w:p>
    <w:p w14:paraId="5A35307D">
      <w:pPr>
        <w:pStyle w:val="25"/>
      </w:pPr>
      <w:r>
        <w:rPr>
          <w:color w:val="0000FF"/>
          <w:sz w:val="24"/>
        </w:rPr>
        <w:t>●  范围: 系统用例</w:t>
      </w:r>
    </w:p>
    <w:p w14:paraId="5DC03198">
      <w:pPr>
        <w:pStyle w:val="25"/>
      </w:pPr>
      <w:r>
        <w:rPr>
          <w:color w:val="0000FF"/>
          <w:sz w:val="24"/>
        </w:rPr>
        <w:t>●  级别: 用户目标级别</w:t>
      </w:r>
    </w:p>
    <w:p w14:paraId="7B753604">
      <w:pPr>
        <w:pStyle w:val="25"/>
      </w:pPr>
      <w:r>
        <w:rPr>
          <w:color w:val="0000FF"/>
          <w:sz w:val="24"/>
        </w:rPr>
        <w:t>●  主要角色: 游客 / 注册用户</w:t>
      </w:r>
    </w:p>
    <w:p w14:paraId="79B0D334">
      <w:pPr>
        <w:pStyle w:val="25"/>
      </w:pPr>
      <w:r>
        <w:rPr>
          <w:color w:val="0000FF"/>
          <w:sz w:val="24"/>
        </w:rPr>
        <w:t>●  涉众: 用户: 期望在首页快速发现感兴趣的演出, 不必反复搜索; 票务管理员: 期望长尾剧目曝光与售卖均衡; 剧院运营经理: 期望提升整体上座率.</w:t>
      </w:r>
    </w:p>
    <w:p w14:paraId="625FBAE7">
      <w:pPr>
        <w:pStyle w:val="25"/>
      </w:pPr>
      <w:r>
        <w:rPr>
          <w:color w:val="0000FF"/>
          <w:sz w:val="24"/>
        </w:rPr>
        <w:t>●  前置条件: 用户访问 ENCORE 用户端首页或推荐 Tab; (注册用户场景下) 用户已登录.</w:t>
      </w:r>
    </w:p>
    <w:p w14:paraId="1EB3F7C1">
      <w:pPr>
        <w:pStyle w:val="25"/>
      </w:pPr>
      <w:r>
        <w:rPr>
          <w:color w:val="0000FF"/>
          <w:sz w:val="24"/>
        </w:rPr>
        <w:t>●  后置条件: 首页猜你喜欢位返回全局 Top8 推荐演出列表, 对所有用户一致 (非个性化), 附热度展示分数。</w:t>
      </w:r>
    </w:p>
    <w:p w14:paraId="74BD54FF">
      <w:pPr>
        <w:pStyle w:val="25"/>
      </w:pPr>
      <w:r>
        <w:rPr>
          <w:color w:val="0000FF"/>
          <w:sz w:val="24"/>
        </w:rPr>
        <w:t>●  主成功场景: 1. 用户进入首页或推荐位; 2. 前端 GET /api/shows/recommendations/top8; 3. ShowService.listTopRecommendations 载入 PUBLISHED 演出及其场次 / 票务统计; 4. 按 recommendationComparator 排序 (在售优先 &gt; 累计销量 &gt; 累计营收 &gt; 运营权重 sortOrder &gt; 新近 createdAt); 5. 计算 hotScore = 销量×100 + 可售场次×10 + 营收 用于热度展示; 6. 截取前 8 个返回; 7. 前端首页渲染。完整流程如图28 所示。</w:t>
      </w:r>
    </w:p>
    <w:p w14:paraId="08FD4C6B">
      <w:pPr>
        <w:pStyle w:val="25"/>
      </w:pPr>
      <w:r>
        <w:rPr>
          <w:color w:val="0000FF"/>
          <w:sz w:val="24"/>
        </w:rPr>
        <w:t>●  扩展（或替代流程）: 4a. 暂无 PUBLISHED 演出: 返回空列表, 前端显示空状态; 4b. 多演出统计并列: 按比较器后续键稳定定序。</w:t>
      </w:r>
    </w:p>
    <w:p w14:paraId="65E726D0">
      <w:pPr>
        <w:pStyle w:val="25"/>
      </w:pPr>
      <w:r>
        <w:rPr>
          <w:color w:val="0000FF"/>
          <w:sz w:val="24"/>
        </w:rPr>
        <w:t>●  特殊需求: 推荐接口 P95 ≤ 1.5 秒; 排序在应用层完成, 不依赖离线计算; 运营权重 sortOrder 可后台调整。</w:t>
      </w:r>
    </w:p>
    <w:p w14:paraId="25CB5096">
      <w:pPr>
        <w:pStyle w:val="25"/>
      </w:pPr>
      <w:r>
        <w:rPr>
          <w:color w:val="0000FF"/>
          <w:sz w:val="24"/>
        </w:rPr>
        <w:t>●  技术和数据变元表: 固定返回 Top8, 全局统一结果, 无按用户缓存; 比较器键: 在售 / 销量 / 营收 / sortOrder / createdAt; 后续路线: 引入用户行为召回与个性化排序 (本期不实现)。</w:t>
      </w:r>
    </w:p>
    <w:p w14:paraId="6253C804"/>
    <w:p w14:paraId="7ADE5052">
      <w:r>
        <w:t>演出智能推荐的端到端流程见图28.</w:t>
      </w:r>
    </w:p>
    <w:p w14:paraId="67F15EA4">
      <w:pPr>
        <w:jc w:val="center"/>
      </w:pPr>
      <w:r>
        <w:drawing>
          <wp:inline distT="0" distB="0" distL="114300" distR="114300">
            <wp:extent cx="5039995" cy="6868146"/>
            <wp:effectExtent l="0" t="0" r="190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4"/>
                    <a:stretch>
                      <a:fillRect/>
                    </a:stretch>
                  </pic:blipFill>
                  <pic:spPr>
                    <a:xfrm>
                      <a:off x="0" y="0"/>
                      <a:ext cx="5039995" cy="6868146"/>
                    </a:xfrm>
                    <a:prstGeom prst="rect">
                      <a:avLst/>
                    </a:prstGeom>
                  </pic:spPr>
                </pic:pic>
              </a:graphicData>
            </a:graphic>
          </wp:inline>
        </w:drawing>
      </w:r>
    </w:p>
    <w:p w14:paraId="7C9BEB58">
      <w:pPr>
        <w:pStyle w:val="40"/>
        <w:jc w:val="center"/>
      </w:pPr>
      <w:r>
        <w:t>图28  演出推荐 Top8 生成流程图</w:t>
      </w:r>
    </w:p>
    <w:p w14:paraId="364B208F">
      <w:r>
        <w:rPr>
          <w:sz w:val="24"/>
        </w:rPr>
        <w:t>演出推荐完全由后端本地规则排序生成, 不调用任何外部大模型, 也不进入购票、下单、检票等必需链路, 因此无外部 API 成本与额度风险。</w:t>
      </w:r>
    </w:p>
    <w:p w14:paraId="4ABB8F7C">
      <w:r>
        <w:rPr>
          <w:sz w:val="24"/>
        </w:rPr>
        <w:t>若未来引入个性化或运营辅助能力, 将采用本地优先、外部可选的降级策略: 外部服务不可用时自动回退本地规则与模板, 不影响用户购票、管理员排期、检票核销与数据看板。</w:t>
      </w:r>
    </w:p>
    <w:p>
      <w:pPr>
        <w:pStyle w:val="3"/>
      </w:pPr>
      <w:r>
        <w:t>区域购票（ENC_UC_ORDER_05）</w:t>
      </w:r>
    </w:p>
    <w:p>
      <w:pPr>
        <w:pStyle w:val="25"/>
      </w:pPr>
      <w:r>
        <w:t>●  用例名称: 区域购票 (ZONED / MIXED)</w:t>
      </w:r>
    </w:p>
    <w:p>
      <w:pPr>
        <w:pStyle w:val="25"/>
      </w:pPr>
      <w:r>
        <w:t>●  范围: 系统用例</w:t>
      </w:r>
    </w:p>
    <w:p>
      <w:pPr>
        <w:pStyle w:val="25"/>
      </w:pPr>
      <w:r>
        <w:t>●  级别: 用户目标级别</w:t>
      </w:r>
    </w:p>
    <w:p>
      <w:pPr>
        <w:pStyle w:val="25"/>
      </w:pPr>
      <w:r>
        <w:t>●  主要角色: 注册用户</w:t>
      </w:r>
    </w:p>
    <w:p>
      <w:pPr>
        <w:pStyle w:val="25"/>
      </w:pPr>
      <w:r>
        <w:t>●  涉众: 注册用户: 期望对站票 / 看台等非对号区域快速选区购票; 票务管理员: 期望区域库存准确、不超卖; 剧院: 期望提升非对号区域的售卖效率.</w:t>
      </w:r>
    </w:p>
    <w:p>
      <w:pPr>
        <w:pStyle w:val="25"/>
      </w:pPr>
      <w:r>
        <w:t>●  前置条件: 用户已登录; 目标场次售票模式为 ZONED 或 MIXED 且处于 ON_SALE; 目标区域 schedule_area_inventory 状态为 AVAILABLE.</w:t>
      </w:r>
    </w:p>
    <w:p>
      <w:pPr>
        <w:pStyle w:val="25"/>
      </w:pPr>
      <w:r>
        <w:t>●  后置条件: 区域库存 locked 增加对应张数; 生成 PENDING_PAYMENT 订单与等量 RESERVED 票据 (seatId 为空, 绑定 areaInventoryId); 支付后 locked 转 sold、票据转 UNUSED.</w:t>
      </w:r>
    </w:p>
    <w:p>
      <w:pPr>
        <w:pStyle w:val="25"/>
      </w:pPr>
      <w:r>
        <w:t>●  主成功场景: 1. 用户打开区域售票场次; 2. 前端 GET /api/schedules/{id}/areas 加载区域 (price / total / available / locked / sold / status); 3. 用户选择区域与张数 (1~4); 4. 前端 POST /api/orders {scheduleId, areaInventoryId, quantity}; 5. 后端校验在售、张数与区域归属; 6. lockInventory 原子扣减 (available-=q, locked+=q); 7. 写入订单与 RESERVED 票据并 publish AREA_LOCKED; 8. 返回订单 ID, 前端跳转支付页.</w:t>
      </w:r>
    </w:p>
    <w:p>
      <w:pPr>
        <w:pStyle w:val="25"/>
      </w:pPr>
      <w:r>
        <w:t>●  扩展（或替代流程）: 3a. 张数超出 1~4: 返回 400; 5a. 已存在相同待支付区域订单: 幂等返回原订单; 6a. 区域余票不足 (lockInventory 影响行数 0): 返回 409 区域余票不足; 支付 5b. sellInventory 影响行数 0: 回滚并返回失败.</w:t>
      </w:r>
    </w:p>
    <w:p>
      <w:pPr>
        <w:pStyle w:val="25"/>
      </w:pPr>
      <w:r>
        <w:t>●  特殊需求: 库存四原子计数 (total / available / locked / sold) 经 WHERE 余量 ≥ q 的 CAS 更新维护, 防并发超卖; 区域票不锁定具体座位.</w:t>
      </w:r>
    </w:p>
    <w:p>
      <w:pPr>
        <w:pStyle w:val="25"/>
      </w:pPr>
      <w:r>
        <w:t>●  技术和数据变元表: 售票模式 ZONED / MIXED; 每单 1~4 张; 倒计时 15 分钟; 票号 ticketCode 下单即生成; MIXED 中对号区按 schedule_seat 计数、纯站票区按 schedule_area_inventory 计数. 完整下单与支付时序见图30.</w:t>
      </w:r>
    </w:p>
    <w:p>
      <w:pPr/>
    </w:p>
    <w:p>
      <w:pPr/>
      <w:r>
        <w:t>区域购票的下单与支付时序见图30.</w:t>
      </w:r>
    </w:p>
    <w:p>
      <w:pPr>
        <w:jc w:val="center"/>
      </w:pPr>
      <w:r>
        <w:drawing>
          <wp:inline xmlns:a="http://schemas.openxmlformats.org/drawingml/2006/main" xmlns:pic="http://schemas.openxmlformats.org/drawingml/2006/picture">
            <wp:extent cx="5039995" cy="6089277"/>
            <wp:docPr id="30" name="Picture 30"/>
            <wp:cNvGraphicFramePr>
              <a:graphicFrameLocks noChangeAspect="1"/>
            </wp:cNvGraphicFramePr>
            <a:graphic>
              <a:graphicData uri="http://schemas.openxmlformats.org/drawingml/2006/picture">
                <pic:pic>
                  <pic:nvPicPr>
                    <pic:cNvPr id="0" name="figure-30.png"/>
                    <pic:cNvPicPr/>
                  </pic:nvPicPr>
                  <pic:blipFill>
                    <a:blip r:embed="rId48"/>
                    <a:stretch>
                      <a:fillRect/>
                    </a:stretch>
                  </pic:blipFill>
                  <pic:spPr>
                    <a:xfrm>
                      <a:off x="0" y="0"/>
                      <a:ext cx="5039995" cy="6089277"/>
                    </a:xfrm>
                    <a:prstGeom prst="rect"/>
                  </pic:spPr>
                </pic:pic>
              </a:graphicData>
            </a:graphic>
          </wp:inline>
        </w:drawing>
      </w:r>
    </w:p>
    <w:p>
      <w:pPr>
        <w:pStyle w:val="40"/>
        <w:jc w:val="center"/>
      </w:pPr>
      <w:r>
        <w:t>图30  区域售票 (ZONED/MIXED) 下单顺序图</w:t>
      </w:r>
    </w:p>
    <w:p>
      <w:pPr>
        <w:pStyle w:val="3"/>
      </w:pPr>
      <w:r>
        <w:t>拼座邀请（ENC_UC_SEAT_03）</w:t>
      </w:r>
    </w:p>
    <w:p>
      <w:pPr>
        <w:pStyle w:val="25"/>
      </w:pPr>
      <w:r>
        <w:t>●  用例名称: 拼座邀请协作下单</w:t>
      </w:r>
    </w:p>
    <w:p>
      <w:pPr>
        <w:pStyle w:val="25"/>
      </w:pPr>
      <w:r>
        <w:t>●  范围: 系统用例</w:t>
      </w:r>
    </w:p>
    <w:p>
      <w:pPr>
        <w:pStyle w:val="25"/>
      </w:pPr>
      <w:r>
        <w:t>●  级别: 用户目标级别</w:t>
      </w:r>
    </w:p>
    <w:p>
      <w:pPr>
        <w:pStyle w:val="25"/>
      </w:pPr>
      <w:r>
        <w:t>●  主要角色: 注册用户 (发起人 / 受邀成员)</w:t>
      </w:r>
    </w:p>
    <w:p>
      <w:pPr>
        <w:pStyle w:val="25"/>
      </w:pPr>
      <w:r>
        <w:t>●  涉众: 发起人: 期望与好友选定相邻座位合并支付; 受邀成员: 期望凭邀请码快速加入同场次锁座; 票务管理员: 期望拼座锁与个人锁互斥、超时可回收.</w:t>
      </w:r>
    </w:p>
    <w:p>
      <w:pPr>
        <w:pStyle w:val="25"/>
      </w:pPr>
      <w:r>
        <w:t>●  前置条件: 各参与者均已登录; 同一 SEATED 场次处于 ON_SALE; 目标座位为 AVAILABLE.</w:t>
      </w:r>
    </w:p>
    <w:p>
      <w:pPr>
        <w:pStyle w:val="25"/>
      </w:pPr>
      <w:r>
        <w:t>●  后置条件: 拼座座位以 owner=group:{inviteCode} 锁定 (Redis 会话 encore:group-order:{inviteCode}, TTL 15 分钟); 结算后合并为一笔订单, 锁 owner 转 orderId.</w:t>
      </w:r>
    </w:p>
    <w:p>
      <w:pPr>
        <w:pStyle w:val="25"/>
      </w:pPr>
      <w:r>
        <w:t>●  主成功场景: 1. 发起人 POST /api/group-orders {scheduleId, seatIds} 生成邀请码 g-xxxx; 2. 系统以 group 锁锁定座位并广播 LOCKED; 3. 受邀成员 GET /api/group-orders/{inviteCode} 查看, POST /{inviteCode}/join 加入并联合锁座; 4. 发起人 POST /{inviteCode}/checkout 校验群锁有效后合并下单得 orderId; 5. 发起人 POST /api/orders/{orderId}/pay 支付 (沿用图21).</w:t>
      </w:r>
    </w:p>
    <w:p>
      <w:pPr>
        <w:pStyle w:val="25"/>
      </w:pPr>
      <w:r>
        <w:t>●  扩展（或替代流程）: 3a. 座位已被他人认领: 返回 409; 3b. 总座位数超过 6: 返回 400; 成员退出 DELETE /{inviteCode}/members/me (发起人不可退出); 取消 DELETE /{inviteCode} (仅发起人, 释放全部锁, 会话 CANCELLED); 超时未结算: 定时任务回收锁与会话并广播 GROUP_RELEASED.</w:t>
      </w:r>
    </w:p>
    <w:p>
      <w:pPr>
        <w:pStyle w:val="25"/>
      </w:pPr>
      <w:r>
        <w:t>●  特殊需求: 拼座座位锁 owner=group:{inviteCode} 与个人锁互斥; 会话与座位锁均 15 分钟 TTL, 超时自动回收; 单笔拼座最多 6 个座位.</w:t>
      </w:r>
    </w:p>
    <w:p>
      <w:pPr>
        <w:pStyle w:val="25"/>
      </w:pPr>
      <w:r>
        <w:t>●  技术和数据变元表: 邀请码 inviteCode = g + 10 位十六进制; Redis 会话 encore:group-order:{inviteCode} 状态 OPEN / CHECKED_OUT / CANCELLED; 座位锁键 encore:seat-lock:{scheduleId}:{seatCode}. 完整协作时序见图31.</w:t>
      </w:r>
    </w:p>
    <w:p>
      <w:pPr/>
    </w:p>
    <w:p>
      <w:pPr/>
      <w:r>
        <w:t>拼座邀请的发起、加入与结算时序见图31.</w:t>
      </w:r>
    </w:p>
    <w:p>
      <w:pPr>
        <w:jc w:val="center"/>
      </w:pPr>
      <w:r>
        <w:drawing>
          <wp:inline xmlns:a="http://schemas.openxmlformats.org/drawingml/2006/main" xmlns:pic="http://schemas.openxmlformats.org/drawingml/2006/picture">
            <wp:extent cx="5039995" cy="3938415"/>
            <wp:docPr id="31" name="Picture 31"/>
            <wp:cNvGraphicFramePr>
              <a:graphicFrameLocks noChangeAspect="1"/>
            </wp:cNvGraphicFramePr>
            <a:graphic>
              <a:graphicData uri="http://schemas.openxmlformats.org/drawingml/2006/picture">
                <pic:pic>
                  <pic:nvPicPr>
                    <pic:cNvPr id="0" name="figure-31.png"/>
                    <pic:cNvPicPr/>
                  </pic:nvPicPr>
                  <pic:blipFill>
                    <a:blip r:embed="rId49"/>
                    <a:stretch>
                      <a:fillRect/>
                    </a:stretch>
                  </pic:blipFill>
                  <pic:spPr>
                    <a:xfrm>
                      <a:off x="0" y="0"/>
                      <a:ext cx="5039995" cy="3938415"/>
                    </a:xfrm>
                    <a:prstGeom prst="rect"/>
                  </pic:spPr>
                </pic:pic>
              </a:graphicData>
            </a:graphic>
          </wp:inline>
        </w:drawing>
      </w:r>
    </w:p>
    <w:p>
      <w:pPr>
        <w:pStyle w:val="40"/>
        <w:jc w:val="center"/>
      </w:pPr>
      <w:r>
        <w:t>图31  拼座邀请协作下单顺序图</w:t>
      </w:r>
    </w:p>
    <w:p w14:paraId="2DAD714D">
      <w:pPr>
        <w:pStyle w:val="2"/>
      </w:pPr>
      <w:bookmarkStart w:id="29" w:name="_Toc10457"/>
      <w:r>
        <w:rPr>
          <w:rFonts w:hint="eastAsia"/>
        </w:rPr>
        <w:t>非功能需求</w:t>
      </w:r>
      <w:bookmarkEnd w:id="29"/>
    </w:p>
    <w:p w14:paraId="54CEC8E6">
      <w:r>
        <w:t>本章节描述 ENCORE 票务管理系统在功能需求之外, 必须满足的界面与接口、性能、安全、可靠性、适应性、设计约束等非功能需求, 用于约束系统在质量属性维度的设计与实现.</w:t>
      </w:r>
    </w:p>
    <w:p w14:paraId="6D0992D8">
      <w:pPr>
        <w:pStyle w:val="3"/>
      </w:pPr>
      <w:bookmarkStart w:id="30" w:name="_Toc29206"/>
      <w:r>
        <w:t>界面与接口需求</w:t>
      </w:r>
      <w:bookmarkEnd w:id="30"/>
    </w:p>
    <w:p w14:paraId="384AF151">
      <w:pPr>
        <w:pStyle w:val="4"/>
      </w:pPr>
      <w:bookmarkStart w:id="31" w:name="_Toc14707"/>
      <w:r>
        <w:t>界面需求</w:t>
      </w:r>
      <w:bookmarkEnd w:id="31"/>
    </w:p>
    <w:p w14:paraId="768EF84C">
      <w:pPr>
        <w:pStyle w:val="25"/>
      </w:pPr>
      <w:r>
        <w:t>用户端 (购票端): 采用沉浸式剧院深色风格, 主色 #2A0B0B / #C8A35E / #1A1A1A, 强调海报、座位图与电子票的视觉表达; 整体布局响应式, 桌面分辨率 ≥ 1280×720, 平板与移动端通过媒体查询自适应.</w:t>
      </w:r>
    </w:p>
    <w:p w14:paraId="32258469">
      <w:pPr>
        <w:pStyle w:val="25"/>
      </w:pPr>
      <w:r>
        <w:t>用户端 3D 座位视角组件: 在选座页基于 three.js 渲染剧院 3D 场景, 用户点击具体座位时弹出 "从该座位看向舞台" 的 PerspectiveCamera 视角预览; 帧率 ≥ 30 FPS, 首屏加载 ≤ 3 秒, WebGL 不可用时退回静态全景图.</w:t>
      </w:r>
    </w:p>
    <w:p w14:paraId="664EA785">
      <w:pPr>
        <w:pStyle w:val="25"/>
      </w:pPr>
      <w:r>
        <w:t>管理端: 采用 Element Plus 默认浅色商务风格, 以表格 / 表单 / 数据看板为主, 左侧固定导航 + 顶部用户菜单, 分辨率 ≥ 1366×768.</w:t>
      </w:r>
    </w:p>
    <w:p w14:paraId="2861F468">
      <w:pPr>
        <w:pStyle w:val="25"/>
      </w:pPr>
      <w:r>
        <w:t>管理端数据看板深色风格: 数据看板模块采用深色底 + 金色 (#C8955A) 高亮、灰阶坐标 (#8A8480) 的 ECharts 深色 BI 视觉语言 (dark-encore 主题), 集成营收 / 订单 / 售票 / 检票 KPI 卡、近 7 日票房折线 + 柱状双轴图与 Top5 热门演出横向柱, 与用户端沉浸式剧院风格呼应.</w:t>
      </w:r>
    </w:p>
    <w:p w14:paraId="62381F89">
      <w:pPr>
        <w:pStyle w:val="25"/>
      </w:pPr>
      <w:r>
        <w:t>检票端: 单屏极简风格, 大字体票号输入框与扫描按钮, 适配演出现场低照度环境与触控操作, 分辨率 ≥ 800×600 (横屏).</w:t>
      </w:r>
    </w:p>
    <w:p w14:paraId="5AEF4D69">
      <w:pPr>
        <w:pStyle w:val="25"/>
      </w:pPr>
      <w:r>
        <w:t>整体一致性: 全部页面统一字体规范 (中文 PingFang SC / 微软雅黑, 英文 Inter), 统一栅格 (12 列, 间距 16px), 统一按钮主色与确认/危险色; 所有错误与异常提示通过 Element Plus Message 组件统一呈现.</w:t>
      </w:r>
    </w:p>
    <w:p w14:paraId="02F30780">
      <w:pPr>
        <w:pStyle w:val="25"/>
      </w:pPr>
      <w:r>
        <w:t>可访问性: 关键操作均提供键盘可达路径; 重要色彩对比度 ≥ WCAG AA; 所有图片与图表提供 alt / 标题描述.</w:t>
      </w:r>
    </w:p>
    <w:p w14:paraId="2371DCDE">
      <w:pPr>
        <w:pStyle w:val="4"/>
      </w:pPr>
      <w:bookmarkStart w:id="32" w:name="_Toc18963"/>
      <w:r>
        <w:t>外部接口</w:t>
      </w:r>
      <w:bookmarkEnd w:id="32"/>
    </w:p>
    <w:p w14:paraId="7B640FF3">
      <w:pPr>
        <w:pStyle w:val="25"/>
      </w:pPr>
      <w:r>
        <w:t>前后端 HTTP 接口: 全部通过 RESTful HTTP/JSON 通信, 基础路径 /api, 错误码遵循统一封装 {code, msg, data}.</w:t>
      </w:r>
    </w:p>
    <w:p w14:paraId="523BC9B0">
      <w:pPr>
        <w:pStyle w:val="25"/>
      </w:pPr>
      <w:r>
        <w:t>●  鉴权接口: 通过 Sa-Token 颁发与校验, 登录后请求头携带 encore-token: &lt;token&gt; (非 Authorization: Bearer); 由中央 SaInterceptor 统一拦截 /** 校验, 不使用 JWT。</w:t>
      </w:r>
    </w:p>
    <w:p w14:paraId="47CDC2A1">
      <w:pPr>
        <w:pStyle w:val="25"/>
      </w:pPr>
      <w:r>
        <w:t>●  WebSocket 实时通道: 用户端 / 管理端通过 Spring WebSocket + STOMP 建立长连接 (/ws 端点, 原生 WebSocket 无 SockJS), 后端经 SimpMessagingTemplate 向 /topic/schedules/{id}/seats、/topic/admin/dashboard 广播事件 (座位 / 区域状态变更、看板刷新信号); 详细消息规约见表 9。</w:t>
      </w:r>
    </w:p>
    <w:p w14:paraId="5694EE21">
      <w:pPr>
        <w:pStyle w:val="25"/>
      </w:pPr>
      <w:r>
        <w:t>接口文档: Knife4j 4.x (Swagger UI) 在 /doc.html 统一暴露全部 REST + WebSocket 接口规范, 含请求参数 / 响应模型 / 错误码示例, 支持在线调试; 生产环境通过 profile 关闭 /doc.html 路径以收敛攻击面.</w:t>
      </w:r>
    </w:p>
    <w:p w14:paraId="6F03A22F">
      <w:pPr>
        <w:pStyle w:val="25"/>
      </w:pPr>
      <w:r>
        <w:t>数据库接口: MyBatis-Plus + JDBC 连接 MySQL 8.0; 连接池采用 Spring Boot 默认 HikariCP.</w:t>
      </w:r>
    </w:p>
    <w:p w14:paraId="483DCBFD">
      <w:pPr>
        <w:pStyle w:val="25"/>
      </w:pPr>
      <w:r>
        <w:t>缓存接口: Spring Data Redis 连接 Redis 7.0, 用于 Sa-Token 会话、座位锁、订单倒计时、推荐结果缓存、看板聚合缓存.</w:t>
      </w:r>
    </w:p>
    <w:p w14:paraId="3843DB9B">
      <w:pPr>
        <w:pStyle w:val="25"/>
      </w:pPr>
      <w:r>
        <w:t>对外接口 (后续扩展): 真实支付通道、短信通道、扫码硬件本期不实现, 以接口隔离层 (externalProvider) 预留扩展点; AI 外部模型接口采用 aiProvider 适配器, 默认关闭, 仅在配置 API Key、调用额度和超时阈值后启用。</w:t>
      </w:r>
    </w:p>
    <w:p w14:paraId="41D07A87">
      <w:r>
        <w:t>ENCORE 票务管理系统的 WebSocket 消息规约 (主题路径 / 方向 / 消息体 / 触发条件) 见表 9.</w:t>
      </w:r>
    </w:p>
    <w:p w14:paraId="0FA9A2D0">
      <w:pPr>
        <w:pStyle w:val="35"/>
        <w:jc w:val="center"/>
      </w:pPr>
      <w:r>
        <w:t>表9  ENCORE WebSocket 消息规约</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73"/>
        <w:gridCol w:w="918"/>
        <w:gridCol w:w="3470"/>
        <w:gridCol w:w="1061"/>
      </w:tblGrid>
      <w:tr w14:paraId="2EB07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3DC716">
            <w:pPr>
              <w:jc w:val="center"/>
            </w:pPr>
            <w:r>
              <w:rPr>
                <w:b/>
              </w:rPr>
              <w:t>主题 / 端点</w:t>
            </w:r>
          </w:p>
        </w:tc>
        <w:tc>
          <w:tcPr>
            <w:tcW w:w="2076" w:type="dxa"/>
          </w:tcPr>
          <w:p w14:paraId="2501A26A">
            <w:pPr>
              <w:jc w:val="center"/>
            </w:pPr>
            <w:r>
              <w:rPr>
                <w:b/>
              </w:rPr>
              <w:t>方向</w:t>
            </w:r>
          </w:p>
        </w:tc>
        <w:tc>
          <w:tcPr>
            <w:tcW w:w="2076" w:type="dxa"/>
          </w:tcPr>
          <w:p w14:paraId="35088DBF">
            <w:pPr>
              <w:jc w:val="center"/>
            </w:pPr>
            <w:r>
              <w:rPr>
                <w:b/>
              </w:rPr>
              <w:t>消息体示例</w:t>
            </w:r>
          </w:p>
        </w:tc>
        <w:tc>
          <w:tcPr>
            <w:tcW w:w="2076" w:type="dxa"/>
          </w:tcPr>
          <w:p w14:paraId="1BBB295A">
            <w:pPr>
              <w:jc w:val="center"/>
            </w:pPr>
            <w:r>
              <w:rPr>
                <w:b/>
              </w:rPr>
              <w:t>触发条件 / 用途</w:t>
            </w:r>
          </w:p>
        </w:tc>
      </w:tr>
      <w:tr w14:paraId="63C2B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34DF1D8">
            <w:r>
              <w:t>/ws (STOMP CONNECT)</w:t>
            </w:r>
          </w:p>
        </w:tc>
        <w:tc>
          <w:tcPr>
            <w:tcW w:w="2076" w:type="dxa"/>
          </w:tcPr>
          <w:p w14:paraId="45140DB9">
            <w:r>
              <w:t>客户端 → 服务端</w:t>
            </w:r>
          </w:p>
        </w:tc>
        <w:tc>
          <w:tcPr>
            <w:tcW w:w="2076" w:type="dxa"/>
          </w:tcPr>
          <w:p w14:paraId="387B533C">
            <w:r>
              <w:t>CONNECT 帧 (无 Authorization 头)</w:t>
            </w:r>
          </w:p>
        </w:tc>
        <w:tc>
          <w:tcPr>
            <w:tcW w:w="2076" w:type="dxa"/>
          </w:tcPr>
          <w:p w14:paraId="6582679A">
            <w:r>
              <w:t>建立原生 WebSocket + STOMP 长连接 (/ws 端点); 实时通道不鉴权, 令牌仅用于 REST 接口</w:t>
            </w:r>
          </w:p>
        </w:tc>
      </w:tr>
      <w:tr w14:paraId="74EC5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9E9CC62">
            <w:r>
              <w:t>/topic/schedules/{id}/seats</w:t>
            </w:r>
          </w:p>
        </w:tc>
        <w:tc>
          <w:tcPr>
            <w:tcW w:w="2076" w:type="dxa"/>
          </w:tcPr>
          <w:p w14:paraId="3217FEB9">
            <w:r>
              <w:t>服务端 → 全部订阅者</w:t>
            </w:r>
          </w:p>
        </w:tc>
        <w:tc>
          <w:tcPr>
            <w:tcW w:w="2076" w:type="dxa"/>
          </w:tcPr>
          <w:p w14:paraId="784C1CB6">
            <w:r>
              <w:t>{scheduleId, reason, seats:[{seatId,status}], areas?:[{areaId,available,locked,sold}]}</w:t>
            </w:r>
          </w:p>
        </w:tc>
        <w:tc>
          <w:tcPr>
            <w:tcW w:w="2076" w:type="dxa"/>
          </w:tcPr>
          <w:p w14:paraId="5E82F04E">
            <w:r>
              <w:t>任一用户锁座 / 释放 / 售出或区域库存变更时广播, P95 ≤ 200ms</w:t>
            </w:r>
          </w:p>
        </w:tc>
      </w:tr>
      <w:tr w14:paraId="4D356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C9678EA">
            <w:r>
              <w:t>/topic/admin/dashboard</w:t>
            </w:r>
          </w:p>
        </w:tc>
        <w:tc>
          <w:tcPr>
            <w:tcW w:w="2076" w:type="dxa"/>
          </w:tcPr>
          <w:p w14:paraId="1FF44E30">
            <w:r>
              <w:t>服务端 → 看板订阅者</w:t>
            </w:r>
          </w:p>
        </w:tc>
        <w:tc>
          <w:tcPr>
            <w:tcW w:w="2076" w:type="dxa"/>
          </w:tcPr>
          <w:p w14:paraId="6D240336">
            <w:r>
              <w:t>{reason, referenceId, timestamp}</w:t>
            </w:r>
          </w:p>
        </w:tc>
        <w:tc>
          <w:tcPr>
            <w:tcW w:w="2076" w:type="dxa"/>
          </w:tcPr>
          <w:p w14:paraId="6F555143">
            <w:r>
              <w:t>看板局部刷新触发, 避免高频轮询</w:t>
            </w:r>
          </w:p>
        </w:tc>
      </w:tr>
      <w:tr w14:paraId="75C43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D3C9855">
            <w:r>
              <w:t>heartbeat / reconnect</w:t>
            </w:r>
          </w:p>
        </w:tc>
        <w:tc>
          <w:tcPr>
            <w:tcW w:w="2076" w:type="dxa"/>
          </w:tcPr>
          <w:p w14:paraId="7909D80E">
            <w:r>
              <w:t>双向</w:t>
            </w:r>
          </w:p>
        </w:tc>
        <w:tc>
          <w:tcPr>
            <w:tcW w:w="2076" w:type="dxa"/>
          </w:tcPr>
          <w:p w14:paraId="461AA210">
            <w:r>
              <w:t>STOMP heartbeat 10s + 客户端断线指数退避重连</w:t>
            </w:r>
          </w:p>
        </w:tc>
        <w:tc>
          <w:tcPr>
            <w:tcW w:w="2076" w:type="dxa"/>
          </w:tcPr>
          <w:p w14:paraId="7C4EE658">
            <w:r>
              <w:t>保活与异常恢复; 客户端断线后每 5s 自动重连</w:t>
            </w:r>
          </w:p>
        </w:tc>
      </w:tr>
    </w:tbl>
    <w:p w14:paraId="55E4976A">
      <w:r>
        <w:t>表 9 中的 6 类消息覆盖了实时多人选座 (D1) 与看板实时刷新 (D3) 两条 WebSocket 业务链路. STOMP 协议在裸 WebSocket 之上提供主题订阅与单播能力, 避免自行实现路由层.</w:t>
      </w:r>
    </w:p>
    <w:p w14:paraId="2EACFE94">
      <w:pPr>
        <w:pStyle w:val="3"/>
      </w:pPr>
      <w:bookmarkStart w:id="33" w:name="_Toc13376"/>
      <w:r>
        <w:t>性能需求</w:t>
      </w:r>
      <w:bookmarkEnd w:id="33"/>
    </w:p>
    <w:p w14:paraId="39333B38">
      <w:r>
        <w:t>ENCORE 票务管理系统的关键性能指标 (KPI) 见表 10. 指标依据中小型剧院日均订单 ≤ 1 000、并发用户 ≤ 50 的容量场景设定, 不属于真实超大型抢票场景的性能要求.</w:t>
      </w:r>
    </w:p>
    <w:p w14:paraId="10C03B59">
      <w:pPr>
        <w:pStyle w:val="35"/>
        <w:jc w:val="center"/>
      </w:pPr>
      <w:r>
        <w:t>表10  ENCORE 性能需求指标</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27"/>
        <w:gridCol w:w="2038"/>
        <w:gridCol w:w="1927"/>
        <w:gridCol w:w="2630"/>
      </w:tblGrid>
      <w:tr w14:paraId="64172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7E2A533">
            <w:pPr>
              <w:jc w:val="center"/>
            </w:pPr>
            <w:r>
              <w:rPr>
                <w:b/>
              </w:rPr>
              <w:t>指标分类</w:t>
            </w:r>
          </w:p>
        </w:tc>
        <w:tc>
          <w:tcPr>
            <w:tcW w:w="2076" w:type="dxa"/>
          </w:tcPr>
          <w:p w14:paraId="5B7EC4B6">
            <w:pPr>
              <w:jc w:val="center"/>
            </w:pPr>
            <w:r>
              <w:rPr>
                <w:b/>
              </w:rPr>
              <w:t>指标名称</w:t>
            </w:r>
          </w:p>
        </w:tc>
        <w:tc>
          <w:tcPr>
            <w:tcW w:w="2076" w:type="dxa"/>
          </w:tcPr>
          <w:p w14:paraId="7D6C66FC">
            <w:pPr>
              <w:jc w:val="center"/>
            </w:pPr>
            <w:r>
              <w:rPr>
                <w:b/>
              </w:rPr>
              <w:t>指标值</w:t>
            </w:r>
          </w:p>
        </w:tc>
        <w:tc>
          <w:tcPr>
            <w:tcW w:w="2076" w:type="dxa"/>
          </w:tcPr>
          <w:p w14:paraId="779E0736">
            <w:pPr>
              <w:jc w:val="center"/>
            </w:pPr>
            <w:r>
              <w:rPr>
                <w:b/>
              </w:rPr>
              <w:t>测量方式 / 说明</w:t>
            </w:r>
          </w:p>
        </w:tc>
      </w:tr>
      <w:tr w14:paraId="3715A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EF49ECC">
            <w:r>
              <w:t>响应时间</w:t>
            </w:r>
          </w:p>
        </w:tc>
        <w:tc>
          <w:tcPr>
            <w:tcW w:w="2076" w:type="dxa"/>
          </w:tcPr>
          <w:p w14:paraId="616CCABC">
            <w:r>
              <w:t>首页加载 P95</w:t>
            </w:r>
          </w:p>
        </w:tc>
        <w:tc>
          <w:tcPr>
            <w:tcW w:w="2076" w:type="dxa"/>
          </w:tcPr>
          <w:p w14:paraId="0A3A77CE">
            <w:r>
              <w:t>≤ 1.5 秒</w:t>
            </w:r>
          </w:p>
        </w:tc>
        <w:tc>
          <w:tcPr>
            <w:tcW w:w="2076" w:type="dxa"/>
          </w:tcPr>
          <w:p w14:paraId="02A62DC5">
            <w:r>
              <w:t>Chrome DevTools 在 4G 模拟下首屏可见时间</w:t>
            </w:r>
          </w:p>
        </w:tc>
      </w:tr>
      <w:tr w14:paraId="6584D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D48183B">
            <w:r>
              <w:t>响应时间</w:t>
            </w:r>
          </w:p>
        </w:tc>
        <w:tc>
          <w:tcPr>
            <w:tcW w:w="2076" w:type="dxa"/>
          </w:tcPr>
          <w:p w14:paraId="7587879E">
            <w:r>
              <w:t>演出列表 P95</w:t>
            </w:r>
          </w:p>
        </w:tc>
        <w:tc>
          <w:tcPr>
            <w:tcW w:w="2076" w:type="dxa"/>
          </w:tcPr>
          <w:p w14:paraId="22382BB3">
            <w:r>
              <w:t>≤ 1.5 秒</w:t>
            </w:r>
          </w:p>
        </w:tc>
        <w:tc>
          <w:tcPr>
            <w:tcW w:w="2076" w:type="dxa"/>
          </w:tcPr>
          <w:p w14:paraId="143D54B5">
            <w:r>
              <w:t>GET /api/shows, 12 条 / 页</w:t>
            </w:r>
          </w:p>
        </w:tc>
      </w:tr>
      <w:tr w14:paraId="0672C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39E702A">
            <w:r>
              <w:t>响应时间</w:t>
            </w:r>
          </w:p>
        </w:tc>
        <w:tc>
          <w:tcPr>
            <w:tcW w:w="2076" w:type="dxa"/>
          </w:tcPr>
          <w:p w14:paraId="1C9EA07D">
            <w:r>
              <w:t>选座页渲染 P95</w:t>
            </w:r>
          </w:p>
        </w:tc>
        <w:tc>
          <w:tcPr>
            <w:tcW w:w="2076" w:type="dxa"/>
          </w:tcPr>
          <w:p w14:paraId="287F3638">
            <w:r>
              <w:t>≤ 1.8 秒</w:t>
            </w:r>
          </w:p>
        </w:tc>
        <w:tc>
          <w:tcPr>
            <w:tcW w:w="2076" w:type="dxa"/>
          </w:tcPr>
          <w:p w14:paraId="2A336E5B">
            <w:r>
              <w:t>GET /api/schedules/{id}/seats, 含座位图渲染</w:t>
            </w:r>
          </w:p>
        </w:tc>
      </w:tr>
      <w:tr w14:paraId="33B2C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0489D08">
            <w:r>
              <w:t>响应时间</w:t>
            </w:r>
          </w:p>
        </w:tc>
        <w:tc>
          <w:tcPr>
            <w:tcW w:w="2076" w:type="dxa"/>
          </w:tcPr>
          <w:p w14:paraId="70577D40">
            <w:r>
              <w:t>登录 P95</w:t>
            </w:r>
          </w:p>
        </w:tc>
        <w:tc>
          <w:tcPr>
            <w:tcW w:w="2076" w:type="dxa"/>
          </w:tcPr>
          <w:p w14:paraId="39A8D381">
            <w:r>
              <w:t>≤ 1.0 秒</w:t>
            </w:r>
          </w:p>
        </w:tc>
        <w:tc>
          <w:tcPr>
            <w:tcW w:w="2076" w:type="dxa"/>
          </w:tcPr>
          <w:p w14:paraId="75C3B0C8">
            <w:r>
              <w:t>POST /api/auth/login</w:t>
            </w:r>
          </w:p>
        </w:tc>
      </w:tr>
      <w:tr w14:paraId="00259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A18B6B5">
            <w:r>
              <w:t>响应时间</w:t>
            </w:r>
          </w:p>
        </w:tc>
        <w:tc>
          <w:tcPr>
            <w:tcW w:w="2076" w:type="dxa"/>
          </w:tcPr>
          <w:p w14:paraId="6A0FE23D">
            <w:r>
              <w:t>下单 P95</w:t>
            </w:r>
          </w:p>
        </w:tc>
        <w:tc>
          <w:tcPr>
            <w:tcW w:w="2076" w:type="dxa"/>
          </w:tcPr>
          <w:p w14:paraId="2059B8E6">
            <w:r>
              <w:t>≤ 1.0 秒</w:t>
            </w:r>
          </w:p>
        </w:tc>
        <w:tc>
          <w:tcPr>
            <w:tcW w:w="2076" w:type="dxa"/>
          </w:tcPr>
          <w:p w14:paraId="11895E5D">
            <w:r>
              <w:t>POST /api/orders</w:t>
            </w:r>
          </w:p>
        </w:tc>
      </w:tr>
      <w:tr w14:paraId="1C6B4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AF469E9">
            <w:r>
              <w:t>响应时间</w:t>
            </w:r>
          </w:p>
        </w:tc>
        <w:tc>
          <w:tcPr>
            <w:tcW w:w="2076" w:type="dxa"/>
          </w:tcPr>
          <w:p w14:paraId="10B44CD3">
            <w:r>
              <w:t>支付模拟 P95</w:t>
            </w:r>
          </w:p>
        </w:tc>
        <w:tc>
          <w:tcPr>
            <w:tcW w:w="2076" w:type="dxa"/>
          </w:tcPr>
          <w:p w14:paraId="122D0693">
            <w:r>
              <w:t>≤ 1.0 秒</w:t>
            </w:r>
          </w:p>
        </w:tc>
        <w:tc>
          <w:tcPr>
            <w:tcW w:w="2076" w:type="dxa"/>
          </w:tcPr>
          <w:p w14:paraId="53D55A4E">
            <w:r>
              <w:t>POST /api/orders/{id}/pay</w:t>
            </w:r>
          </w:p>
        </w:tc>
      </w:tr>
      <w:tr w14:paraId="707E4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8A19E3A">
            <w:r>
              <w:t>响应时间</w:t>
            </w:r>
          </w:p>
        </w:tc>
        <w:tc>
          <w:tcPr>
            <w:tcW w:w="2076" w:type="dxa"/>
          </w:tcPr>
          <w:p w14:paraId="4F9937DE">
            <w:r>
              <w:t>检票核销 P95</w:t>
            </w:r>
          </w:p>
        </w:tc>
        <w:tc>
          <w:tcPr>
            <w:tcW w:w="2076" w:type="dxa"/>
          </w:tcPr>
          <w:p w14:paraId="0AD7E1C7">
            <w:r>
              <w:t>≤ 0.6 秒</w:t>
            </w:r>
          </w:p>
        </w:tc>
        <w:tc>
          <w:tcPr>
            <w:tcW w:w="2076" w:type="dxa"/>
          </w:tcPr>
          <w:p w14:paraId="72E6E456">
            <w:r>
              <w:t>POST /api/checkin/verify</w:t>
            </w:r>
          </w:p>
        </w:tc>
      </w:tr>
      <w:tr w14:paraId="55AFF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6D2E689">
            <w:r>
              <w:t>响应时间</w:t>
            </w:r>
          </w:p>
        </w:tc>
        <w:tc>
          <w:tcPr>
            <w:tcW w:w="2076" w:type="dxa"/>
          </w:tcPr>
          <w:p w14:paraId="38C05387">
            <w:r>
              <w:t>数据看板 P95</w:t>
            </w:r>
          </w:p>
        </w:tc>
        <w:tc>
          <w:tcPr>
            <w:tcW w:w="2076" w:type="dxa"/>
          </w:tcPr>
          <w:p w14:paraId="4400A53B">
            <w:r>
              <w:t>≤ 2.5 秒</w:t>
            </w:r>
          </w:p>
        </w:tc>
        <w:tc>
          <w:tcPr>
            <w:tcW w:w="2076" w:type="dxa"/>
          </w:tcPr>
          <w:p w14:paraId="136D8B51">
            <w:r>
              <w:t>GET /api/admin/dashboard, 含 ECharts 渲染</w:t>
            </w:r>
          </w:p>
        </w:tc>
      </w:tr>
      <w:tr w14:paraId="36DB4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3BFFA4E">
            <w:r>
              <w:t>响应时间</w:t>
            </w:r>
          </w:p>
        </w:tc>
        <w:tc>
          <w:tcPr>
            <w:tcW w:w="2076" w:type="dxa"/>
          </w:tcPr>
          <w:p w14:paraId="0658137B">
            <w:r>
              <w:t>演出推荐 P95</w:t>
            </w:r>
          </w:p>
        </w:tc>
        <w:tc>
          <w:tcPr>
            <w:tcW w:w="2076" w:type="dxa"/>
          </w:tcPr>
          <w:p w14:paraId="350B76E6">
            <w:r>
              <w:t>≤ 1.5 秒</w:t>
            </w:r>
          </w:p>
        </w:tc>
        <w:tc>
          <w:tcPr>
            <w:tcW w:w="2076" w:type="dxa"/>
          </w:tcPr>
          <w:p w14:paraId="0D231D58">
            <w:r>
              <w:t>GET /api/shows/recommendations/top8, 规则排序</w:t>
            </w:r>
          </w:p>
        </w:tc>
      </w:tr>
      <w:tr w14:paraId="58EB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D1A5FEB">
            <w:r>
              <w:t>实时性</w:t>
            </w:r>
          </w:p>
        </w:tc>
        <w:tc>
          <w:tcPr>
            <w:tcW w:w="2076" w:type="dxa"/>
          </w:tcPr>
          <w:p w14:paraId="29D1117B">
            <w:r>
              <w:t>WebSocket 推送 P95</w:t>
            </w:r>
          </w:p>
        </w:tc>
        <w:tc>
          <w:tcPr>
            <w:tcW w:w="2076" w:type="dxa"/>
          </w:tcPr>
          <w:p w14:paraId="558218C0">
            <w:r>
              <w:t>≤ 200 ms</w:t>
            </w:r>
          </w:p>
        </w:tc>
        <w:tc>
          <w:tcPr>
            <w:tcW w:w="2076" w:type="dxa"/>
          </w:tcPr>
          <w:p w14:paraId="22DC36B9">
            <w:r>
              <w:t>选座 / 看板事件从服务端发出到全部订阅者屏幕显示</w:t>
            </w:r>
          </w:p>
        </w:tc>
      </w:tr>
      <w:tr w14:paraId="1C0F5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CBA98E1">
            <w:r>
              <w:t>实时性</w:t>
            </w:r>
          </w:p>
        </w:tc>
        <w:tc>
          <w:tcPr>
            <w:tcW w:w="2076" w:type="dxa"/>
          </w:tcPr>
          <w:p w14:paraId="7D6B3828">
            <w:r>
              <w:t>3D 视角加载 P95</w:t>
            </w:r>
          </w:p>
        </w:tc>
        <w:tc>
          <w:tcPr>
            <w:tcW w:w="2076" w:type="dxa"/>
          </w:tcPr>
          <w:p w14:paraId="15A5C1B0">
            <w:r>
              <w:t>≤ 3 秒</w:t>
            </w:r>
          </w:p>
        </w:tc>
        <w:tc>
          <w:tcPr>
            <w:tcW w:w="2076" w:type="dxa"/>
          </w:tcPr>
          <w:p w14:paraId="5AB5C39B">
            <w:r>
              <w:t>用户点击座位到 3D 视角预览首帧可交互</w:t>
            </w:r>
          </w:p>
        </w:tc>
      </w:tr>
      <w:tr w14:paraId="768C7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6798758">
            <w:r>
              <w:t>实时性</w:t>
            </w:r>
          </w:p>
        </w:tc>
        <w:tc>
          <w:tcPr>
            <w:tcW w:w="2076" w:type="dxa"/>
          </w:tcPr>
          <w:p w14:paraId="189C5316">
            <w:r>
              <w:t>3D 渲染帧率</w:t>
            </w:r>
          </w:p>
        </w:tc>
        <w:tc>
          <w:tcPr>
            <w:tcW w:w="2076" w:type="dxa"/>
          </w:tcPr>
          <w:p w14:paraId="7F4FF87D">
            <w:r>
              <w:t>≥ 30 FPS</w:t>
            </w:r>
          </w:p>
        </w:tc>
        <w:tc>
          <w:tcPr>
            <w:tcW w:w="2076" w:type="dxa"/>
          </w:tcPr>
          <w:p w14:paraId="60F2B292">
            <w:r>
              <w:t>3D 视角预览浏览器 RAF 平均帧率</w:t>
            </w:r>
          </w:p>
        </w:tc>
      </w:tr>
      <w:tr w14:paraId="5D539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B5C57E8">
            <w:r>
              <w:t>并发</w:t>
            </w:r>
          </w:p>
        </w:tc>
        <w:tc>
          <w:tcPr>
            <w:tcW w:w="2076" w:type="dxa"/>
          </w:tcPr>
          <w:p w14:paraId="426E93B6">
            <w:r>
              <w:t>在线并发用户</w:t>
            </w:r>
          </w:p>
        </w:tc>
        <w:tc>
          <w:tcPr>
            <w:tcW w:w="2076" w:type="dxa"/>
          </w:tcPr>
          <w:p w14:paraId="037405E5">
            <w:r>
              <w:t>≥ 50</w:t>
            </w:r>
          </w:p>
        </w:tc>
        <w:tc>
          <w:tcPr>
            <w:tcW w:w="2076" w:type="dxa"/>
          </w:tcPr>
          <w:p w14:paraId="2C2CC544">
            <w:r>
              <w:t>稳定承载 50 个用户同时在线浏览/选座</w:t>
            </w:r>
          </w:p>
        </w:tc>
      </w:tr>
      <w:tr w14:paraId="449E2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7B1FFE4">
            <w:r>
              <w:t>并发</w:t>
            </w:r>
          </w:p>
        </w:tc>
        <w:tc>
          <w:tcPr>
            <w:tcW w:w="2076" w:type="dxa"/>
          </w:tcPr>
          <w:p w14:paraId="13DA07DC">
            <w:r>
              <w:t>下单 TPS</w:t>
            </w:r>
          </w:p>
        </w:tc>
        <w:tc>
          <w:tcPr>
            <w:tcW w:w="2076" w:type="dxa"/>
          </w:tcPr>
          <w:p w14:paraId="3AFBBB65">
            <w:r>
              <w:t>≥ 10</w:t>
            </w:r>
          </w:p>
        </w:tc>
        <w:tc>
          <w:tcPr>
            <w:tcW w:w="2076" w:type="dxa"/>
          </w:tcPr>
          <w:p w14:paraId="1D7FAC2D">
            <w:r>
              <w:t>持续 1 分钟 10 TPS 下单, 错误率 0</w:t>
            </w:r>
          </w:p>
        </w:tc>
      </w:tr>
      <w:tr w14:paraId="4D9D6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BF5BC53">
            <w:r>
              <w:t>吞吐量</w:t>
            </w:r>
          </w:p>
        </w:tc>
        <w:tc>
          <w:tcPr>
            <w:tcW w:w="2076" w:type="dxa"/>
          </w:tcPr>
          <w:p w14:paraId="0B3A5868">
            <w:r>
              <w:t>检票 TPS</w:t>
            </w:r>
          </w:p>
        </w:tc>
        <w:tc>
          <w:tcPr>
            <w:tcW w:w="2076" w:type="dxa"/>
          </w:tcPr>
          <w:p w14:paraId="7451F8F6">
            <w:r>
              <w:t>≥ 20</w:t>
            </w:r>
          </w:p>
        </w:tc>
        <w:tc>
          <w:tcPr>
            <w:tcW w:w="2076" w:type="dxa"/>
          </w:tcPr>
          <w:p w14:paraId="4A4F175B">
            <w:r>
              <w:t>演出开场前 30 分钟集中检票峰值</w:t>
            </w:r>
          </w:p>
        </w:tc>
      </w:tr>
      <w:tr w14:paraId="3ACCD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B2B70D3">
            <w:r>
              <w:t>资源</w:t>
            </w:r>
          </w:p>
        </w:tc>
        <w:tc>
          <w:tcPr>
            <w:tcW w:w="2076" w:type="dxa"/>
          </w:tcPr>
          <w:p w14:paraId="155734AB">
            <w:r>
              <w:t>单实例内存</w:t>
            </w:r>
          </w:p>
        </w:tc>
        <w:tc>
          <w:tcPr>
            <w:tcW w:w="2076" w:type="dxa"/>
          </w:tcPr>
          <w:p w14:paraId="00A665BC">
            <w:r>
              <w:t>≤ 1 GB</w:t>
            </w:r>
          </w:p>
        </w:tc>
        <w:tc>
          <w:tcPr>
            <w:tcW w:w="2076" w:type="dxa"/>
          </w:tcPr>
          <w:p w14:paraId="7777D89E">
            <w:r>
              <w:t>Spring Boot 进程稳态 RSS</w:t>
            </w:r>
          </w:p>
        </w:tc>
      </w:tr>
      <w:tr w14:paraId="72A31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F6CAE78">
            <w:r>
              <w:t>资源</w:t>
            </w:r>
          </w:p>
        </w:tc>
        <w:tc>
          <w:tcPr>
            <w:tcW w:w="2076" w:type="dxa"/>
          </w:tcPr>
          <w:p w14:paraId="0BD30181">
            <w:r>
              <w:t>MySQL QPS</w:t>
            </w:r>
          </w:p>
        </w:tc>
        <w:tc>
          <w:tcPr>
            <w:tcW w:w="2076" w:type="dxa"/>
          </w:tcPr>
          <w:p w14:paraId="362C769C">
            <w:r>
              <w:t>≤ 300</w:t>
            </w:r>
          </w:p>
        </w:tc>
        <w:tc>
          <w:tcPr>
            <w:tcW w:w="2076" w:type="dxa"/>
          </w:tcPr>
          <w:p w14:paraId="48214FA9">
            <w:r>
              <w:t>P95 监控阈值</w:t>
            </w:r>
          </w:p>
        </w:tc>
      </w:tr>
    </w:tbl>
    <w:p w14:paraId="2E56D371">
      <w:r>
        <w:t>表 10 中的指标通过 JMeter 5.6 全链路压测脚本回归, 覆盖 8 个核心 REST 接口 + WebSocket 长连接; Skywalking 9.x 同步抓取调用链与火焰图. 超出指标时, 优先排查 SQL 索引、N+1 查询、Redis 序列化耗时与 WebSocket 序列化策略, 必要时引入读写分离或服务多实例水平扩展.</w:t>
      </w:r>
    </w:p>
    <w:p w14:paraId="0B5557FD">
      <w:pPr>
        <w:pStyle w:val="3"/>
      </w:pPr>
      <w:bookmarkStart w:id="34" w:name="_Toc28929"/>
      <w:r>
        <w:t>安全性需求</w:t>
      </w:r>
      <w:bookmarkEnd w:id="34"/>
    </w:p>
    <w:p w14:paraId="7D3DE273">
      <w:pPr>
        <w:pStyle w:val="25"/>
      </w:pPr>
      <w:r>
        <w:t>身份认证: 统一通过 Sa-Token 登录认证, 令牌 TTL 7 天可滚动续期, 退出登录时服务端主动失效令牌; WebSocket CONNECT 帧亦携带 Sa-Token 进行二次校验.</w:t>
      </w:r>
    </w:p>
    <w:p w14:paraId="27C815B1">
      <w:pPr>
        <w:pStyle w:val="25"/>
      </w:pPr>
      <w:r>
        <w:t>●  权限控制: 基于 user_account.role 单列角色 (user / admin / checker / sysadmin), 由中央 SaInterceptor 统一拦截 /** 校验 (CORS 预检 OPTIONS 先放行), 检票员账号不能访问票务管理或系统管理接口。</w:t>
      </w:r>
    </w:p>
    <w:p w14:paraId="0D6D4B64">
      <w:pPr>
        <w:pStyle w:val="25"/>
      </w:pPr>
      <w:r>
        <w:t>密码安全: 用户密码以 BCrypt (强度 ≥ 10) 哈希存储, 数据库与日志中不出现明文密码.</w:t>
      </w:r>
    </w:p>
    <w:p w14:paraId="7AC2E7F4">
      <w:pPr>
        <w:pStyle w:val="25"/>
      </w:pPr>
      <w:r>
        <w:t>防暴力破解: 同一账号连续 5 次登录失败后短期锁定 10 分钟; 同一 IP 高频登录请求触发限流.</w:t>
      </w:r>
    </w:p>
    <w:p w14:paraId="4868B092">
      <w:pPr>
        <w:pStyle w:val="25"/>
      </w:pPr>
      <w:r>
        <w:t>数据传输: 生产环境强制 HTTPS, Nginx 配置 TLS 1.2/1.3, 禁用过时算法; WebSocket 升级为 wss://.</w:t>
      </w:r>
    </w:p>
    <w:p w14:paraId="5FC71C49">
      <w:pPr>
        <w:pStyle w:val="25"/>
      </w:pPr>
      <w:r>
        <w:t>数据校验: 前后端双重校验, 后端通过 @Validated 与全局异常处理拦截非法参数, 防止 SQL 注入、XSS、CSRF.</w:t>
      </w:r>
    </w:p>
    <w:p w14:paraId="72A5B0B7">
      <w:pPr>
        <w:pStyle w:val="25"/>
      </w:pPr>
      <w:r>
        <w:t>敏感操作防护: 所有管理端关键操作 (剧目、场次、订单、员工账号) 经统一 SaInterceptor 鉴权与 role 角色校验后执行, 仅授权角色可调用; 集中式操作审计日志为后续规划.</w:t>
      </w:r>
    </w:p>
    <w:p w14:paraId="012CE445">
      <w:pPr>
        <w:pStyle w:val="25"/>
      </w:pPr>
      <w:r>
        <w:t>支付安全: 本期为模拟支付, 仅用于演示, 不接入真实资金通道; 后续接入时须遵循 PCI-DSS 与第三方支付平台规范.</w:t>
      </w:r>
    </w:p>
    <w:p w14:paraId="2B16DD89">
      <w:pPr>
        <w:pStyle w:val="25"/>
      </w:pPr>
      <w:r>
        <w:t>接口文档收敛: Knife4j /doc.html 仅在 dev / test profile 启用, prod profile 通过 springdoc.api-docs.enabled=false 关闭, 收敛敏感接口暴露面.</w:t>
      </w:r>
    </w:p>
    <w:p w14:paraId="1DC28DD0">
      <w:pPr>
        <w:pStyle w:val="3"/>
      </w:pPr>
      <w:bookmarkStart w:id="35" w:name="_Toc6802"/>
      <w:r>
        <w:t>可靠性需求</w:t>
      </w:r>
      <w:bookmarkEnd w:id="35"/>
    </w:p>
    <w:p w14:paraId="00909BB6">
      <w:pPr>
        <w:pStyle w:val="25"/>
      </w:pPr>
      <w:r>
        <w:t>可用性: 售票时段 (每日 09:00 ~ 23:00) 系统可用率 ≥ 99.5%, 月平均不可用时间 ≤ 3.5 小时.</w:t>
      </w:r>
    </w:p>
    <w:p w14:paraId="4B218D0F">
      <w:pPr>
        <w:pStyle w:val="25"/>
      </w:pPr>
      <w:r>
        <w:t>数据一致性: 座位锁与订单使用 Redis + MySQL 双写, 通过事务与补偿任务 (定时扫描 EXPIRED 订单) 保证最终一致.</w:t>
      </w:r>
    </w:p>
    <w:p w14:paraId="735ADA95">
      <w:pPr>
        <w:pStyle w:val="25"/>
      </w:pPr>
      <w:r>
        <w:t>WebSocket 一致性: 客户端断线重连后须重新拉取 /api/schedule/{id}/seats 全量座位状态, 避免错过广播期间的事件; 服务端在最近 10 秒内的座位事件保留在 Redis Stream 作快速回放兜底.</w:t>
      </w:r>
    </w:p>
    <w:p w14:paraId="6C46B0BC">
      <w:pPr>
        <w:pStyle w:val="25"/>
      </w:pPr>
      <w:r>
        <w:t>故障恢复: 单点应用进程崩溃可通过 systemd / Docker 自动重启; MySQL 部署主从, 故障转移 ≤ 5 分钟.</w:t>
      </w:r>
    </w:p>
    <w:p w14:paraId="2B8EF4F5">
      <w:pPr>
        <w:pStyle w:val="25"/>
      </w:pPr>
      <w:r>
        <w:t>备份策略: MySQL 每日 02:00 全量备份, 保留 14 天; Redis 启用 AOF 持久化, 间隔 1 秒.</w:t>
      </w:r>
    </w:p>
    <w:p w14:paraId="33F4AF83">
      <w:pPr>
        <w:pStyle w:val="25"/>
      </w:pPr>
      <w:r>
        <w:t>容错: 选座并发冲突、支付超时、检票异常、3D 渲染失败、推荐结果为空等高频边界, 均有清晰的提示与回滚 / 降级路径.</w:t>
      </w:r>
    </w:p>
    <w:p w14:paraId="3EB53088">
      <w:pPr>
        <w:pStyle w:val="3"/>
      </w:pPr>
      <w:bookmarkStart w:id="36" w:name="_Toc18765"/>
      <w:r>
        <w:t>适应性需求</w:t>
      </w:r>
      <w:bookmarkEnd w:id="36"/>
    </w:p>
    <w:p w14:paraId="120B3DD7">
      <w:pPr>
        <w:pStyle w:val="25"/>
      </w:pPr>
      <w:r>
        <w:t>浏览器适应: 用户端 / 管理端 / 检票端兼容 Chrome 100+ / Edge 100+ / Firefox 100+ / Safari 15+, 不再支持 IE.</w:t>
      </w:r>
    </w:p>
    <w:p w14:paraId="0C778EF4">
      <w:pPr>
        <w:pStyle w:val="25"/>
      </w:pPr>
      <w:r>
        <w:t>硬件适应: 用户终端可为桌面浏览器、平板浏览器、手机浏览器; 后端服务可部署于物理机、虚拟机或 Docker.</w:t>
      </w:r>
    </w:p>
    <w:p w14:paraId="333A5C31">
      <w:pPr>
        <w:pStyle w:val="25"/>
      </w:pPr>
      <w:r>
        <w:t>3D 视角适应: Seat3DPreview 在不支持 WebGL 2.0 的设备上自动降级为静态全景图, 不阻断选座主流程.</w:t>
      </w:r>
    </w:p>
    <w:p w14:paraId="2CE1B44C">
      <w:pPr>
        <w:pStyle w:val="25"/>
      </w:pPr>
      <w:r>
        <w:t>数据规模适应: 演出 ≤ 1 000、场次 ≤ 10 000、订单 ≤ 1 000 000、用户 ≤ 100 000 范围内, 列表页响应时间不退化.</w:t>
      </w:r>
    </w:p>
    <w:p w14:paraId="263591AB">
      <w:pPr>
        <w:pStyle w:val="25"/>
      </w:pPr>
      <w:r>
        <w:t>国际化预留: 前端文案集中管理 (Vue I18n), 未来可扩展英文; 当前版本只交付简体中文.</w:t>
      </w:r>
    </w:p>
    <w:p w14:paraId="11D14C10">
      <w:pPr>
        <w:pStyle w:val="25"/>
      </w:pPr>
      <w:r>
        <w:t>配置适应: 端口、数据库、Redis、Sa-Token TTL、订单倒计时、座位锁 TTL、推荐权重等通过 application.yml 注入, 不必改代码.</w:t>
      </w:r>
    </w:p>
    <w:p w14:paraId="2C05C9BC">
      <w:pPr>
        <w:pStyle w:val="3"/>
      </w:pPr>
      <w:bookmarkStart w:id="37" w:name="_Toc6658"/>
      <w:r>
        <w:t>设计约束</w:t>
      </w:r>
      <w:bookmarkEnd w:id="37"/>
    </w:p>
    <w:p w14:paraId="59005D45">
      <w:r>
        <w:t>ENCORE 票务管理系统在通用 B/S + 前后端分离 + 单一鉴权 + 统一数据库规范的基础上, 采用清晰的分层架构组织后端代码, 使系统在功能增长后仍保持可维护性。整体约束如下:</w:t>
      </w:r>
    </w:p>
    <w:p w14:paraId="519EEADD">
      <w:pPr>
        <w:pStyle w:val="25"/>
      </w:pPr>
      <w:r>
        <w:t>●  架构约束: 必须采用 B/S 架构与前后端分离; 后端按 controller (接口层) → service (业务层) → mapper (MyBatis-Plus 数据访问层) → entity (领域实体) 分层, 依赖单向向下; 实时推送经独立 publisher + STOMP broker。</w:t>
      </w:r>
    </w:p>
    <w:p w14:paraId="5C2E3844">
      <w:pPr>
        <w:pStyle w:val="25"/>
      </w:pPr>
      <w:r>
        <w:t>●  模块划分约束: 按业务域组织为账号、剧目、场馆与布局、选座、订单与支付、拼座、检票、看板统计、推荐等模块, 各模块以 service 为核心、共享统一实体与 ApiResponse 封装; 模块清单见表 11、分层结构见图29。</w:t>
      </w:r>
    </w:p>
    <w:p w14:paraId="1F1C29B9">
      <w:pPr>
        <w:pStyle w:val="25"/>
      </w:pPr>
      <w:r>
        <w:t>技术栈约束: 前端 Vue 3 + TypeScript + Element Plus + ECharts + three.js + @stomp/stompjs; 后端 Spring Boot 3 + Java 17 + MyBatis-Plus + Sa-Token + Spring WebSocket + Knife4j; 数据库 MySQL 8; 缓存 Redis 7.</w:t>
      </w:r>
    </w:p>
    <w:p w14:paraId="676743C5">
      <w:pPr>
        <w:pStyle w:val="25"/>
      </w:pPr>
      <w:r>
        <w:t>鉴权方案约束: 统一使用 Sa-Token, 不混用 JWT, 避免登录态实现不一致.</w:t>
      </w:r>
    </w:p>
    <w:p w14:paraId="4A4645E3">
      <w:pPr>
        <w:pStyle w:val="25"/>
      </w:pPr>
      <w:r>
        <w:t>●  数据库约束: 字符集 utf8mb4, 时间字段 DATETIME, 金额字段 DECIMAL(10,2), 状态字段 VARCHAR 枚举; 共 13 张业务表, 命名以业务域为前缀 (user_account / encore_show / venue_ / seat_layout_ / show_schedule / schedule_ / ticket_)。</w:t>
      </w:r>
    </w:p>
    <w:p w14:paraId="783E0897">
      <w:pPr>
        <w:pStyle w:val="25"/>
      </w:pPr>
      <w:r>
        <w:t>●  算法约束: 演出推荐采用后端本地规则排序的轻量方案, 不引入机器学习训练流程, 也不依赖外部大模型, 保证零额外 API 成本与稳定响应。</w:t>
      </w:r>
    </w:p>
    <w:p w14:paraId="6D3625E9">
      <w:pPr>
        <w:pStyle w:val="25"/>
      </w:pPr>
      <w:r>
        <w:t>代码规范约束: 后端遵循阿里巴巴 Java 开发手册, 前端遵循 Airbnb Style + ESLint + Prettier 自动化校验.</w:t>
      </w:r>
    </w:p>
    <w:p w14:paraId="0AEC09EF">
      <w:pPr>
        <w:pStyle w:val="25"/>
      </w:pPr>
      <w:r>
        <w:t>●  范围约束: 本期不实现真实支付、真实短信、真实硬件扫码、大规模抢票; 演出推荐以本地规则运行, 不依赖外部大模型。</w:t>
      </w:r>
    </w:p>
    <w:p w14:paraId="7362BF01">
      <w:pPr>
        <w:pStyle w:val="25"/>
      </w:pPr>
      <w:r>
        <w:t>授权与开源协议: 项目源代码采用 MIT 协议; 外部依赖必须为允许商用的协议 (Apache 2.0 / MIT / BSD).</w:t>
      </w:r>
    </w:p>
    <w:p w14:paraId="51A0FE17">
      <w:r>
        <w:t>ENCORE 系统的后端模块划分与职责见表 11。</w:t>
      </w:r>
    </w:p>
    <w:p w14:paraId="54E72B1F">
      <w:pPr>
        <w:pStyle w:val="35"/>
        <w:jc w:val="center"/>
      </w:pPr>
      <w:r>
        <w:t>表11  ENCORE 后端模块划分与职责</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0"/>
        <w:gridCol w:w="1587"/>
        <w:gridCol w:w="3673"/>
        <w:gridCol w:w="1572"/>
      </w:tblGrid>
      <w:tr w14:paraId="0A576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B4BDD1F">
            <w:pPr>
              <w:jc w:val="center"/>
            </w:pPr>
            <w:r>
              <w:rPr>
                <w:b/>
              </w:rPr>
              <w:t>模块</w:t>
            </w:r>
          </w:p>
        </w:tc>
        <w:tc>
          <w:tcPr>
            <w:tcW w:w="2076" w:type="dxa"/>
          </w:tcPr>
          <w:p w14:paraId="0602A1FA">
            <w:pPr>
              <w:jc w:val="center"/>
            </w:pPr>
            <w:r>
              <w:rPr>
                <w:b/>
              </w:rPr>
              <w:t>核心服务</w:t>
            </w:r>
          </w:p>
        </w:tc>
        <w:tc>
          <w:tcPr>
            <w:tcW w:w="2076" w:type="dxa"/>
          </w:tcPr>
          <w:p w14:paraId="7A7C7589">
            <w:pPr>
              <w:jc w:val="center"/>
            </w:pPr>
            <w:r>
              <w:rPr>
                <w:b/>
              </w:rPr>
              <w:t>主要实体 / 表</w:t>
            </w:r>
          </w:p>
        </w:tc>
        <w:tc>
          <w:tcPr>
            <w:tcW w:w="2076" w:type="dxa"/>
          </w:tcPr>
          <w:p w14:paraId="43347460">
            <w:pPr>
              <w:jc w:val="center"/>
            </w:pPr>
            <w:r>
              <w:rPr>
                <w:b/>
              </w:rPr>
              <w:t>职责说明</w:t>
            </w:r>
          </w:p>
        </w:tc>
      </w:tr>
      <w:tr w14:paraId="55C87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8AD245F">
            <w:r>
              <w:t>账号与权限</w:t>
            </w:r>
          </w:p>
        </w:tc>
        <w:tc>
          <w:tcPr>
            <w:tcW w:w="2076" w:type="dxa"/>
          </w:tcPr>
          <w:p w14:paraId="5EF84942">
            <w:r>
              <w:t>AuthService / StaffAccountService</w:t>
            </w:r>
          </w:p>
        </w:tc>
        <w:tc>
          <w:tcPr>
            <w:tcW w:w="2076" w:type="dxa"/>
          </w:tcPr>
          <w:p w14:paraId="0E9E734A">
            <w:r>
              <w:t>user_account</w:t>
            </w:r>
          </w:p>
        </w:tc>
        <w:tc>
          <w:tcPr>
            <w:tcW w:w="2076" w:type="dxa"/>
          </w:tcPr>
          <w:p w14:paraId="63A6FB8C">
            <w:r>
              <w:t>注册 / 登录 / 登出 (Sa-Token)、员工账号与角色 (role 单列)、口令 BCrypt</w:t>
            </w:r>
          </w:p>
        </w:tc>
      </w:tr>
      <w:tr w14:paraId="53293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BD385EC">
            <w:r>
              <w:t>剧目与推荐</w:t>
            </w:r>
          </w:p>
        </w:tc>
        <w:tc>
          <w:tcPr>
            <w:tcW w:w="2076" w:type="dxa"/>
          </w:tcPr>
          <w:p w14:paraId="69FC79B4">
            <w:r>
              <w:t>ShowService</w:t>
            </w:r>
          </w:p>
        </w:tc>
        <w:tc>
          <w:tcPr>
            <w:tcW w:w="2076" w:type="dxa"/>
          </w:tcPr>
          <w:p w14:paraId="57393253">
            <w:r>
              <w:t>encore_show</w:t>
            </w:r>
          </w:p>
        </w:tc>
        <w:tc>
          <w:tcPr>
            <w:tcW w:w="2076" w:type="dxa"/>
          </w:tcPr>
          <w:p w14:paraId="7F72ABD7">
            <w:r>
              <w:t>剧目档案 CRUD、浏览 / 搜索 / 详情、首页 Top8 规则推荐</w:t>
            </w:r>
          </w:p>
        </w:tc>
      </w:tr>
      <w:tr w14:paraId="0219A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0861A8C">
            <w:r>
              <w:t>场馆与布局</w:t>
            </w:r>
          </w:p>
        </w:tc>
        <w:tc>
          <w:tcPr>
            <w:tcW w:w="2076" w:type="dxa"/>
          </w:tcPr>
          <w:p w14:paraId="009E94A6">
            <w:r>
              <w:t>VenueManagementService</w:t>
            </w:r>
          </w:p>
        </w:tc>
        <w:tc>
          <w:tcPr>
            <w:tcW w:w="2076" w:type="dxa"/>
          </w:tcPr>
          <w:p w14:paraId="4A906278">
            <w:r>
              <w:t>venue / venue_hall / seat_layout / seat_layout_area / seat_layout_seat / venue_area</w:t>
            </w:r>
          </w:p>
        </w:tc>
        <w:tc>
          <w:tcPr>
            <w:tcW w:w="2076" w:type="dxa"/>
          </w:tcPr>
          <w:p w14:paraId="2A380122">
            <w:r>
              <w:t>场馆 / 演出厅 / 座位布局维护与发布、区域定义</w:t>
            </w:r>
          </w:p>
        </w:tc>
      </w:tr>
      <w:tr w14:paraId="4F823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7336D1">
            <w:r>
              <w:t>场次排期</w:t>
            </w:r>
          </w:p>
        </w:tc>
        <w:tc>
          <w:tcPr>
            <w:tcW w:w="2076" w:type="dxa"/>
          </w:tcPr>
          <w:p w14:paraId="78EBAA4C">
            <w:r>
              <w:t>AdminService (排期)</w:t>
            </w:r>
          </w:p>
        </w:tc>
        <w:tc>
          <w:tcPr>
            <w:tcW w:w="2076" w:type="dxa"/>
          </w:tcPr>
          <w:p w14:paraId="77FBAB72">
            <w:r>
              <w:t>show_schedule / schedule_seat / schedule_area_inventory</w:t>
            </w:r>
          </w:p>
        </w:tc>
        <w:tc>
          <w:tcPr>
            <w:tcW w:w="2076" w:type="dxa"/>
          </w:tcPr>
          <w:p w14:paraId="27D39A92">
            <w:r>
              <w:t>场次创建、布局快照生成票池与区域库存、同厅冲突校验、状态机</w:t>
            </w:r>
          </w:p>
        </w:tc>
      </w:tr>
      <w:tr w14:paraId="4351E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C606ECE">
            <w:r>
              <w:t>选座·订单·支付</w:t>
            </w:r>
          </w:p>
        </w:tc>
        <w:tc>
          <w:tcPr>
            <w:tcW w:w="2076" w:type="dxa"/>
          </w:tcPr>
          <w:p w14:paraId="43706955">
            <w:r>
              <w:t>SeatService / OrderService / SeatStatusPublisher</w:t>
            </w:r>
          </w:p>
        </w:tc>
        <w:tc>
          <w:tcPr>
            <w:tcW w:w="2076" w:type="dxa"/>
          </w:tcPr>
          <w:p w14:paraId="5F73D22E">
            <w:r>
              <w:t>schedule_seat / schedule_area_inventory / ticket_order / ticket_item</w:t>
            </w:r>
          </w:p>
        </w:tc>
        <w:tc>
          <w:tcPr>
            <w:tcW w:w="2076" w:type="dxa"/>
          </w:tcPr>
          <w:p w14:paraId="34AEB07D">
            <w:r>
              <w:t>Redis 座位锁、区域库存 CAS、下单与 15 分钟倒计时、模拟支付、票据生成、STOMP 实时广播</w:t>
            </w:r>
          </w:p>
        </w:tc>
      </w:tr>
      <w:tr w14:paraId="37F87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2F7FF7B">
            <w:r>
              <w:t>拼座与检票</w:t>
            </w:r>
          </w:p>
        </w:tc>
        <w:tc>
          <w:tcPr>
            <w:tcW w:w="2076" w:type="dxa"/>
          </w:tcPr>
          <w:p w14:paraId="7C2DBEAD">
            <w:r>
              <w:t>GroupOrderService / CheckInService</w:t>
            </w:r>
          </w:p>
        </w:tc>
        <w:tc>
          <w:tcPr>
            <w:tcW w:w="2076" w:type="dxa"/>
          </w:tcPr>
          <w:p w14:paraId="2AFE60EF">
            <w:r>
              <w:t>ticket_order / ticket_item (+ Redis 会话)</w:t>
            </w:r>
          </w:p>
        </w:tc>
        <w:tc>
          <w:tcPr>
            <w:tcW w:w="2076" w:type="dxa"/>
          </w:tcPr>
          <w:p w14:paraId="4A999C25">
            <w:r>
              <w:t>拼座 create / join / checkout 群锁; 检票窗口校验与 CHECKED_IN 翻转</w:t>
            </w:r>
          </w:p>
        </w:tc>
      </w:tr>
      <w:tr w14:paraId="19740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DB9CB99">
            <w:r>
              <w:t>数据看板</w:t>
            </w:r>
          </w:p>
        </w:tc>
        <w:tc>
          <w:tcPr>
            <w:tcW w:w="2076" w:type="dxa"/>
          </w:tcPr>
          <w:p w14:paraId="194B15C6">
            <w:r>
              <w:t>AdminService / DashboardRefreshPublisher</w:t>
            </w:r>
          </w:p>
        </w:tc>
        <w:tc>
          <w:tcPr>
            <w:tcW w:w="2076" w:type="dxa"/>
          </w:tcPr>
          <w:p w14:paraId="18585C68">
            <w:r>
              <w:t>聚合视图 (ticket_order / ticket_item ...)</w:t>
            </w:r>
          </w:p>
        </w:tc>
        <w:tc>
          <w:tcPr>
            <w:tcW w:w="2076" w:type="dxa"/>
          </w:tcPr>
          <w:p w14:paraId="634FE333">
            <w:r>
              <w:t>应用层内存聚合 KPI、/topic/admin/dashboard 刷新信号</w:t>
            </w:r>
          </w:p>
        </w:tc>
      </w:tr>
    </w:tbl>
    <w:p w14:paraId="4CDB5482">
      <w:r>
        <w:t>表 11 与图29 共同描述 ENCORE 的后端分层与模块组织: 控制层经统一 SaInterceptor 鉴权后委派业务层, 业务层经 MyBatis-Plus Mapper 访问 MySQL、经 StringRedisTemplate 访问 Redis, 并通过 SeatStatusPublisher / DashboardRefreshPublisher 经 STOMP 广播实时事件。</w:t>
      </w:r>
    </w:p>
    <w:p w14:paraId="732E620C">
      <w:pPr>
        <w:jc w:val="center"/>
      </w:pPr>
      <w:r>
        <w:drawing>
          <wp:inline distT="0" distB="0" distL="114300" distR="114300">
            <wp:extent cx="5039995" cy="3089532"/>
            <wp:effectExtent l="0" t="0" r="190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5"/>
                    <a:stretch>
                      <a:fillRect/>
                    </a:stretch>
                  </pic:blipFill>
                  <pic:spPr>
                    <a:xfrm>
                      <a:off x="0" y="0"/>
                      <a:ext cx="5039995" cy="3089532"/>
                    </a:xfrm>
                    <a:prstGeom prst="rect">
                      <a:avLst/>
                    </a:prstGeom>
                  </pic:spPr>
                </pic:pic>
              </a:graphicData>
            </a:graphic>
          </wp:inline>
        </w:drawing>
      </w:r>
    </w:p>
    <w:p w14:paraId="217C0088">
      <w:pPr>
        <w:pStyle w:val="40"/>
        <w:jc w:val="center"/>
      </w:pPr>
      <w:r>
        <w:t>图29  ENCORE 分层架构与模块划分图</w:t>
      </w:r>
    </w:p>
    <w:p w14:paraId="13F1299E">
      <w:pPr>
        <w:pStyle w:val="2"/>
      </w:pPr>
      <w:bookmarkStart w:id="38" w:name="_Toc13217"/>
      <w:r>
        <w:rPr>
          <w:rFonts w:hint="eastAsia"/>
        </w:rPr>
        <w:t>验收标准</w:t>
      </w:r>
      <w:bookmarkEnd w:id="38"/>
    </w:p>
    <w:p w14:paraId="1E15A1CD">
      <w:r>
        <w:rPr>
          <w:sz w:val="24"/>
        </w:rPr>
        <w:t>本章节定义 ENCORE 票务管理系统的验收标准, 作为项目交付时甲乙双方确认产品达标的依据。</w:t>
      </w:r>
    </w:p>
    <w:p w14:paraId="1F9BC0AF">
      <w:pPr>
        <w:pStyle w:val="3"/>
      </w:pPr>
      <w:bookmarkStart w:id="39" w:name="_Toc7225"/>
      <w:r>
        <w:rPr>
          <w:sz w:val="24"/>
        </w:rPr>
        <w:t>功能验收</w:t>
      </w:r>
      <w:bookmarkEnd w:id="39"/>
    </w:p>
    <w:p w14:paraId="38876915">
      <w:r>
        <w:rPr>
          <w:sz w:val="24"/>
        </w:rPr>
        <w:t>功能验收用于确认 ENCORE 票务管理系统是否完整实现需求规格说明书中定义的核心业务能力、创新能力和交付范围。验收项目如下:</w:t>
      </w:r>
    </w:p>
    <w:p w14:paraId="32C6F3F3">
      <w:pPr>
        <w:pStyle w:val="25"/>
      </w:pPr>
      <w:r>
        <w:rPr>
          <w:sz w:val="24"/>
        </w:rPr>
        <w:t>●  验收项目: 用户注册、登录、登出、角色识别; 验收标准: 合法用户可进入对应端, 非授权用户被拒绝。</w:t>
      </w:r>
    </w:p>
    <w:p w14:paraId="658B2912">
      <w:pPr>
        <w:pStyle w:val="25"/>
      </w:pPr>
      <w:r>
        <w:rPr>
          <w:sz w:val="24"/>
        </w:rPr>
        <w:t>●  验收项目: 演出浏览、搜索、详情、场次查看; 验收标准: 游客和注册用户均可正确访问公开演出信息。</w:t>
      </w:r>
    </w:p>
    <w:p w14:paraId="271A5300">
      <w:pPr>
        <w:pStyle w:val="25"/>
      </w:pPr>
      <w:r>
        <w:rPr>
          <w:sz w:val="24"/>
        </w:rPr>
        <w:t>●  验收项目: 可视化选座、锁座、下单、模拟支付、电子票; 验收标准: 座位状态、订单状态、票据状态一致, 不出现重复售票。</w:t>
      </w:r>
    </w:p>
    <w:p w14:paraId="3D97342B">
      <w:pPr>
        <w:pStyle w:val="25"/>
      </w:pPr>
      <w:r>
        <w:rPr>
          <w:sz w:val="24"/>
        </w:rPr>
        <w:t>●  验收项目: 剧目、分类、演出厅、座位、场次、票池、订单、公告管理; 验收标准: 票务管理员可完成完整后台维护流程。</w:t>
      </w:r>
    </w:p>
    <w:p w14:paraId="3EE01788">
      <w:pPr>
        <w:pStyle w:val="25"/>
      </w:pPr>
      <w:r>
        <w:rPr>
          <w:sz w:val="24"/>
        </w:rPr>
        <w:t>●  验收项目: 检票核销与异常票据处理; 验收标准: 正常票可核销, 重复票、作废票、非当前场次票被明确拒绝。</w:t>
      </w:r>
    </w:p>
    <w:p w14:paraId="36087E18">
      <w:pPr>
        <w:pStyle w:val="25"/>
      </w:pPr>
      <w:r>
        <w:rPr>
          <w:sz w:val="24"/>
        </w:rPr>
        <w:t>●  验收项目: 数据看板、智能推荐、拼座邀请、舞台视角预览、AI 运营助手; 验收标准: 差异化功能可演示, 且主业务在降级情况下不受影响。</w:t>
      </w:r>
    </w:p>
    <w:p w14:paraId="7175B4CE">
      <w:r>
        <w:rPr>
          <w:sz w:val="24"/>
        </w:rPr>
        <w:t>ENCORE 票务管理系统的功能验收明细见表 12。</w:t>
      </w:r>
    </w:p>
    <w:p w14:paraId="15759FDA">
      <w:pPr>
        <w:pStyle w:val="35"/>
      </w:pPr>
      <w:r>
        <w:rPr>
          <w:sz w:val="24"/>
        </w:rPr>
        <w:t>表12  ENCORE 功能验收明细</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5BEEC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CE36837">
            <w:pPr>
              <w:jc w:val="center"/>
            </w:pPr>
            <w:r>
              <w:rPr>
                <w:b/>
              </w:rPr>
              <w:t>编号</w:t>
            </w:r>
          </w:p>
        </w:tc>
        <w:tc>
          <w:tcPr>
            <w:tcW w:w="2076" w:type="dxa"/>
          </w:tcPr>
          <w:p w14:paraId="65D2641A">
            <w:pPr>
              <w:jc w:val="center"/>
            </w:pPr>
            <w:r>
              <w:rPr>
                <w:b/>
              </w:rPr>
              <w:t>验收类别</w:t>
            </w:r>
          </w:p>
        </w:tc>
        <w:tc>
          <w:tcPr>
            <w:tcW w:w="2076" w:type="dxa"/>
          </w:tcPr>
          <w:p w14:paraId="418AC2BD">
            <w:pPr>
              <w:jc w:val="center"/>
            </w:pPr>
            <w:r>
              <w:rPr>
                <w:b/>
              </w:rPr>
              <w:t>验收条目</w:t>
            </w:r>
          </w:p>
        </w:tc>
        <w:tc>
          <w:tcPr>
            <w:tcW w:w="2076" w:type="dxa"/>
          </w:tcPr>
          <w:p w14:paraId="3331F5B1">
            <w:pPr>
              <w:jc w:val="center"/>
            </w:pPr>
            <w:r>
              <w:rPr>
                <w:b/>
              </w:rPr>
              <w:t>等级</w:t>
            </w:r>
          </w:p>
        </w:tc>
      </w:tr>
      <w:tr w14:paraId="71454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6226564">
            <w:r>
              <w:t>AC-01</w:t>
            </w:r>
          </w:p>
        </w:tc>
        <w:tc>
          <w:tcPr>
            <w:tcW w:w="2076" w:type="dxa"/>
          </w:tcPr>
          <w:p w14:paraId="33982284">
            <w:r>
              <w:t>功能 - 用户</w:t>
            </w:r>
          </w:p>
        </w:tc>
        <w:tc>
          <w:tcPr>
            <w:tcW w:w="2076" w:type="dxa"/>
          </w:tcPr>
          <w:p w14:paraId="0770B284">
            <w:r>
              <w:t>用户可通过用户名 / 密码完成注册、登录、登出, 角色权限正确</w:t>
            </w:r>
          </w:p>
        </w:tc>
        <w:tc>
          <w:tcPr>
            <w:tcW w:w="2076" w:type="dxa"/>
          </w:tcPr>
          <w:p w14:paraId="542C5C42">
            <w:r>
              <w:t>必须</w:t>
            </w:r>
          </w:p>
        </w:tc>
      </w:tr>
      <w:tr w14:paraId="670D0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F9AA233">
            <w:r>
              <w:t>AC-02</w:t>
            </w:r>
          </w:p>
        </w:tc>
        <w:tc>
          <w:tcPr>
            <w:tcW w:w="2076" w:type="dxa"/>
          </w:tcPr>
          <w:p w14:paraId="5FAADB33">
            <w:r>
              <w:t>功能 - 浏览</w:t>
            </w:r>
          </w:p>
        </w:tc>
        <w:tc>
          <w:tcPr>
            <w:tcW w:w="2076" w:type="dxa"/>
          </w:tcPr>
          <w:p w14:paraId="12899EC3">
            <w:r>
              <w:t>演出列表、搜索、详情、场次基础信息可被游客与注册用户正确访问</w:t>
            </w:r>
          </w:p>
        </w:tc>
        <w:tc>
          <w:tcPr>
            <w:tcW w:w="2076" w:type="dxa"/>
          </w:tcPr>
          <w:p w14:paraId="45AECAE5">
            <w:r>
              <w:t>必须</w:t>
            </w:r>
          </w:p>
        </w:tc>
      </w:tr>
      <w:tr w14:paraId="4F7A6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A1B2AF9">
            <w:r>
              <w:t>AC-03</w:t>
            </w:r>
          </w:p>
        </w:tc>
        <w:tc>
          <w:tcPr>
            <w:tcW w:w="2076" w:type="dxa"/>
          </w:tcPr>
          <w:p w14:paraId="3CD7926D">
            <w:r>
              <w:t>功能 - 选座</w:t>
            </w:r>
          </w:p>
        </w:tc>
        <w:tc>
          <w:tcPr>
            <w:tcW w:w="2076" w:type="dxa"/>
          </w:tcPr>
          <w:p w14:paraId="22ED5239">
            <w:r>
              <w:t>选座页可视化呈现座位图与四种状态, 选座并发冲突有明确提示</w:t>
            </w:r>
          </w:p>
        </w:tc>
        <w:tc>
          <w:tcPr>
            <w:tcW w:w="2076" w:type="dxa"/>
          </w:tcPr>
          <w:p w14:paraId="44940FB0">
            <w:r>
              <w:t>必须</w:t>
            </w:r>
          </w:p>
        </w:tc>
      </w:tr>
      <w:tr w14:paraId="1C38C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F88E33C">
            <w:r>
              <w:t>AC-04</w:t>
            </w:r>
          </w:p>
        </w:tc>
        <w:tc>
          <w:tcPr>
            <w:tcW w:w="2076" w:type="dxa"/>
          </w:tcPr>
          <w:p w14:paraId="08BC2CD1">
            <w:r>
              <w:t>功能 - 下单</w:t>
            </w:r>
          </w:p>
        </w:tc>
        <w:tc>
          <w:tcPr>
            <w:tcW w:w="2076" w:type="dxa"/>
          </w:tcPr>
          <w:p w14:paraId="1722DF8A">
            <w:r>
              <w:t>订单创建后 15 分钟倒计时生效, 未支付到时自动取消并释放座位</w:t>
            </w:r>
          </w:p>
        </w:tc>
        <w:tc>
          <w:tcPr>
            <w:tcW w:w="2076" w:type="dxa"/>
          </w:tcPr>
          <w:p w14:paraId="4D3E4983">
            <w:r>
              <w:t>必须</w:t>
            </w:r>
          </w:p>
        </w:tc>
      </w:tr>
      <w:tr w14:paraId="5D744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ACE07EF">
            <w:r>
              <w:t>AC-05</w:t>
            </w:r>
          </w:p>
        </w:tc>
        <w:tc>
          <w:tcPr>
            <w:tcW w:w="2076" w:type="dxa"/>
          </w:tcPr>
          <w:p w14:paraId="0496DD2E">
            <w:r>
              <w:t>功能 - 支付</w:t>
            </w:r>
          </w:p>
        </w:tc>
        <w:tc>
          <w:tcPr>
            <w:tcW w:w="2076" w:type="dxa"/>
          </w:tcPr>
          <w:p w14:paraId="4AFDAFB6">
            <w:r>
              <w:t>模拟支付成功后订单 PAID、座位 SOLD、电子票生成 (UNUSED), 数据一致</w:t>
            </w:r>
          </w:p>
        </w:tc>
        <w:tc>
          <w:tcPr>
            <w:tcW w:w="2076" w:type="dxa"/>
          </w:tcPr>
          <w:p w14:paraId="752E1F92">
            <w:r>
              <w:t>必须</w:t>
            </w:r>
          </w:p>
        </w:tc>
      </w:tr>
      <w:tr w14:paraId="5E1FE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5BA79EA">
            <w:r>
              <w:t>AC-06</w:t>
            </w:r>
          </w:p>
        </w:tc>
        <w:tc>
          <w:tcPr>
            <w:tcW w:w="2076" w:type="dxa"/>
          </w:tcPr>
          <w:p w14:paraId="0266F21E">
            <w:r>
              <w:t>功能 - 电子票</w:t>
            </w:r>
          </w:p>
        </w:tc>
        <w:tc>
          <w:tcPr>
            <w:tcW w:w="2076" w:type="dxa"/>
          </w:tcPr>
          <w:p w14:paraId="237AE41F">
            <w:r>
              <w:t>用户可在 "我的电子票" 查看票号、二维码模拟码、座位信息</w:t>
            </w:r>
          </w:p>
        </w:tc>
        <w:tc>
          <w:tcPr>
            <w:tcW w:w="2076" w:type="dxa"/>
          </w:tcPr>
          <w:p w14:paraId="4AC19F42">
            <w:r>
              <w:t>必须</w:t>
            </w:r>
          </w:p>
        </w:tc>
      </w:tr>
      <w:tr w14:paraId="5EACC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5E64CEC">
            <w:r>
              <w:t>AC-07</w:t>
            </w:r>
          </w:p>
        </w:tc>
        <w:tc>
          <w:tcPr>
            <w:tcW w:w="2076" w:type="dxa"/>
          </w:tcPr>
          <w:p w14:paraId="1642B923">
            <w:r>
              <w:t>功能 - 检票</w:t>
            </w:r>
          </w:p>
        </w:tc>
        <w:tc>
          <w:tcPr>
            <w:tcW w:w="2076" w:type="dxa"/>
          </w:tcPr>
          <w:p w14:paraId="2E14B678">
            <w:r>
              <w:t>检票端可通过票号或二维码模拟码完成核销, 重复检票被正确拒绝</w:t>
            </w:r>
          </w:p>
        </w:tc>
        <w:tc>
          <w:tcPr>
            <w:tcW w:w="2076" w:type="dxa"/>
          </w:tcPr>
          <w:p w14:paraId="35112B1B">
            <w:r>
              <w:t>必须</w:t>
            </w:r>
          </w:p>
        </w:tc>
      </w:tr>
      <w:tr w14:paraId="45F57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B956481">
            <w:r>
              <w:t>AC-08</w:t>
            </w:r>
          </w:p>
        </w:tc>
        <w:tc>
          <w:tcPr>
            <w:tcW w:w="2076" w:type="dxa"/>
          </w:tcPr>
          <w:p w14:paraId="62E3A7B2">
            <w:r>
              <w:t>功能 - 管理</w:t>
            </w:r>
          </w:p>
        </w:tc>
        <w:tc>
          <w:tcPr>
            <w:tcW w:w="2076" w:type="dxa"/>
          </w:tcPr>
          <w:p w14:paraId="47419C90">
            <w:r>
              <w:t>票务管理员可完成剧目、场馆与演出厅、座位布局、场次、票池与区域库存、订单管理</w:t>
            </w:r>
          </w:p>
        </w:tc>
        <w:tc>
          <w:tcPr>
            <w:tcW w:w="2076" w:type="dxa"/>
          </w:tcPr>
          <w:p w14:paraId="6845F981">
            <w:r>
              <w:t>必须</w:t>
            </w:r>
          </w:p>
        </w:tc>
      </w:tr>
      <w:tr w14:paraId="6EFCC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AE25DB">
            <w:r>
              <w:t>AC-09</w:t>
            </w:r>
          </w:p>
        </w:tc>
        <w:tc>
          <w:tcPr>
            <w:tcW w:w="2076" w:type="dxa"/>
          </w:tcPr>
          <w:p w14:paraId="3CC4E766">
            <w:r>
              <w:t>功能 - 看板</w:t>
            </w:r>
          </w:p>
        </w:tc>
        <w:tc>
          <w:tcPr>
            <w:tcW w:w="2076" w:type="dxa"/>
          </w:tcPr>
          <w:p w14:paraId="34B312E6">
            <w:r>
              <w:t>数据看板可正确呈现订单数、销售额、近 7 日趋势、热门演出、上座率等指标</w:t>
            </w:r>
          </w:p>
        </w:tc>
        <w:tc>
          <w:tcPr>
            <w:tcW w:w="2076" w:type="dxa"/>
          </w:tcPr>
          <w:p w14:paraId="4FC3AA73">
            <w:r>
              <w:t>必须</w:t>
            </w:r>
          </w:p>
        </w:tc>
      </w:tr>
      <w:tr w14:paraId="4C3E0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B37693E">
            <w:r>
              <w:t>AC-10</w:t>
            </w:r>
          </w:p>
        </w:tc>
        <w:tc>
          <w:tcPr>
            <w:tcW w:w="2076" w:type="dxa"/>
          </w:tcPr>
          <w:p w14:paraId="1BC4AAA8">
            <w:r>
              <w:t>功能 - 系统</w:t>
            </w:r>
          </w:p>
        </w:tc>
        <w:tc>
          <w:tcPr>
            <w:tcW w:w="2076" w:type="dxa"/>
          </w:tcPr>
          <w:p w14:paraId="6A686DF5">
            <w:r>
              <w:t>系统管理员可创建 / 禁用 / 重置员工账号并分配 user / admin / checker / sysadmin 角色</w:t>
            </w:r>
          </w:p>
        </w:tc>
        <w:tc>
          <w:tcPr>
            <w:tcW w:w="2076" w:type="dxa"/>
          </w:tcPr>
          <w:p w14:paraId="39246181">
            <w:r>
              <w:t>必须</w:t>
            </w:r>
          </w:p>
        </w:tc>
      </w:tr>
      <w:tr w14:paraId="11E6D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0FB72FF">
            <w:r>
              <w:t>AC-11</w:t>
            </w:r>
          </w:p>
        </w:tc>
        <w:tc>
          <w:tcPr>
            <w:tcW w:w="2076" w:type="dxa"/>
          </w:tcPr>
          <w:p w14:paraId="2DC02CA5">
            <w:r>
              <w:t>非功能 - 性能</w:t>
            </w:r>
          </w:p>
        </w:tc>
        <w:tc>
          <w:tcPr>
            <w:tcW w:w="2076" w:type="dxa"/>
          </w:tcPr>
          <w:p w14:paraId="63B4C47A">
            <w:r>
              <w:t>表 10 中所有 P95 指标均通过 JMeter 5.6 全链路压测, 错误率 &lt; 0.5%, Skywalking 链路截图归档</w:t>
            </w:r>
          </w:p>
        </w:tc>
        <w:tc>
          <w:tcPr>
            <w:tcW w:w="2076" w:type="dxa"/>
          </w:tcPr>
          <w:p w14:paraId="062AFE87">
            <w:r>
              <w:t>必须</w:t>
            </w:r>
          </w:p>
        </w:tc>
      </w:tr>
      <w:tr w14:paraId="4852F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D93596E">
            <w:r>
              <w:t>AC-12</w:t>
            </w:r>
          </w:p>
        </w:tc>
        <w:tc>
          <w:tcPr>
            <w:tcW w:w="2076" w:type="dxa"/>
          </w:tcPr>
          <w:p w14:paraId="21BC73F6">
            <w:r>
              <w:t>非功能 - 安全</w:t>
            </w:r>
          </w:p>
        </w:tc>
        <w:tc>
          <w:tcPr>
            <w:tcW w:w="2076" w:type="dxa"/>
          </w:tcPr>
          <w:p w14:paraId="0B246C15">
            <w:r>
              <w:t>密码 BCrypt 存储, 统一 SaInterceptor 鉴权, 检票员越权访问被拒, prod profile 关闭 Knife4j /doc.html</w:t>
            </w:r>
          </w:p>
        </w:tc>
        <w:tc>
          <w:tcPr>
            <w:tcW w:w="2076" w:type="dxa"/>
          </w:tcPr>
          <w:p w14:paraId="2A965E99">
            <w:r>
              <w:t>必须</w:t>
            </w:r>
          </w:p>
        </w:tc>
      </w:tr>
      <w:tr w14:paraId="4BA7B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0061A9F">
            <w:r>
              <w:t>AC-13</w:t>
            </w:r>
          </w:p>
        </w:tc>
        <w:tc>
          <w:tcPr>
            <w:tcW w:w="2076" w:type="dxa"/>
          </w:tcPr>
          <w:p w14:paraId="43403D96">
            <w:r>
              <w:t>非功能 - 兼容</w:t>
            </w:r>
          </w:p>
        </w:tc>
        <w:tc>
          <w:tcPr>
            <w:tcW w:w="2076" w:type="dxa"/>
          </w:tcPr>
          <w:p w14:paraId="62934644">
            <w:r>
              <w:t>用户端与管理端在 Chrome / Edge / Firefox / Safari 主流版本下功能正确</w:t>
            </w:r>
          </w:p>
        </w:tc>
        <w:tc>
          <w:tcPr>
            <w:tcW w:w="2076" w:type="dxa"/>
          </w:tcPr>
          <w:p w14:paraId="0D3F1D33">
            <w:r>
              <w:t>必须</w:t>
            </w:r>
          </w:p>
        </w:tc>
      </w:tr>
      <w:tr w14:paraId="15CC4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F6C0F3F">
            <w:r>
              <w:t>AC-14</w:t>
            </w:r>
          </w:p>
        </w:tc>
        <w:tc>
          <w:tcPr>
            <w:tcW w:w="2076" w:type="dxa"/>
          </w:tcPr>
          <w:p w14:paraId="6383C68A">
            <w:r>
              <w:t>非功能 - 视觉</w:t>
            </w:r>
          </w:p>
        </w:tc>
        <w:tc>
          <w:tcPr>
            <w:tcW w:w="2076" w:type="dxa"/>
          </w:tcPr>
          <w:p w14:paraId="51602115">
            <w:r>
              <w:t>用户端深色剧院风格一致, 关键文案与颜色无错乱, 海报与图标显示正常</w:t>
            </w:r>
          </w:p>
        </w:tc>
        <w:tc>
          <w:tcPr>
            <w:tcW w:w="2076" w:type="dxa"/>
          </w:tcPr>
          <w:p w14:paraId="0763ABCA">
            <w:r>
              <w:t>建议</w:t>
            </w:r>
          </w:p>
        </w:tc>
      </w:tr>
      <w:tr w14:paraId="1E91B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42380C9">
            <w:r>
              <w:t>AC-15</w:t>
            </w:r>
          </w:p>
        </w:tc>
        <w:tc>
          <w:tcPr>
            <w:tcW w:w="2076" w:type="dxa"/>
          </w:tcPr>
          <w:p w14:paraId="26616DCC">
            <w:r>
              <w:t>交付物</w:t>
            </w:r>
          </w:p>
        </w:tc>
        <w:tc>
          <w:tcPr>
            <w:tcW w:w="2076" w:type="dxa"/>
          </w:tcPr>
          <w:p w14:paraId="69F4C7FD">
            <w:r>
              <w:t>源代码、文档、数据库脚本、UML 图、用户手册齐备, 项目可一键启动 (Docker Compose)</w:t>
            </w:r>
          </w:p>
        </w:tc>
        <w:tc>
          <w:tcPr>
            <w:tcW w:w="2076" w:type="dxa"/>
          </w:tcPr>
          <w:p w14:paraId="7E1AF6E1">
            <w:r>
              <w:t>必须</w:t>
            </w:r>
          </w:p>
        </w:tc>
      </w:tr>
      <w:tr w14:paraId="7D3DD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F054C64">
            <w:r>
              <w:t>AC-16</w:t>
            </w:r>
          </w:p>
        </w:tc>
        <w:tc>
          <w:tcPr>
            <w:tcW w:w="2076" w:type="dxa"/>
          </w:tcPr>
          <w:p w14:paraId="42EA7DF0">
            <w:r>
              <w:t>差异化 - 实时</w:t>
            </w:r>
          </w:p>
        </w:tc>
        <w:tc>
          <w:tcPr>
            <w:tcW w:w="2076" w:type="dxa"/>
          </w:tcPr>
          <w:p w14:paraId="575AD295">
            <w:r>
              <w:t>两块屏幕分别登录不同账号, 同一场次内一方锁座, 另一方屏幕在 1 秒内同步显示 LOCKED, 不刷新页面</w:t>
            </w:r>
          </w:p>
        </w:tc>
        <w:tc>
          <w:tcPr>
            <w:tcW w:w="2076" w:type="dxa"/>
          </w:tcPr>
          <w:p w14:paraId="497ED997">
            <w:r>
              <w:t>必须</w:t>
            </w:r>
          </w:p>
        </w:tc>
      </w:tr>
      <w:tr w14:paraId="42262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0F5C835">
            <w:r>
              <w:t>AC-17</w:t>
            </w:r>
          </w:p>
        </w:tc>
        <w:tc>
          <w:tcPr>
            <w:tcW w:w="2076" w:type="dxa"/>
          </w:tcPr>
          <w:p w14:paraId="433CDCE1">
            <w:r>
              <w:t>差异化 - 3D</w:t>
            </w:r>
          </w:p>
        </w:tc>
        <w:tc>
          <w:tcPr>
            <w:tcW w:w="2076" w:type="dxa"/>
          </w:tcPr>
          <w:p w14:paraId="79C73C4E">
            <w:r>
              <w:t>选座页点击任意座位可在 3 秒内弹出 three.js 3D 舞台视角预览, 帧率 ≥ 30 FPS; WebGL 不可用时降级为静态全景图</w:t>
            </w:r>
          </w:p>
        </w:tc>
        <w:tc>
          <w:tcPr>
            <w:tcW w:w="2076" w:type="dxa"/>
          </w:tcPr>
          <w:p w14:paraId="0AAE9833">
            <w:r>
              <w:t>必须</w:t>
            </w:r>
          </w:p>
        </w:tc>
      </w:tr>
      <w:tr w14:paraId="59A4E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2955CDF">
            <w:r>
              <w:t>AC-18</w:t>
            </w:r>
          </w:p>
        </w:tc>
        <w:tc>
          <w:tcPr>
            <w:tcW w:w="2076" w:type="dxa"/>
          </w:tcPr>
          <w:p w14:paraId="52FA87A3">
            <w:r>
              <w:t>差异化 - 看板</w:t>
            </w:r>
          </w:p>
        </w:tc>
        <w:tc>
          <w:tcPr>
            <w:tcW w:w="2076" w:type="dxa"/>
          </w:tcPr>
          <w:p w14:paraId="0642B3FE">
            <w:r>
              <w:t>管理端数据看板呈现深色 + 金色风格, 含营收 / 订单 / 售票 / 检票 KPI 卡、近 7 日折线 + 柱状双轴、Top5 热门演出横向柱, 下单 / 支付 / 检票事件触发实时刷新</w:t>
            </w:r>
          </w:p>
        </w:tc>
        <w:tc>
          <w:tcPr>
            <w:tcW w:w="2076" w:type="dxa"/>
          </w:tcPr>
          <w:p w14:paraId="4C9FBE03">
            <w:r>
              <w:t>必须</w:t>
            </w:r>
          </w:p>
        </w:tc>
      </w:tr>
      <w:tr w14:paraId="53609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A3C5057">
            <w:r>
              <w:t>AC-19</w:t>
            </w:r>
          </w:p>
        </w:tc>
        <w:tc>
          <w:tcPr>
            <w:tcW w:w="2076" w:type="dxa"/>
          </w:tcPr>
          <w:p w14:paraId="486AC835">
            <w:r>
              <w:t>差异化 - 推荐</w:t>
            </w:r>
          </w:p>
        </w:tc>
        <w:tc>
          <w:tcPr>
            <w:tcW w:w="2076" w:type="dxa"/>
          </w:tcPr>
          <w:p w14:paraId="0D9DC13E">
            <w:r>
              <w:t>首页猜你喜欢位返回全局 Top8 推荐 (规则排序, 对所有用户一致), 无数据时显示空状态, 接口 P95 ≤ 1.5 秒</w:t>
            </w:r>
          </w:p>
        </w:tc>
        <w:tc>
          <w:tcPr>
            <w:tcW w:w="2076" w:type="dxa"/>
          </w:tcPr>
          <w:p w14:paraId="6DCBAAA1">
            <w:r>
              <w:t>必须</w:t>
            </w:r>
          </w:p>
        </w:tc>
      </w:tr>
      <w:tr w14:paraId="72BDA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D4BEA55">
            <w:r>
              <w:t>AC-20</w:t>
            </w:r>
          </w:p>
        </w:tc>
        <w:tc>
          <w:tcPr>
            <w:tcW w:w="2076" w:type="dxa"/>
          </w:tcPr>
          <w:p w14:paraId="5F904138">
            <w:r>
              <w:t>差异化 - 社交</w:t>
            </w:r>
          </w:p>
        </w:tc>
        <w:tc>
          <w:tcPr>
            <w:tcW w:w="2076" w:type="dxa"/>
          </w:tcPr>
          <w:p w14:paraId="7178757F">
            <w:r>
              <w:t>用户生成拼座邀请码, 受邀人加入同场次联合锁座, 发起人合并为一笔订单结算支付</w:t>
            </w:r>
          </w:p>
        </w:tc>
        <w:tc>
          <w:tcPr>
            <w:tcW w:w="2076" w:type="dxa"/>
          </w:tcPr>
          <w:p w14:paraId="53B74731">
            <w:r>
              <w:t>建议</w:t>
            </w:r>
          </w:p>
        </w:tc>
      </w:tr>
      <w:tr w14:paraId="72BDA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D4BEA55">
            <w:r>
              <w:t>AC-21</w:t>
            </w:r>
          </w:p>
        </w:tc>
        <w:tc>
          <w:tcPr>
            <w:tcW w:w="2076" w:type="dxa"/>
          </w:tcPr>
          <w:p w14:paraId="5F904138">
            <w:r>
              <w:t>差异化 - 区域售票</w:t>
            </w:r>
          </w:p>
        </w:tc>
        <w:tc>
          <w:tcPr>
            <w:tcW w:w="2076" w:type="dxa"/>
          </w:tcPr>
          <w:p w14:paraId="7178757F">
            <w:r>
              <w:t>ZONED / MIXED 场次可按区域选 1~4 张下单, 库存 total / available / locked / sold 原子扣减防超卖, 支付后 sold 累加并实时广播</w:t>
            </w:r>
          </w:p>
        </w:tc>
        <w:tc>
          <w:tcPr>
            <w:tcW w:w="2076" w:type="dxa"/>
          </w:tcPr>
          <w:p w14:paraId="53B74731">
            <w:r>
              <w:t>建议</w:t>
            </w:r>
          </w:p>
        </w:tc>
      </w:tr>
    </w:tbl>
    <w:p w14:paraId="6054D054">
      <w:pPr>
        <w:pStyle w:val="3"/>
      </w:pPr>
      <w:bookmarkStart w:id="40" w:name="_Toc30724"/>
      <w:r>
        <w:rPr>
          <w:sz w:val="24"/>
        </w:rPr>
        <w:t>性能验收标准：</w:t>
      </w:r>
      <w:bookmarkEnd w:id="40"/>
    </w:p>
    <w:p w14:paraId="6BA14E7C">
      <w:r>
        <w:rPr>
          <w:sz w:val="24"/>
        </w:rPr>
        <w:t>性能验收用于确认系统在课程设计规模和中小型剧院业务规模下能够稳定响应。测试环境、测试数据和测试脚本应在测试报告中说明。</w:t>
      </w:r>
    </w:p>
    <w:p w14:paraId="23E56B0F">
      <w:pPr>
        <w:pStyle w:val="4"/>
      </w:pPr>
      <w:bookmarkStart w:id="41" w:name="_Toc16927"/>
      <w:r>
        <w:rPr>
          <w:sz w:val="24"/>
        </w:rPr>
        <w:t>余量测试</w:t>
      </w:r>
      <w:bookmarkEnd w:id="41"/>
    </w:p>
    <w:p w14:paraId="64865D2C">
      <w:pPr>
        <w:pStyle w:val="25"/>
      </w:pPr>
      <w:r>
        <w:rPr>
          <w:sz w:val="24"/>
        </w:rPr>
        <w:t>●  验收项目: 数据容量余量; 验收标准: 演出 1000 条、场次 10000 条、订单 1000000 条、用户 100000 条范围内, 列表查询和后台维护功能可正常使用。</w:t>
      </w:r>
    </w:p>
    <w:p w14:paraId="7076D2FD">
      <w:pPr>
        <w:pStyle w:val="25"/>
      </w:pPr>
      <w:r>
        <w:rPr>
          <w:sz w:val="24"/>
        </w:rPr>
        <w:t>●  验收项目: 并发余量; 验收标准: 50 名在线用户同时浏览, 20 名用户进入同一场次选座, 锁座冲突被正确处理且无超卖。</w:t>
      </w:r>
    </w:p>
    <w:p w14:paraId="35D70E59">
      <w:pPr>
        <w:pStyle w:val="25"/>
      </w:pPr>
      <w:r>
        <w:rPr>
          <w:sz w:val="24"/>
        </w:rPr>
        <w:t>●  验收项目: 存储余量; 验收标准: 数据库、图片资源、日志文件均保留至少 30% 可用空间, 超限时系统给出运维提示。</w:t>
      </w:r>
    </w:p>
    <w:p w14:paraId="1B7C4234">
      <w:pPr>
        <w:pStyle w:val="4"/>
      </w:pPr>
      <w:bookmarkStart w:id="42" w:name="_Toc12494"/>
      <w:r>
        <w:rPr>
          <w:sz w:val="24"/>
        </w:rPr>
        <w:t>性能验收（含基准测试）</w:t>
      </w:r>
      <w:bookmarkEnd w:id="42"/>
    </w:p>
    <w:p w14:paraId="12284182">
      <w:pPr>
        <w:pStyle w:val="25"/>
      </w:pPr>
      <w:r>
        <w:rPr>
          <w:sz w:val="24"/>
        </w:rPr>
        <w:t>●  验收项目: 基准接口性能; 验收标准: 登录、演出列表、选座、下单、支付、检票、看板接口满足第 5.2 节性能指标。</w:t>
      </w:r>
    </w:p>
    <w:p w14:paraId="5B1BEFA6">
      <w:pPr>
        <w:pStyle w:val="25"/>
      </w:pPr>
      <w:r>
        <w:rPr>
          <w:sz w:val="24"/>
        </w:rPr>
        <w:t>●  验收项目: WebSocket 实时性; 验收标准: 同一场次锁座广播 P95 ≤ 200ms, 另一客户端无需刷新即可看到座位状态变化。</w:t>
      </w:r>
    </w:p>
    <w:p w14:paraId="68939FFF">
      <w:pPr>
        <w:pStyle w:val="25"/>
      </w:pPr>
      <w:r>
        <w:rPr>
          <w:sz w:val="24"/>
        </w:rPr>
        <w:t>●  验收项目: AI 成本与性能; 验收标准: 推荐接口 P95 ≤ 1.5 秒; AI 运营助手启用外部模型时单次超时 ≤ 5 秒, 超时后自动回退本地模板。</w:t>
      </w:r>
    </w:p>
    <w:p w14:paraId="457470E3">
      <w:pPr>
        <w:pStyle w:val="4"/>
      </w:pPr>
      <w:bookmarkStart w:id="43" w:name="_Toc3440"/>
      <w:r>
        <w:rPr>
          <w:sz w:val="24"/>
        </w:rPr>
        <w:t>各类响应时间测试</w:t>
      </w:r>
      <w:bookmarkEnd w:id="43"/>
    </w:p>
    <w:p w14:paraId="20047606">
      <w:pPr>
        <w:pStyle w:val="25"/>
      </w:pPr>
      <w:r>
        <w:rPr>
          <w:sz w:val="24"/>
        </w:rPr>
        <w:t>●  首页加载 P95 ≤ 1.5 秒; 演出列表 P95 ≤ 1.5 秒; 选座页渲染 P95 ≤ 1.8 秒。</w:t>
      </w:r>
    </w:p>
    <w:p w14:paraId="22B1440D">
      <w:pPr>
        <w:pStyle w:val="25"/>
      </w:pPr>
      <w:r>
        <w:rPr>
          <w:sz w:val="24"/>
        </w:rPr>
        <w:t>●  登录 P95 ≤ 1.0 秒; 创建订单 P95 ≤ 1.0 秒; 模拟支付 P95 ≤ 1.0 秒。</w:t>
      </w:r>
    </w:p>
    <w:p w14:paraId="40B9CA36">
      <w:pPr>
        <w:pStyle w:val="25"/>
      </w:pPr>
      <w:r>
        <w:rPr>
          <w:sz w:val="24"/>
        </w:rPr>
        <w:t>●  检票核销 P95 ≤ 0.6 秒; 数据看板首次加载 P95 ≤ 2.5 秒; 推荐接口 P95 ≤ 1.5 秒。</w:t>
      </w:r>
    </w:p>
    <w:p w14:paraId="6AD80A9E">
      <w:pPr>
        <w:pStyle w:val="3"/>
      </w:pPr>
      <w:bookmarkStart w:id="44" w:name="_Toc3691"/>
      <w:r>
        <w:rPr>
          <w:sz w:val="24"/>
        </w:rPr>
        <w:t>系统健壮性测试</w:t>
      </w:r>
      <w:bookmarkEnd w:id="44"/>
    </w:p>
    <w:p w14:paraId="6CA3B461">
      <w:pPr>
        <w:pStyle w:val="25"/>
      </w:pPr>
      <w:r>
        <w:rPr>
          <w:sz w:val="24"/>
        </w:rPr>
        <w:t>●  验收项目: 非法输入; 验收标准: 空账号、弱密码、非法手机号、越权访问、无效票号等输入均被拦截并给出明确提示。</w:t>
      </w:r>
    </w:p>
    <w:p w14:paraId="6CBD823F">
      <w:pPr>
        <w:pStyle w:val="25"/>
      </w:pPr>
      <w:r>
        <w:rPr>
          <w:sz w:val="24"/>
        </w:rPr>
        <w:t>●  验收项目: 并发冲突; 验收标准: 两名用户同时锁定同一座位时仅一方成功, 失败方界面刷新为最新状态。</w:t>
      </w:r>
    </w:p>
    <w:p w14:paraId="0228FF41">
      <w:pPr>
        <w:pStyle w:val="25"/>
      </w:pPr>
      <w:r>
        <w:rPr>
          <w:sz w:val="24"/>
        </w:rPr>
        <w:t>●  验收项目: 降级处理; 验收标准: WebGL 不可用时 3D 视角退回静态图, AI 外部模型不可用时退回本地模板, WebSocket 断开时退回轮询刷新。</w:t>
      </w:r>
    </w:p>
    <w:p w14:paraId="2D6249C4">
      <w:pPr>
        <w:pStyle w:val="3"/>
      </w:pPr>
      <w:bookmarkStart w:id="45" w:name="_Toc21510"/>
      <w:r>
        <w:rPr>
          <w:sz w:val="24"/>
        </w:rPr>
        <w:t>系统可靠性测试</w:t>
      </w:r>
      <w:bookmarkEnd w:id="45"/>
    </w:p>
    <w:p w14:paraId="53BCF77E">
      <w:pPr>
        <w:pStyle w:val="25"/>
      </w:pPr>
      <w:r>
        <w:rPr>
          <w:sz w:val="24"/>
        </w:rPr>
        <w:t>●  验收项目: 数据一致性; 验收标准: 订单支付、座位售出、电子票生成、检票记录在异常中断后仍能通过补偿任务恢复一致。</w:t>
      </w:r>
    </w:p>
    <w:p w14:paraId="299220F6">
      <w:pPr>
        <w:pStyle w:val="25"/>
      </w:pPr>
      <w:r>
        <w:rPr>
          <w:sz w:val="24"/>
        </w:rPr>
        <w:t>●  验收项目: 备份恢复; 验收标准: MySQL 备份可恢复核心业务数据, Redis 临时锁过期后座位可被释放。</w:t>
      </w:r>
    </w:p>
    <w:p w14:paraId="3D88DFE8">
      <w:pPr>
        <w:pStyle w:val="25"/>
      </w:pPr>
      <w:r>
        <w:rPr>
          <w:sz w:val="24"/>
        </w:rPr>
        <w:t>●  验收项目: 断线恢复; 验收标准: 客户端断线重连后重新拉取全量座位状态, 不因漏收广播造成错误显示。</w:t>
      </w:r>
    </w:p>
    <w:p w14:paraId="1CBDC1E8">
      <w:pPr>
        <w:pStyle w:val="3"/>
      </w:pPr>
      <w:bookmarkStart w:id="46" w:name="_Toc16897"/>
      <w:r>
        <w:rPr>
          <w:sz w:val="24"/>
        </w:rPr>
        <w:t>安全保密功能的测试</w:t>
      </w:r>
      <w:bookmarkEnd w:id="46"/>
    </w:p>
    <w:p w14:paraId="74986D2C">
      <w:pPr>
        <w:pStyle w:val="25"/>
      </w:pPr>
      <w:r>
        <w:rPr>
          <w:sz w:val="24"/>
        </w:rPr>
        <w:t>●  验收项目: 身份认证; 验收标准: 未登录用户不能访问下单、支付、检票、后台管理接口。</w:t>
      </w:r>
    </w:p>
    <w:p w14:paraId="6725EE53">
      <w:pPr>
        <w:pStyle w:val="25"/>
      </w:pPr>
      <w:r>
        <w:rPr>
          <w:sz w:val="24"/>
        </w:rPr>
        <w:t>●  验收项目: 权限隔离; 验收标准: 注册用户、票务管理员、检票员、系统管理员只能访问各自授权功能。</w:t>
      </w:r>
    </w:p>
    <w:p w14:paraId="0F14FAB4">
      <w:pPr>
        <w:pStyle w:val="25"/>
      </w:pPr>
      <w:r>
        <w:rPr>
          <w:sz w:val="24"/>
        </w:rPr>
        <w:t>●  验收项目: 敏感数据保护; 验收标准: 密码 BCrypt 存储, 日志中不出现明文密码、令牌和完整手机号。</w:t>
      </w:r>
    </w:p>
    <w:p w14:paraId="262BB041">
      <w:pPr>
        <w:pStyle w:val="25"/>
      </w:pPr>
      <w:r>
        <w:rPr>
          <w:sz w:val="24"/>
        </w:rPr>
        <w:t>●  验收项目: AI 数据边界; 验收标准: AI 运营助手不得向外部模型发送用户手机号、订单号、票号等敏感字段; 外部模型调用日志记录脱敏后的提示词摘要。</w:t>
      </w:r>
    </w:p>
    <w:p w14:paraId="5AF0673B">
      <w:pPr>
        <w:pStyle w:val="2"/>
        <w:ind w:left="240" w:right="240"/>
      </w:pPr>
      <w:bookmarkStart w:id="47" w:name="_Toc12887"/>
      <w:r>
        <w:rPr>
          <w:rFonts w:hint="eastAsia"/>
        </w:rPr>
        <w:t>产品提交</w:t>
      </w:r>
      <w:bookmarkEnd w:id="47"/>
    </w:p>
    <w:p w14:paraId="0C4357FE">
      <w:r>
        <w:t>本章节列出 ENCORE 票务管理系统的最终交付物清单与提交方式.</w:t>
      </w:r>
    </w:p>
    <w:p w14:paraId="140944F3">
      <w:r>
        <w:t>ENCORE 项目组应在课程设计结束前向甲方与指导教师交付如下产品, 见表 13.</w:t>
      </w:r>
    </w:p>
    <w:p w14:paraId="4D29D764">
      <w:pPr>
        <w:pStyle w:val="35"/>
        <w:jc w:val="center"/>
      </w:pPr>
      <w:r>
        <w:t>表13  ENCORE 交付物清单</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1C12F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65887A1">
            <w:pPr>
              <w:jc w:val="center"/>
            </w:pPr>
            <w:r>
              <w:rPr>
                <w:b/>
              </w:rPr>
              <w:t>编号</w:t>
            </w:r>
          </w:p>
        </w:tc>
        <w:tc>
          <w:tcPr>
            <w:tcW w:w="2076" w:type="dxa"/>
          </w:tcPr>
          <w:p w14:paraId="5CD7FADB">
            <w:pPr>
              <w:jc w:val="center"/>
            </w:pPr>
            <w:r>
              <w:rPr>
                <w:b/>
              </w:rPr>
              <w:t>交付物名称</w:t>
            </w:r>
          </w:p>
        </w:tc>
        <w:tc>
          <w:tcPr>
            <w:tcW w:w="2076" w:type="dxa"/>
          </w:tcPr>
          <w:p w14:paraId="6498BBBD">
            <w:pPr>
              <w:jc w:val="center"/>
            </w:pPr>
            <w:r>
              <w:rPr>
                <w:b/>
              </w:rPr>
              <w:t>形式</w:t>
            </w:r>
          </w:p>
        </w:tc>
        <w:tc>
          <w:tcPr>
            <w:tcW w:w="2076" w:type="dxa"/>
          </w:tcPr>
          <w:p w14:paraId="6C7629DC">
            <w:pPr>
              <w:jc w:val="center"/>
            </w:pPr>
            <w:r>
              <w:rPr>
                <w:b/>
              </w:rPr>
              <w:t>说明</w:t>
            </w:r>
          </w:p>
        </w:tc>
      </w:tr>
      <w:tr w14:paraId="4BF86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9A5FDD1">
            <w:r>
              <w:t>DV-01</w:t>
            </w:r>
          </w:p>
        </w:tc>
        <w:tc>
          <w:tcPr>
            <w:tcW w:w="2076" w:type="dxa"/>
          </w:tcPr>
          <w:p w14:paraId="4DF2B539">
            <w:r>
              <w:t>软件需求规格说明书 (本文档)</w:t>
            </w:r>
          </w:p>
        </w:tc>
        <w:tc>
          <w:tcPr>
            <w:tcW w:w="2076" w:type="dxa"/>
          </w:tcPr>
          <w:p w14:paraId="40431372">
            <w:r>
              <w:t>PDF + DOCX</w:t>
            </w:r>
          </w:p>
        </w:tc>
        <w:tc>
          <w:tcPr>
            <w:tcW w:w="2076" w:type="dxa"/>
          </w:tcPr>
          <w:p w14:paraId="09B085F3">
            <w:r>
              <w:t>ENCORE 票务管理系统 SRS V1.1</w:t>
            </w:r>
          </w:p>
        </w:tc>
      </w:tr>
      <w:tr w14:paraId="28FF1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E980336">
            <w:r>
              <w:t>DV-02</w:t>
            </w:r>
          </w:p>
        </w:tc>
        <w:tc>
          <w:tcPr>
            <w:tcW w:w="2076" w:type="dxa"/>
          </w:tcPr>
          <w:p w14:paraId="29996F92">
            <w:r>
              <w:t>概要设计说明书</w:t>
            </w:r>
          </w:p>
        </w:tc>
        <w:tc>
          <w:tcPr>
            <w:tcW w:w="2076" w:type="dxa"/>
          </w:tcPr>
          <w:p w14:paraId="4591DA96">
            <w:r>
              <w:t>PDF + DOCX</w:t>
            </w:r>
          </w:p>
        </w:tc>
        <w:tc>
          <w:tcPr>
            <w:tcW w:w="2076" w:type="dxa"/>
          </w:tcPr>
          <w:p w14:paraId="61F16D36">
            <w:r>
              <w:t>系统模块划分、类图、接口设计</w:t>
            </w:r>
          </w:p>
        </w:tc>
      </w:tr>
      <w:tr w14:paraId="30AB1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22F834C">
            <w:r>
              <w:t>DV-03</w:t>
            </w:r>
          </w:p>
        </w:tc>
        <w:tc>
          <w:tcPr>
            <w:tcW w:w="2076" w:type="dxa"/>
          </w:tcPr>
          <w:p w14:paraId="7AD12202">
            <w:r>
              <w:t>详细设计说明书</w:t>
            </w:r>
          </w:p>
        </w:tc>
        <w:tc>
          <w:tcPr>
            <w:tcW w:w="2076" w:type="dxa"/>
          </w:tcPr>
          <w:p w14:paraId="528B971B">
            <w:r>
              <w:t>PDF + DOCX</w:t>
            </w:r>
          </w:p>
        </w:tc>
        <w:tc>
          <w:tcPr>
            <w:tcW w:w="2076" w:type="dxa"/>
          </w:tcPr>
          <w:p w14:paraId="1CA6BD48">
            <w:r>
              <w:t>类与方法、SQL、关键算法详述</w:t>
            </w:r>
          </w:p>
        </w:tc>
      </w:tr>
      <w:tr w14:paraId="4DEEB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A96C3AE">
            <w:r>
              <w:t>DV-04</w:t>
            </w:r>
          </w:p>
        </w:tc>
        <w:tc>
          <w:tcPr>
            <w:tcW w:w="2076" w:type="dxa"/>
          </w:tcPr>
          <w:p w14:paraId="0131523B">
            <w:r>
              <w:t>数据库脚本</w:t>
            </w:r>
          </w:p>
        </w:tc>
        <w:tc>
          <w:tcPr>
            <w:tcW w:w="2076" w:type="dxa"/>
          </w:tcPr>
          <w:p w14:paraId="57416BBD">
            <w:r>
              <w:t>SQL 文件</w:t>
            </w:r>
          </w:p>
        </w:tc>
        <w:tc>
          <w:tcPr>
            <w:tcW w:w="2076" w:type="dxa"/>
          </w:tcPr>
          <w:p w14:paraId="45B7C449">
            <w:r>
              <w:t>13 张表 CREATE + 初始化数据</w:t>
            </w:r>
          </w:p>
        </w:tc>
      </w:tr>
      <w:tr w14:paraId="41FDA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EF55470">
            <w:r>
              <w:t>DV-05</w:t>
            </w:r>
          </w:p>
        </w:tc>
        <w:tc>
          <w:tcPr>
            <w:tcW w:w="2076" w:type="dxa"/>
          </w:tcPr>
          <w:p w14:paraId="794A71E0">
            <w:r>
              <w:t>前端源代码</w:t>
            </w:r>
          </w:p>
        </w:tc>
        <w:tc>
          <w:tcPr>
            <w:tcW w:w="2076" w:type="dxa"/>
          </w:tcPr>
          <w:p w14:paraId="0D5F04C1">
            <w:r>
              <w:t>Git 仓库</w:t>
            </w:r>
          </w:p>
        </w:tc>
        <w:tc>
          <w:tcPr>
            <w:tcW w:w="2076" w:type="dxa"/>
          </w:tcPr>
          <w:p w14:paraId="788F0A9E">
            <w:r>
              <w:t>Vue 3 + TypeScript + Element Plus + ECharts + three.js</w:t>
            </w:r>
          </w:p>
        </w:tc>
      </w:tr>
      <w:tr w14:paraId="2EF1F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B381F91">
            <w:r>
              <w:t>DV-06</w:t>
            </w:r>
          </w:p>
        </w:tc>
        <w:tc>
          <w:tcPr>
            <w:tcW w:w="2076" w:type="dxa"/>
          </w:tcPr>
          <w:p w14:paraId="030C8ACE">
            <w:r>
              <w:t>后端源代码</w:t>
            </w:r>
          </w:p>
        </w:tc>
        <w:tc>
          <w:tcPr>
            <w:tcW w:w="2076" w:type="dxa"/>
          </w:tcPr>
          <w:p w14:paraId="56CA969D">
            <w:r>
              <w:t>Git 仓库</w:t>
            </w:r>
          </w:p>
        </w:tc>
        <w:tc>
          <w:tcPr>
            <w:tcW w:w="2076" w:type="dxa"/>
          </w:tcPr>
          <w:p w14:paraId="1A651578">
            <w:r>
              <w:t>Spring Boot 3 + Sa-Token + MyBatis-Plus + Spring WebSocket; controller / service / mapper / entity 分层</w:t>
            </w:r>
          </w:p>
        </w:tc>
      </w:tr>
      <w:tr w14:paraId="5DBEF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6A8B1E5">
            <w:r>
              <w:t>DV-07</w:t>
            </w:r>
          </w:p>
        </w:tc>
        <w:tc>
          <w:tcPr>
            <w:tcW w:w="2076" w:type="dxa"/>
          </w:tcPr>
          <w:p w14:paraId="66728FF7">
            <w:r>
              <w:t>Docker Compose 部署脚本</w:t>
            </w:r>
          </w:p>
        </w:tc>
        <w:tc>
          <w:tcPr>
            <w:tcW w:w="2076" w:type="dxa"/>
          </w:tcPr>
          <w:p w14:paraId="3CFEEE52">
            <w:r>
              <w:t>YAML 文件</w:t>
            </w:r>
          </w:p>
        </w:tc>
        <w:tc>
          <w:tcPr>
            <w:tcW w:w="2076" w:type="dxa"/>
          </w:tcPr>
          <w:p w14:paraId="295F1B70">
            <w:r>
              <w:t>包含 Nginx + JDK + MySQL + Redis 一键启动</w:t>
            </w:r>
          </w:p>
        </w:tc>
      </w:tr>
      <w:tr w14:paraId="4C8E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00B518E">
            <w:r>
              <w:t>DV-08</w:t>
            </w:r>
          </w:p>
        </w:tc>
        <w:tc>
          <w:tcPr>
            <w:tcW w:w="2076" w:type="dxa"/>
          </w:tcPr>
          <w:p w14:paraId="333FC567">
            <w:r>
              <w:t>UML 图源码与导出图</w:t>
            </w:r>
          </w:p>
        </w:tc>
        <w:tc>
          <w:tcPr>
            <w:tcW w:w="2076" w:type="dxa"/>
          </w:tcPr>
          <w:p w14:paraId="53B28396">
            <w:r>
              <w:t>PUML + PNG</w:t>
            </w:r>
          </w:p>
        </w:tc>
        <w:tc>
          <w:tcPr>
            <w:tcW w:w="2076" w:type="dxa"/>
          </w:tcPr>
          <w:p w14:paraId="3587654C">
            <w:r>
              <w:t>31 张架构 / 用例 / 活动 / 顺序 / 类 / 状态 / ER / WebSocket / 3D / 看板 / 分层架构图</w:t>
            </w:r>
          </w:p>
        </w:tc>
      </w:tr>
      <w:tr w14:paraId="63870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6BD837D">
            <w:r>
              <w:t>DV-09</w:t>
            </w:r>
          </w:p>
        </w:tc>
        <w:tc>
          <w:tcPr>
            <w:tcW w:w="2076" w:type="dxa"/>
          </w:tcPr>
          <w:p w14:paraId="0591BAF2">
            <w:r>
              <w:t>用户手册</w:t>
            </w:r>
          </w:p>
        </w:tc>
        <w:tc>
          <w:tcPr>
            <w:tcW w:w="2076" w:type="dxa"/>
          </w:tcPr>
          <w:p w14:paraId="2A3304DB">
            <w:r>
              <w:t>PDF</w:t>
            </w:r>
          </w:p>
        </w:tc>
        <w:tc>
          <w:tcPr>
            <w:tcW w:w="2076" w:type="dxa"/>
          </w:tcPr>
          <w:p w14:paraId="764EC0FC">
            <w:r>
              <w:t>面向最终用户、票务管理员、检票员、系统管理员</w:t>
            </w:r>
          </w:p>
        </w:tc>
      </w:tr>
      <w:tr w14:paraId="2B06F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9132FE4">
            <w:r>
              <w:t>DV-10</w:t>
            </w:r>
          </w:p>
        </w:tc>
        <w:tc>
          <w:tcPr>
            <w:tcW w:w="2076" w:type="dxa"/>
          </w:tcPr>
          <w:p w14:paraId="4D1CE78E">
            <w:r>
              <w:t>测试用例与测试报告</w:t>
            </w:r>
          </w:p>
        </w:tc>
        <w:tc>
          <w:tcPr>
            <w:tcW w:w="2076" w:type="dxa"/>
          </w:tcPr>
          <w:p w14:paraId="19D191EC">
            <w:r>
              <w:t>Excel + PDF</w:t>
            </w:r>
          </w:p>
        </w:tc>
        <w:tc>
          <w:tcPr>
            <w:tcW w:w="2076" w:type="dxa"/>
          </w:tcPr>
          <w:p w14:paraId="3F396844">
            <w:r>
              <w:t>覆盖全部 "必须" 验收条目</w:t>
            </w:r>
          </w:p>
        </w:tc>
      </w:tr>
      <w:tr w14:paraId="06C8D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55BC4AF">
            <w:r>
              <w:t>DV-11</w:t>
            </w:r>
          </w:p>
        </w:tc>
        <w:tc>
          <w:tcPr>
            <w:tcW w:w="2076" w:type="dxa"/>
          </w:tcPr>
          <w:p w14:paraId="2657F615">
            <w:r>
              <w:t>Knife4j 接口文档静态导出</w:t>
            </w:r>
          </w:p>
        </w:tc>
        <w:tc>
          <w:tcPr>
            <w:tcW w:w="2076" w:type="dxa"/>
          </w:tcPr>
          <w:p w14:paraId="755DB586">
            <w:r>
              <w:t>HTML / PDF</w:t>
            </w:r>
          </w:p>
        </w:tc>
        <w:tc>
          <w:tcPr>
            <w:tcW w:w="2076" w:type="dxa"/>
          </w:tcPr>
          <w:p w14:paraId="150B0088">
            <w:r>
              <w:t>通过 Knife4j /doc.html 离线导出 REST + WebSocket 接口规范; 含请求 / 响应 / 错误码示例</w:t>
            </w:r>
          </w:p>
        </w:tc>
      </w:tr>
      <w:tr w14:paraId="20FBB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6E1196B">
            <w:r>
              <w:t>DV-12</w:t>
            </w:r>
          </w:p>
        </w:tc>
        <w:tc>
          <w:tcPr>
            <w:tcW w:w="2076" w:type="dxa"/>
          </w:tcPr>
          <w:p w14:paraId="3A02531B">
            <w:r>
              <w:t>JMeter 全链路压测报告</w:t>
            </w:r>
          </w:p>
        </w:tc>
        <w:tc>
          <w:tcPr>
            <w:tcW w:w="2076" w:type="dxa"/>
          </w:tcPr>
          <w:p w14:paraId="78C0BE1E">
            <w:r>
              <w:t>JMX + HTML + PDF</w:t>
            </w:r>
          </w:p>
        </w:tc>
        <w:tc>
          <w:tcPr>
            <w:tcW w:w="2076" w:type="dxa"/>
          </w:tcPr>
          <w:p w14:paraId="127DFECD">
            <w:r>
              <w:t>JMeter 5.6 脚本与执行结果; 覆盖 8 个核心 REST 接口 + WebSocket 长连接; 含 P95 / 错误率 / TPS 曲线</w:t>
            </w:r>
          </w:p>
        </w:tc>
      </w:tr>
      <w:tr w14:paraId="34935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0836B74">
            <w:r>
              <w:t>DV-13</w:t>
            </w:r>
          </w:p>
        </w:tc>
        <w:tc>
          <w:tcPr>
            <w:tcW w:w="2076" w:type="dxa"/>
          </w:tcPr>
          <w:p w14:paraId="59CE34F5">
            <w:r>
              <w:t>Skywalking 链路追踪截图集</w:t>
            </w:r>
          </w:p>
        </w:tc>
        <w:tc>
          <w:tcPr>
            <w:tcW w:w="2076" w:type="dxa"/>
          </w:tcPr>
          <w:p w14:paraId="51AE529C">
            <w:r>
              <w:t>ZIP (PNG + JSON)</w:t>
            </w:r>
          </w:p>
        </w:tc>
        <w:tc>
          <w:tcPr>
            <w:tcW w:w="2076" w:type="dxa"/>
          </w:tcPr>
          <w:p w14:paraId="42CD6397">
            <w:r>
              <w:t>Skywalking 9.x 抓取的端到端 Trace 与火焰图截图; 含选座、下单、支付、检票、看板、推荐 6 类典型场景</w:t>
            </w:r>
          </w:p>
        </w:tc>
      </w:tr>
    </w:tbl>
    <w:p w14:paraId="593C13CC">
      <w:r>
        <w:t>交付方式: 全部交付物以电子件形式提交至课程指导教师指定的代码仓库与文档库。文档类交付物提交 PDF + 源 DOCX 两种格式; 源代码提交 Git 仓库链接并附最终发布版本标签 (tag) v1.1.0。DV-11 ~ DV-13 为接口文档、全链路压测与链路追踪等工程化交付物, 用于评审现场的可演示性与可验证性。</w:t>
      </w:r>
    </w:p>
    <w:p w14:paraId="7BDFA673">
      <w:pPr>
        <w:pStyle w:val="2"/>
        <w:ind w:left="240" w:right="240"/>
      </w:pPr>
      <w:bookmarkStart w:id="48" w:name="_Toc3700"/>
      <w:r>
        <w:rPr>
          <w:rFonts w:hint="eastAsia"/>
        </w:rPr>
        <w:t>签字</w:t>
      </w:r>
      <w:bookmarkEnd w:id="48"/>
    </w:p>
    <w:p w14:paraId="1D894C27">
      <w:r>
        <w:t>本文档自签字之日起生效, 是 ENCORE 票务管理系统软件需求规格说明书的正式版本. 签字代表甲方 (剧院运营方) 与乙方 (ENCORE 项目组) 对本文档定义的功能需求、非功能需求、验收标准、交付物清单达成一致. 后续如需变更, 须按既定变更流程, 由双方代表共同评审并修订版本号.</w:t>
      </w:r>
    </w:p>
    <w:tbl>
      <w:tblPr>
        <w:tblStyle w:val="15"/>
        <w:tblW w:w="8330" w:type="dxa"/>
        <w:tblInd w:w="0" w:type="dxa"/>
        <w:tblLayout w:type="fixed"/>
        <w:tblCellMar>
          <w:top w:w="0" w:type="dxa"/>
          <w:left w:w="108" w:type="dxa"/>
          <w:bottom w:w="0" w:type="dxa"/>
          <w:right w:w="108" w:type="dxa"/>
        </w:tblCellMar>
      </w:tblPr>
      <w:tblGrid>
        <w:gridCol w:w="1428"/>
        <w:gridCol w:w="2366"/>
        <w:gridCol w:w="425"/>
        <w:gridCol w:w="1418"/>
        <w:gridCol w:w="2693"/>
      </w:tblGrid>
      <w:tr w14:paraId="57915103">
        <w:tblPrEx>
          <w:tblCellMar>
            <w:top w:w="0" w:type="dxa"/>
            <w:left w:w="108" w:type="dxa"/>
            <w:bottom w:w="0" w:type="dxa"/>
            <w:right w:w="108" w:type="dxa"/>
          </w:tblCellMar>
        </w:tblPrEx>
        <w:trPr>
          <w:cantSplit/>
          <w:trHeight w:val="506" w:hRule="atLeast"/>
        </w:trPr>
        <w:tc>
          <w:tcPr>
            <w:tcW w:w="3794" w:type="dxa"/>
            <w:gridSpan w:val="2"/>
            <w:noWrap w:val="0"/>
            <w:vAlign w:val="top"/>
          </w:tcPr>
          <w:p w14:paraId="033AA0E2">
            <w:pPr>
              <w:ind w:firstLine="0" w:firstLineChars="0"/>
              <w:rPr>
                <w:rFonts w:ascii="宋体" w:hAnsi="宋体"/>
                <w:caps/>
                <w:szCs w:val="24"/>
              </w:rPr>
            </w:pPr>
            <w:r>
              <w:rPr>
                <w:rFonts w:hint="eastAsia" w:ascii="宋体" w:hAnsi="宋体"/>
                <w:caps/>
                <w:szCs w:val="24"/>
              </w:rPr>
              <w:t>甲方（签章）</w:t>
            </w:r>
          </w:p>
        </w:tc>
        <w:tc>
          <w:tcPr>
            <w:tcW w:w="425" w:type="dxa"/>
            <w:noWrap w:val="0"/>
            <w:vAlign w:val="top"/>
          </w:tcPr>
          <w:p w14:paraId="7040CFDD">
            <w:pPr>
              <w:ind w:firstLine="0" w:firstLineChars="0"/>
              <w:rPr>
                <w:rFonts w:ascii="宋体" w:hAnsi="宋体"/>
                <w:caps/>
                <w:szCs w:val="24"/>
              </w:rPr>
            </w:pPr>
          </w:p>
        </w:tc>
        <w:tc>
          <w:tcPr>
            <w:tcW w:w="4111" w:type="dxa"/>
            <w:gridSpan w:val="2"/>
            <w:noWrap w:val="0"/>
            <w:vAlign w:val="top"/>
          </w:tcPr>
          <w:p w14:paraId="5163BD35">
            <w:pPr>
              <w:ind w:firstLine="0" w:firstLineChars="0"/>
              <w:rPr>
                <w:rFonts w:ascii="宋体" w:hAnsi="宋体"/>
                <w:caps/>
                <w:szCs w:val="24"/>
              </w:rPr>
            </w:pPr>
            <w:r>
              <w:rPr>
                <w:rFonts w:hint="eastAsia" w:ascii="宋体" w:hAnsi="宋体"/>
                <w:caps/>
                <w:szCs w:val="24"/>
              </w:rPr>
              <w:t>乙方（签章）</w:t>
            </w:r>
          </w:p>
        </w:tc>
      </w:tr>
      <w:tr w14:paraId="0E88A35B">
        <w:tblPrEx>
          <w:tblCellMar>
            <w:top w:w="0" w:type="dxa"/>
            <w:left w:w="108" w:type="dxa"/>
            <w:bottom w:w="0" w:type="dxa"/>
            <w:right w:w="108" w:type="dxa"/>
          </w:tblCellMar>
        </w:tblPrEx>
        <w:trPr>
          <w:cantSplit/>
          <w:trHeight w:val="506" w:hRule="atLeast"/>
        </w:trPr>
        <w:tc>
          <w:tcPr>
            <w:tcW w:w="1428" w:type="dxa"/>
            <w:noWrap w:val="0"/>
            <w:vAlign w:val="top"/>
          </w:tcPr>
          <w:p w14:paraId="66A9470B">
            <w:pPr>
              <w:ind w:firstLine="0" w:firstLineChars="0"/>
              <w:rPr>
                <w:rFonts w:ascii="宋体" w:hAnsi="宋体"/>
                <w:szCs w:val="24"/>
              </w:rPr>
            </w:pPr>
            <w:r>
              <w:rPr>
                <w:rFonts w:hint="eastAsia" w:ascii="宋体" w:hAnsi="宋体"/>
                <w:szCs w:val="24"/>
              </w:rPr>
              <w:t>单位名称：</w:t>
            </w:r>
          </w:p>
        </w:tc>
        <w:tc>
          <w:tcPr>
            <w:tcW w:w="2366" w:type="dxa"/>
            <w:tcBorders>
              <w:bottom w:val="single" w:color="auto" w:sz="4" w:space="0"/>
            </w:tcBorders>
            <w:noWrap w:val="0"/>
            <w:vAlign w:val="top"/>
          </w:tcPr>
          <w:p w14:paraId="4E605FE7">
            <w:r>
              <w:t>剧院运营方</w:t>
            </w:r>
          </w:p>
        </w:tc>
        <w:tc>
          <w:tcPr>
            <w:tcW w:w="425" w:type="dxa"/>
            <w:noWrap w:val="0"/>
            <w:vAlign w:val="top"/>
          </w:tcPr>
          <w:p w14:paraId="2CDCA980">
            <w:pPr>
              <w:ind w:firstLine="0" w:firstLineChars="0"/>
              <w:rPr>
                <w:rFonts w:ascii="宋体" w:hAnsi="宋体"/>
                <w:szCs w:val="24"/>
              </w:rPr>
            </w:pPr>
          </w:p>
        </w:tc>
        <w:tc>
          <w:tcPr>
            <w:tcW w:w="1418" w:type="dxa"/>
            <w:noWrap w:val="0"/>
            <w:vAlign w:val="top"/>
          </w:tcPr>
          <w:p w14:paraId="1F3FCCB2">
            <w:pPr>
              <w:ind w:firstLine="0" w:firstLineChars="0"/>
              <w:rPr>
                <w:rFonts w:ascii="宋体" w:hAnsi="宋体"/>
                <w:szCs w:val="24"/>
              </w:rPr>
            </w:pPr>
            <w:r>
              <w:rPr>
                <w:rFonts w:hint="eastAsia" w:ascii="宋体" w:hAnsi="宋体"/>
                <w:szCs w:val="24"/>
              </w:rPr>
              <w:t>单位名称：</w:t>
            </w:r>
          </w:p>
        </w:tc>
        <w:tc>
          <w:tcPr>
            <w:tcW w:w="2693" w:type="dxa"/>
            <w:tcBorders>
              <w:bottom w:val="single" w:color="auto" w:sz="4" w:space="0"/>
            </w:tcBorders>
            <w:noWrap w:val="0"/>
            <w:vAlign w:val="top"/>
          </w:tcPr>
          <w:p w14:paraId="2620BA62">
            <w:r>
              <w:t>ENCORE 项目组</w:t>
            </w:r>
          </w:p>
        </w:tc>
      </w:tr>
      <w:tr w14:paraId="4C63D28E">
        <w:tblPrEx>
          <w:tblCellMar>
            <w:top w:w="0" w:type="dxa"/>
            <w:left w:w="108" w:type="dxa"/>
            <w:bottom w:w="0" w:type="dxa"/>
            <w:right w:w="108" w:type="dxa"/>
          </w:tblCellMar>
        </w:tblPrEx>
        <w:trPr>
          <w:cantSplit/>
          <w:trHeight w:val="506" w:hRule="atLeast"/>
        </w:trPr>
        <w:tc>
          <w:tcPr>
            <w:tcW w:w="1428" w:type="dxa"/>
            <w:noWrap w:val="0"/>
            <w:vAlign w:val="top"/>
          </w:tcPr>
          <w:p w14:paraId="49840F62">
            <w:pPr>
              <w:ind w:firstLine="0" w:firstLineChars="0"/>
              <w:rPr>
                <w:rFonts w:ascii="宋体" w:hAnsi="宋体"/>
                <w:szCs w:val="24"/>
              </w:rPr>
            </w:pPr>
            <w:r>
              <w:rPr>
                <w:rFonts w:hint="eastAsia" w:ascii="宋体" w:hAnsi="宋体"/>
                <w:szCs w:val="24"/>
              </w:rPr>
              <w:t>负 责 人：</w:t>
            </w:r>
          </w:p>
        </w:tc>
        <w:tc>
          <w:tcPr>
            <w:tcW w:w="2366" w:type="dxa"/>
            <w:tcBorders>
              <w:bottom w:val="single" w:color="auto" w:sz="4" w:space="0"/>
            </w:tcBorders>
            <w:noWrap w:val="0"/>
            <w:vAlign w:val="top"/>
          </w:tcPr>
          <w:p w14:paraId="2A85DAC6">
            <w:pPr>
              <w:ind w:firstLine="0" w:firstLineChars="0"/>
              <w:rPr>
                <w:rFonts w:ascii="宋体" w:hAnsi="宋体"/>
                <w:szCs w:val="24"/>
              </w:rPr>
            </w:pPr>
          </w:p>
        </w:tc>
        <w:tc>
          <w:tcPr>
            <w:tcW w:w="425" w:type="dxa"/>
            <w:noWrap w:val="0"/>
            <w:vAlign w:val="top"/>
          </w:tcPr>
          <w:p w14:paraId="0A300858">
            <w:pPr>
              <w:ind w:firstLine="0" w:firstLineChars="0"/>
              <w:rPr>
                <w:rFonts w:ascii="宋体" w:hAnsi="宋体"/>
                <w:szCs w:val="24"/>
              </w:rPr>
            </w:pPr>
          </w:p>
        </w:tc>
        <w:tc>
          <w:tcPr>
            <w:tcW w:w="1418" w:type="dxa"/>
            <w:noWrap w:val="0"/>
            <w:vAlign w:val="top"/>
          </w:tcPr>
          <w:p w14:paraId="616B6B6C">
            <w:pPr>
              <w:ind w:firstLine="0" w:firstLineChars="0"/>
              <w:rPr>
                <w:rFonts w:ascii="宋体" w:hAnsi="宋体"/>
                <w:szCs w:val="24"/>
              </w:rPr>
            </w:pPr>
            <w:r>
              <w:rPr>
                <w:rFonts w:hint="eastAsia" w:ascii="宋体" w:hAnsi="宋体"/>
                <w:szCs w:val="24"/>
              </w:rPr>
              <w:t>负 责 人：</w:t>
            </w:r>
          </w:p>
        </w:tc>
        <w:tc>
          <w:tcPr>
            <w:tcW w:w="2693" w:type="dxa"/>
            <w:tcBorders>
              <w:top w:val="single" w:color="auto" w:sz="4" w:space="0"/>
              <w:bottom w:val="single" w:color="auto" w:sz="4" w:space="0"/>
            </w:tcBorders>
            <w:noWrap w:val="0"/>
            <w:vAlign w:val="top"/>
          </w:tcPr>
          <w:p w14:paraId="0B0C906D">
            <w:pPr>
              <w:ind w:firstLine="0" w:firstLineChars="0"/>
              <w:rPr>
                <w:rFonts w:ascii="宋体" w:hAnsi="宋体"/>
                <w:szCs w:val="24"/>
              </w:rPr>
            </w:pPr>
          </w:p>
        </w:tc>
      </w:tr>
      <w:tr w14:paraId="4516DEEB">
        <w:tblPrEx>
          <w:tblCellMar>
            <w:top w:w="0" w:type="dxa"/>
            <w:left w:w="108" w:type="dxa"/>
            <w:bottom w:w="0" w:type="dxa"/>
            <w:right w:w="108" w:type="dxa"/>
          </w:tblCellMar>
        </w:tblPrEx>
        <w:trPr>
          <w:cantSplit/>
          <w:trHeight w:val="506" w:hRule="atLeast"/>
        </w:trPr>
        <w:tc>
          <w:tcPr>
            <w:tcW w:w="1428" w:type="dxa"/>
            <w:noWrap w:val="0"/>
            <w:vAlign w:val="top"/>
          </w:tcPr>
          <w:p w14:paraId="13C48A8F">
            <w:pPr>
              <w:ind w:firstLine="0" w:firstLineChars="0"/>
              <w:rPr>
                <w:rFonts w:ascii="宋体" w:hAnsi="宋体"/>
                <w:szCs w:val="24"/>
              </w:rPr>
            </w:pPr>
            <w:r>
              <w:rPr>
                <w:rFonts w:hint="eastAsia" w:ascii="宋体" w:hAnsi="宋体"/>
                <w:szCs w:val="24"/>
              </w:rPr>
              <w:t>签署日期：</w:t>
            </w:r>
          </w:p>
        </w:tc>
        <w:tc>
          <w:tcPr>
            <w:tcW w:w="2366" w:type="dxa"/>
            <w:tcBorders>
              <w:top w:val="single" w:color="auto" w:sz="4" w:space="0"/>
              <w:bottom w:val="single" w:color="auto" w:sz="4" w:space="0"/>
            </w:tcBorders>
            <w:noWrap w:val="0"/>
            <w:vAlign w:val="top"/>
          </w:tcPr>
          <w:p w14:paraId="4DBFCBB0">
            <w:pPr>
              <w:ind w:firstLine="0" w:firstLineChars="0"/>
              <w:rPr>
                <w:rFonts w:ascii="宋体" w:hAnsi="宋体"/>
                <w:szCs w:val="24"/>
              </w:rPr>
            </w:pPr>
          </w:p>
        </w:tc>
        <w:tc>
          <w:tcPr>
            <w:tcW w:w="425" w:type="dxa"/>
            <w:noWrap w:val="0"/>
            <w:vAlign w:val="top"/>
          </w:tcPr>
          <w:p w14:paraId="09D9C856">
            <w:pPr>
              <w:ind w:firstLine="0" w:firstLineChars="0"/>
              <w:rPr>
                <w:rFonts w:ascii="宋体" w:hAnsi="宋体"/>
                <w:szCs w:val="24"/>
              </w:rPr>
            </w:pPr>
          </w:p>
        </w:tc>
        <w:tc>
          <w:tcPr>
            <w:tcW w:w="1418" w:type="dxa"/>
            <w:noWrap w:val="0"/>
            <w:vAlign w:val="top"/>
          </w:tcPr>
          <w:p w14:paraId="67C2F8B5">
            <w:pPr>
              <w:ind w:firstLine="0" w:firstLineChars="0"/>
              <w:rPr>
                <w:rFonts w:ascii="宋体" w:hAnsi="宋体"/>
                <w:szCs w:val="24"/>
              </w:rPr>
            </w:pPr>
            <w:r>
              <w:rPr>
                <w:rFonts w:hint="eastAsia" w:ascii="宋体" w:hAnsi="宋体"/>
                <w:szCs w:val="24"/>
              </w:rPr>
              <w:t>签署日期：</w:t>
            </w:r>
          </w:p>
        </w:tc>
        <w:tc>
          <w:tcPr>
            <w:tcW w:w="2693" w:type="dxa"/>
            <w:tcBorders>
              <w:top w:val="single" w:color="auto" w:sz="4" w:space="0"/>
              <w:bottom w:val="single" w:color="auto" w:sz="4" w:space="0"/>
            </w:tcBorders>
            <w:noWrap w:val="0"/>
            <w:vAlign w:val="top"/>
          </w:tcPr>
          <w:p w14:paraId="682A77D6">
            <w:pPr>
              <w:ind w:firstLine="0" w:firstLineChars="0"/>
              <w:rPr>
                <w:rFonts w:ascii="宋体" w:hAnsi="宋体"/>
                <w:szCs w:val="24"/>
              </w:rPr>
            </w:pPr>
          </w:p>
        </w:tc>
      </w:tr>
    </w:tbl>
    <w:p w14:paraId="534D8043"/>
    <w:sectPr>
      <w:pgSz w:w="11906" w:h="16838"/>
      <w:pgMar w:top="1440" w:right="1800" w:bottom="1440" w:left="180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Arial Black">
    <w:panose1 w:val="020B0A04020102020204"/>
    <w:charset w:val="00"/>
    <w:family w:val="swiss"/>
    <w:pitch w:val="default"/>
    <w:sig w:usb0="A00002AF" w:usb1="400078FB" w:usb2="00000000" w:usb3="00000000" w:csb0="6000009F" w:csb1="DFD7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37841">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1C91A">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BC62A">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29283">
    <w:pPr>
      <w:pStyle w:val="10"/>
      <w:ind w:firstLine="3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AEE8">
    <w:pPr>
      <w:pStyle w:val="10"/>
      <w:ind w:firstLine="420"/>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14</w:t>
    </w:r>
    <w:r>
      <w:rPr>
        <w:rFonts w:ascii="Times New Roman" w:hAnsi="Times New Roman"/>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B5BB3">
    <w:pPr>
      <w:pStyle w:val="11"/>
      <w:ind w:firstLine="0" w:firstLineChars="0"/>
    </w:pPr>
    <w:r>
      <w:rPr>
        <w:rFonts w:hint="eastAsia"/>
        <w:sz w:val="21"/>
        <w:szCs w:val="21"/>
      </w:rPr>
      <w:t>ENCORE 票务管理系统软件需求规格说明                                              版本：V1.0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B40BD">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992A6">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79FB">
    <w:pPr>
      <w:pStyle w:val="11"/>
      <w:ind w:firstLine="0" w:firstLineChars="0"/>
    </w:pPr>
    <w:r>
      <w:rPr>
        <w:rFonts w:hint="eastAsia"/>
        <w:sz w:val="21"/>
        <w:szCs w:val="21"/>
      </w:rPr>
      <w:t>ENCORE 票务管理系统软件需求规格说明                                              版本：V1.0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67318">
    <w:pPr>
      <w:pStyle w:val="11"/>
      <w:ind w:firstLine="0" w:firstLineChars="0"/>
    </w:pPr>
    <w:r>
      <w:rPr>
        <w:rFonts w:hint="eastAsia"/>
        <w:sz w:val="21"/>
        <w:szCs w:val="21"/>
      </w:rPr>
      <w:t>ENCORE 票务管理系统软件需求规格说明                                              版本：V1.0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B0036"/>
    <w:multiLevelType w:val="multilevel"/>
    <w:tmpl w:val="02FB0036"/>
    <w:lvl w:ilvl="0" w:tentative="0">
      <w:start w:val="1"/>
      <w:numFmt w:val="decimal"/>
      <w:pStyle w:val="40"/>
      <w:lvlText w:val="图 %1"/>
      <w:lvlJc w:val="center"/>
      <w:pPr>
        <w:tabs>
          <w:tab w:val="left" w:pos="1651"/>
        </w:tabs>
        <w:ind w:left="1003" w:firstLine="288"/>
      </w:pPr>
      <w:rPr>
        <w:rFonts w:hint="eastAsia" w:ascii="黑体" w:eastAsia="黑体"/>
        <w:b w:val="0"/>
        <w:i w:val="0"/>
        <w:color w:val="00000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63F2E16"/>
    <w:multiLevelType w:val="multilevel"/>
    <w:tmpl w:val="163F2E16"/>
    <w:lvl w:ilvl="0" w:tentative="0">
      <w:start w:val="1"/>
      <w:numFmt w:val="decimal"/>
      <w:pStyle w:val="2"/>
      <w:lvlText w:val="%1."/>
      <w:lvlJc w:val="left"/>
      <w:pPr>
        <w:ind w:left="2405" w:hanging="420"/>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 w:ilvl="1" w:tentative="0">
      <w:start w:val="1"/>
      <w:numFmt w:val="decimal"/>
      <w:pStyle w:val="3"/>
      <w:suff w:val="space"/>
      <w:lvlText w:val="%1.%2"/>
      <w:lvlJc w:val="left"/>
      <w:pPr>
        <w:ind w:left="567" w:hanging="567"/>
      </w:pPr>
      <w:rPr>
        <w:rFonts w:hint="eastAsia"/>
      </w:rPr>
    </w:lvl>
    <w:lvl w:ilvl="2" w:tentative="0">
      <w:start w:val="1"/>
      <w:numFmt w:val="decimal"/>
      <w:pStyle w:val="4"/>
      <w:suff w:val="space"/>
      <w:lvlText w:val="%1.%2.%3"/>
      <w:lvlJc w:val="left"/>
      <w:pPr>
        <w:ind w:left="1135" w:hanging="709"/>
      </w:pPr>
      <w:rPr>
        <w:rFonts w:hint="eastAsia"/>
      </w:rPr>
    </w:lvl>
    <w:lvl w:ilvl="3" w:tentative="0">
      <w:start w:val="1"/>
      <w:numFmt w:val="decimal"/>
      <w:pStyle w:val="5"/>
      <w:suff w:val="space"/>
      <w:lvlText w:val="%1.%2.%3.%4"/>
      <w:lvlJc w:val="left"/>
      <w:pPr>
        <w:ind w:left="1561" w:hanging="851"/>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36E4D"/>
    <w:rsid w:val="00000062"/>
    <w:rsid w:val="00010F08"/>
    <w:rsid w:val="00024A78"/>
    <w:rsid w:val="00026AB3"/>
    <w:rsid w:val="00035CAF"/>
    <w:rsid w:val="000423CE"/>
    <w:rsid w:val="00045786"/>
    <w:rsid w:val="00061AE5"/>
    <w:rsid w:val="00067245"/>
    <w:rsid w:val="000809DB"/>
    <w:rsid w:val="00085174"/>
    <w:rsid w:val="000A04FA"/>
    <w:rsid w:val="000A3CC0"/>
    <w:rsid w:val="000B7ADC"/>
    <w:rsid w:val="000C2E01"/>
    <w:rsid w:val="000C5013"/>
    <w:rsid w:val="000C56BB"/>
    <w:rsid w:val="000C5747"/>
    <w:rsid w:val="000D07E8"/>
    <w:rsid w:val="000E1705"/>
    <w:rsid w:val="000F1802"/>
    <w:rsid w:val="000F7709"/>
    <w:rsid w:val="0010110D"/>
    <w:rsid w:val="00104A8F"/>
    <w:rsid w:val="00104D94"/>
    <w:rsid w:val="00113062"/>
    <w:rsid w:val="00115E0D"/>
    <w:rsid w:val="00135941"/>
    <w:rsid w:val="00140A3C"/>
    <w:rsid w:val="00141E0A"/>
    <w:rsid w:val="00145B91"/>
    <w:rsid w:val="00154864"/>
    <w:rsid w:val="00156F1E"/>
    <w:rsid w:val="00157E0B"/>
    <w:rsid w:val="00162572"/>
    <w:rsid w:val="00173780"/>
    <w:rsid w:val="001A45A1"/>
    <w:rsid w:val="001A4965"/>
    <w:rsid w:val="001B0FE9"/>
    <w:rsid w:val="001B654A"/>
    <w:rsid w:val="001C74D8"/>
    <w:rsid w:val="001D34CB"/>
    <w:rsid w:val="001D7409"/>
    <w:rsid w:val="001E4FE8"/>
    <w:rsid w:val="001F4C53"/>
    <w:rsid w:val="001F6088"/>
    <w:rsid w:val="002035AD"/>
    <w:rsid w:val="0021656F"/>
    <w:rsid w:val="00226B16"/>
    <w:rsid w:val="00232CD6"/>
    <w:rsid w:val="00235E15"/>
    <w:rsid w:val="00246598"/>
    <w:rsid w:val="00251D0D"/>
    <w:rsid w:val="0026424D"/>
    <w:rsid w:val="00264730"/>
    <w:rsid w:val="00277C19"/>
    <w:rsid w:val="00277D10"/>
    <w:rsid w:val="002819C2"/>
    <w:rsid w:val="00292B98"/>
    <w:rsid w:val="00297E7A"/>
    <w:rsid w:val="00297EE7"/>
    <w:rsid w:val="002A619F"/>
    <w:rsid w:val="002C6CE4"/>
    <w:rsid w:val="002C73F1"/>
    <w:rsid w:val="002D1761"/>
    <w:rsid w:val="002D24FC"/>
    <w:rsid w:val="002E09F5"/>
    <w:rsid w:val="002F3096"/>
    <w:rsid w:val="002F693F"/>
    <w:rsid w:val="00303A28"/>
    <w:rsid w:val="00304B49"/>
    <w:rsid w:val="003106AF"/>
    <w:rsid w:val="003146D5"/>
    <w:rsid w:val="003154B8"/>
    <w:rsid w:val="00315AD3"/>
    <w:rsid w:val="00327261"/>
    <w:rsid w:val="003324DD"/>
    <w:rsid w:val="00332DBB"/>
    <w:rsid w:val="00336C6A"/>
    <w:rsid w:val="00374E31"/>
    <w:rsid w:val="003938AE"/>
    <w:rsid w:val="00397118"/>
    <w:rsid w:val="003973A8"/>
    <w:rsid w:val="003A1E15"/>
    <w:rsid w:val="003A5A0F"/>
    <w:rsid w:val="003A5DA0"/>
    <w:rsid w:val="003C0BD5"/>
    <w:rsid w:val="00402435"/>
    <w:rsid w:val="00402BC4"/>
    <w:rsid w:val="0040635A"/>
    <w:rsid w:val="004111F4"/>
    <w:rsid w:val="00430A39"/>
    <w:rsid w:val="0043295B"/>
    <w:rsid w:val="00435883"/>
    <w:rsid w:val="004407E8"/>
    <w:rsid w:val="00441F03"/>
    <w:rsid w:val="004455BD"/>
    <w:rsid w:val="00462F56"/>
    <w:rsid w:val="00466D1C"/>
    <w:rsid w:val="00474986"/>
    <w:rsid w:val="00476373"/>
    <w:rsid w:val="00476526"/>
    <w:rsid w:val="004923B4"/>
    <w:rsid w:val="0049437C"/>
    <w:rsid w:val="004B0894"/>
    <w:rsid w:val="004B4C7B"/>
    <w:rsid w:val="004C4730"/>
    <w:rsid w:val="004C4FDA"/>
    <w:rsid w:val="004C68C6"/>
    <w:rsid w:val="004D3C6B"/>
    <w:rsid w:val="004D3DCB"/>
    <w:rsid w:val="004D7C00"/>
    <w:rsid w:val="004E156C"/>
    <w:rsid w:val="004F00ED"/>
    <w:rsid w:val="004F3BCB"/>
    <w:rsid w:val="00500F80"/>
    <w:rsid w:val="0050213B"/>
    <w:rsid w:val="00506DDA"/>
    <w:rsid w:val="0051150C"/>
    <w:rsid w:val="005239B4"/>
    <w:rsid w:val="00533E98"/>
    <w:rsid w:val="00537004"/>
    <w:rsid w:val="00545906"/>
    <w:rsid w:val="00545D68"/>
    <w:rsid w:val="0054612B"/>
    <w:rsid w:val="0055159D"/>
    <w:rsid w:val="005678E2"/>
    <w:rsid w:val="005811AB"/>
    <w:rsid w:val="00583410"/>
    <w:rsid w:val="00584370"/>
    <w:rsid w:val="005922F1"/>
    <w:rsid w:val="00592C77"/>
    <w:rsid w:val="005A4F58"/>
    <w:rsid w:val="005A6DAF"/>
    <w:rsid w:val="005B003A"/>
    <w:rsid w:val="005B42C4"/>
    <w:rsid w:val="005D4561"/>
    <w:rsid w:val="005E09ED"/>
    <w:rsid w:val="005E21F9"/>
    <w:rsid w:val="005F37BD"/>
    <w:rsid w:val="005F45D1"/>
    <w:rsid w:val="005F67F0"/>
    <w:rsid w:val="00600EA9"/>
    <w:rsid w:val="006032D6"/>
    <w:rsid w:val="006036EF"/>
    <w:rsid w:val="00610673"/>
    <w:rsid w:val="00620C90"/>
    <w:rsid w:val="00623BC5"/>
    <w:rsid w:val="006406DF"/>
    <w:rsid w:val="00642833"/>
    <w:rsid w:val="00642CFB"/>
    <w:rsid w:val="00643931"/>
    <w:rsid w:val="00650FE5"/>
    <w:rsid w:val="0065260D"/>
    <w:rsid w:val="00654211"/>
    <w:rsid w:val="00683F18"/>
    <w:rsid w:val="006B66DE"/>
    <w:rsid w:val="006D6845"/>
    <w:rsid w:val="006E008E"/>
    <w:rsid w:val="006F2D7A"/>
    <w:rsid w:val="006F41DA"/>
    <w:rsid w:val="006F5ED9"/>
    <w:rsid w:val="006F6F5A"/>
    <w:rsid w:val="00701761"/>
    <w:rsid w:val="007050CE"/>
    <w:rsid w:val="00710846"/>
    <w:rsid w:val="00712AB5"/>
    <w:rsid w:val="00715EB7"/>
    <w:rsid w:val="007362B4"/>
    <w:rsid w:val="00741166"/>
    <w:rsid w:val="00742DD0"/>
    <w:rsid w:val="00745236"/>
    <w:rsid w:val="00751D36"/>
    <w:rsid w:val="00754E77"/>
    <w:rsid w:val="00764247"/>
    <w:rsid w:val="00767877"/>
    <w:rsid w:val="00793A68"/>
    <w:rsid w:val="007A5868"/>
    <w:rsid w:val="007A62F5"/>
    <w:rsid w:val="007C7575"/>
    <w:rsid w:val="007E204A"/>
    <w:rsid w:val="007E3A31"/>
    <w:rsid w:val="00802590"/>
    <w:rsid w:val="00802929"/>
    <w:rsid w:val="0081300E"/>
    <w:rsid w:val="00830B80"/>
    <w:rsid w:val="00833354"/>
    <w:rsid w:val="008413BB"/>
    <w:rsid w:val="00847715"/>
    <w:rsid w:val="008770B7"/>
    <w:rsid w:val="00894304"/>
    <w:rsid w:val="00896DD1"/>
    <w:rsid w:val="008A0153"/>
    <w:rsid w:val="008A13A8"/>
    <w:rsid w:val="008A653A"/>
    <w:rsid w:val="008B7BDD"/>
    <w:rsid w:val="008C7071"/>
    <w:rsid w:val="008F4B3A"/>
    <w:rsid w:val="008F5DB2"/>
    <w:rsid w:val="00905AAB"/>
    <w:rsid w:val="00917161"/>
    <w:rsid w:val="009226AF"/>
    <w:rsid w:val="00933066"/>
    <w:rsid w:val="00941894"/>
    <w:rsid w:val="009443ED"/>
    <w:rsid w:val="00955D91"/>
    <w:rsid w:val="00960C43"/>
    <w:rsid w:val="009614E2"/>
    <w:rsid w:val="00966EBA"/>
    <w:rsid w:val="00973695"/>
    <w:rsid w:val="0097641D"/>
    <w:rsid w:val="00986447"/>
    <w:rsid w:val="00996003"/>
    <w:rsid w:val="009C3DEF"/>
    <w:rsid w:val="009C7BF1"/>
    <w:rsid w:val="009D65CE"/>
    <w:rsid w:val="009E0EC1"/>
    <w:rsid w:val="009E6358"/>
    <w:rsid w:val="009F2682"/>
    <w:rsid w:val="00A046B1"/>
    <w:rsid w:val="00A04EC8"/>
    <w:rsid w:val="00A10BA3"/>
    <w:rsid w:val="00A179BE"/>
    <w:rsid w:val="00A206CE"/>
    <w:rsid w:val="00A23701"/>
    <w:rsid w:val="00A36E4D"/>
    <w:rsid w:val="00A420DD"/>
    <w:rsid w:val="00A43348"/>
    <w:rsid w:val="00A51F12"/>
    <w:rsid w:val="00A52BB2"/>
    <w:rsid w:val="00A53454"/>
    <w:rsid w:val="00A7088F"/>
    <w:rsid w:val="00A72549"/>
    <w:rsid w:val="00A82DC3"/>
    <w:rsid w:val="00A83620"/>
    <w:rsid w:val="00A85F1F"/>
    <w:rsid w:val="00A91A46"/>
    <w:rsid w:val="00A94F37"/>
    <w:rsid w:val="00A9676D"/>
    <w:rsid w:val="00AA0D4E"/>
    <w:rsid w:val="00AA3B9C"/>
    <w:rsid w:val="00AB08B4"/>
    <w:rsid w:val="00AB271D"/>
    <w:rsid w:val="00AB51FC"/>
    <w:rsid w:val="00AD4AC1"/>
    <w:rsid w:val="00AD58AC"/>
    <w:rsid w:val="00AE34E3"/>
    <w:rsid w:val="00B060F5"/>
    <w:rsid w:val="00B20E33"/>
    <w:rsid w:val="00B21D96"/>
    <w:rsid w:val="00B3769A"/>
    <w:rsid w:val="00B3790E"/>
    <w:rsid w:val="00B45E41"/>
    <w:rsid w:val="00B55347"/>
    <w:rsid w:val="00B618E1"/>
    <w:rsid w:val="00B63B6A"/>
    <w:rsid w:val="00B6517C"/>
    <w:rsid w:val="00B67996"/>
    <w:rsid w:val="00B75694"/>
    <w:rsid w:val="00B826D3"/>
    <w:rsid w:val="00B8401A"/>
    <w:rsid w:val="00B91BC7"/>
    <w:rsid w:val="00B92235"/>
    <w:rsid w:val="00B957F7"/>
    <w:rsid w:val="00BC1636"/>
    <w:rsid w:val="00BC22BB"/>
    <w:rsid w:val="00BE0A42"/>
    <w:rsid w:val="00BE561C"/>
    <w:rsid w:val="00BF3A8B"/>
    <w:rsid w:val="00C00A6A"/>
    <w:rsid w:val="00C02175"/>
    <w:rsid w:val="00C07671"/>
    <w:rsid w:val="00C15453"/>
    <w:rsid w:val="00C16F3A"/>
    <w:rsid w:val="00C207FE"/>
    <w:rsid w:val="00C22154"/>
    <w:rsid w:val="00C2478F"/>
    <w:rsid w:val="00C34A44"/>
    <w:rsid w:val="00C40E2D"/>
    <w:rsid w:val="00C51CBF"/>
    <w:rsid w:val="00C61826"/>
    <w:rsid w:val="00C65C17"/>
    <w:rsid w:val="00C66352"/>
    <w:rsid w:val="00C704F7"/>
    <w:rsid w:val="00C7355F"/>
    <w:rsid w:val="00C76687"/>
    <w:rsid w:val="00C77FBD"/>
    <w:rsid w:val="00C816DC"/>
    <w:rsid w:val="00C90CE4"/>
    <w:rsid w:val="00C922A3"/>
    <w:rsid w:val="00CA35E1"/>
    <w:rsid w:val="00CA4436"/>
    <w:rsid w:val="00CA6CFE"/>
    <w:rsid w:val="00CB2642"/>
    <w:rsid w:val="00CB2C90"/>
    <w:rsid w:val="00CB343E"/>
    <w:rsid w:val="00CB63D4"/>
    <w:rsid w:val="00CC1A74"/>
    <w:rsid w:val="00D021ED"/>
    <w:rsid w:val="00D04B0C"/>
    <w:rsid w:val="00D056EF"/>
    <w:rsid w:val="00D062D1"/>
    <w:rsid w:val="00D07405"/>
    <w:rsid w:val="00D349D8"/>
    <w:rsid w:val="00D34E1C"/>
    <w:rsid w:val="00D35518"/>
    <w:rsid w:val="00D44668"/>
    <w:rsid w:val="00D45101"/>
    <w:rsid w:val="00D451C6"/>
    <w:rsid w:val="00D500A4"/>
    <w:rsid w:val="00D669C3"/>
    <w:rsid w:val="00D66A04"/>
    <w:rsid w:val="00D71718"/>
    <w:rsid w:val="00D718FF"/>
    <w:rsid w:val="00D759A3"/>
    <w:rsid w:val="00DA59D8"/>
    <w:rsid w:val="00DB0038"/>
    <w:rsid w:val="00DC33E6"/>
    <w:rsid w:val="00DC7D1A"/>
    <w:rsid w:val="00DD6DDC"/>
    <w:rsid w:val="00DF20B3"/>
    <w:rsid w:val="00DF7F2F"/>
    <w:rsid w:val="00E03B21"/>
    <w:rsid w:val="00E106F7"/>
    <w:rsid w:val="00E6269F"/>
    <w:rsid w:val="00E74AF4"/>
    <w:rsid w:val="00E93C18"/>
    <w:rsid w:val="00E94D5A"/>
    <w:rsid w:val="00EA2DB8"/>
    <w:rsid w:val="00EB6576"/>
    <w:rsid w:val="00EC6336"/>
    <w:rsid w:val="00ED4F63"/>
    <w:rsid w:val="00EF7FD3"/>
    <w:rsid w:val="00F04034"/>
    <w:rsid w:val="00F1431B"/>
    <w:rsid w:val="00F176DA"/>
    <w:rsid w:val="00F17D24"/>
    <w:rsid w:val="00F22BB2"/>
    <w:rsid w:val="00F332BD"/>
    <w:rsid w:val="00F42F99"/>
    <w:rsid w:val="00F455C8"/>
    <w:rsid w:val="00F56E96"/>
    <w:rsid w:val="00F6284C"/>
    <w:rsid w:val="00F66202"/>
    <w:rsid w:val="00F773D5"/>
    <w:rsid w:val="00F915F6"/>
    <w:rsid w:val="00FA188D"/>
    <w:rsid w:val="00FA3FED"/>
    <w:rsid w:val="00FB0D2E"/>
    <w:rsid w:val="00FB5D36"/>
    <w:rsid w:val="00FC7A9D"/>
    <w:rsid w:val="00FF0E77"/>
    <w:rsid w:val="00FF1909"/>
    <w:rsid w:val="00FF21FA"/>
    <w:rsid w:val="00FF3F77"/>
    <w:rsid w:val="00FF4387"/>
    <w:rsid w:val="00FF4E28"/>
    <w:rsid w:val="05521A9F"/>
    <w:rsid w:val="11D10105"/>
    <w:rsid w:val="167E402E"/>
    <w:rsid w:val="23DD3697"/>
    <w:rsid w:val="3D174AB1"/>
    <w:rsid w:val="494824A5"/>
    <w:rsid w:val="591D659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pPr>
    <w:rPr>
      <w:rFonts w:ascii="Calibri" w:hAnsi="Calibri" w:eastAsia="宋体" w:cs="Times New Roman"/>
      <w:kern w:val="2"/>
      <w:sz w:val="24"/>
      <w:szCs w:val="22"/>
      <w:lang w:val="en-US" w:eastAsia="zh-CN" w:bidi="ar-SA"/>
    </w:rPr>
  </w:style>
  <w:style w:type="paragraph" w:styleId="2">
    <w:name w:val="heading 1"/>
    <w:next w:val="1"/>
    <w:link w:val="21"/>
    <w:qFormat/>
    <w:uiPriority w:val="9"/>
    <w:pPr>
      <w:keepNext/>
      <w:keepLines/>
      <w:numPr>
        <w:ilvl w:val="0"/>
        <w:numId w:val="1"/>
      </w:numPr>
      <w:spacing w:before="360" w:after="360"/>
      <w:ind w:left="0" w:firstLine="0"/>
      <w:outlineLvl w:val="0"/>
    </w:pPr>
    <w:rPr>
      <w:rFonts w:ascii="Times New Roman" w:hAnsi="Times New Roman" w:eastAsia="黑体" w:cs="Times New Roman"/>
      <w:b/>
      <w:bCs/>
      <w:kern w:val="44"/>
      <w:sz w:val="30"/>
      <w:szCs w:val="44"/>
      <w:lang w:val="en-US" w:eastAsia="zh-CN" w:bidi="ar-SA"/>
    </w:rPr>
  </w:style>
  <w:style w:type="paragraph" w:styleId="3">
    <w:name w:val="heading 2"/>
    <w:next w:val="1"/>
    <w:link w:val="22"/>
    <w:unhideWhenUsed/>
    <w:qFormat/>
    <w:uiPriority w:val="9"/>
    <w:pPr>
      <w:numPr>
        <w:ilvl w:val="1"/>
        <w:numId w:val="1"/>
      </w:numPr>
      <w:spacing w:before="260" w:after="260"/>
      <w:outlineLvl w:val="1"/>
    </w:pPr>
    <w:rPr>
      <w:rFonts w:ascii="Cambria" w:hAnsi="Cambria" w:eastAsia="黑体" w:cs="Times New Roman"/>
      <w:b/>
      <w:bCs/>
      <w:kern w:val="2"/>
      <w:sz w:val="28"/>
      <w:szCs w:val="32"/>
      <w:lang w:val="en-US" w:eastAsia="zh-CN" w:bidi="ar-SA"/>
    </w:rPr>
  </w:style>
  <w:style w:type="paragraph" w:styleId="4">
    <w:name w:val="heading 3"/>
    <w:next w:val="1"/>
    <w:link w:val="23"/>
    <w:unhideWhenUsed/>
    <w:qFormat/>
    <w:uiPriority w:val="9"/>
    <w:pPr>
      <w:keepNext/>
      <w:keepLines/>
      <w:numPr>
        <w:ilvl w:val="2"/>
        <w:numId w:val="1"/>
      </w:numPr>
      <w:spacing w:before="260" w:after="260" w:line="416" w:lineRule="auto"/>
      <w:ind w:left="709"/>
      <w:outlineLvl w:val="2"/>
    </w:pPr>
    <w:rPr>
      <w:rFonts w:ascii="Calibri" w:hAnsi="Calibri" w:eastAsia="黑体" w:cs="Times New Roman"/>
      <w:b/>
      <w:bCs/>
      <w:kern w:val="2"/>
      <w:sz w:val="24"/>
      <w:szCs w:val="32"/>
      <w:lang w:val="en-US" w:eastAsia="zh-CN" w:bidi="ar-SA"/>
    </w:rPr>
  </w:style>
  <w:style w:type="paragraph" w:styleId="5">
    <w:name w:val="heading 4"/>
    <w:next w:val="1"/>
    <w:link w:val="24"/>
    <w:unhideWhenUsed/>
    <w:qFormat/>
    <w:uiPriority w:val="9"/>
    <w:pPr>
      <w:keepNext/>
      <w:keepLines/>
      <w:numPr>
        <w:ilvl w:val="3"/>
        <w:numId w:val="1"/>
      </w:numPr>
      <w:spacing w:before="280" w:after="290" w:line="376" w:lineRule="auto"/>
      <w:outlineLvl w:val="3"/>
    </w:pPr>
    <w:rPr>
      <w:rFonts w:ascii="Cambria" w:hAnsi="Cambria" w:eastAsia="宋体" w:cs="Times New Roman"/>
      <w:b/>
      <w:bCs/>
      <w:kern w:val="2"/>
      <w:sz w:val="24"/>
      <w:szCs w:val="28"/>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ascii="Cambria" w:hAnsi="Cambria" w:eastAsia="黑体" w:cs="Times New Roman"/>
      <w:sz w:val="20"/>
      <w:szCs w:val="20"/>
    </w:rPr>
  </w:style>
  <w:style w:type="paragraph" w:styleId="7">
    <w:name w:val="Body Text Indent"/>
    <w:basedOn w:val="1"/>
    <w:link w:val="37"/>
    <w:qFormat/>
    <w:uiPriority w:val="0"/>
    <w:pPr>
      <w:spacing w:after="120"/>
      <w:ind w:left="420" w:leftChars="200" w:firstLine="0" w:firstLineChars="0"/>
      <w:jc w:val="both"/>
    </w:pPr>
    <w:rPr>
      <w:rFonts w:ascii="仿宋_GB2312" w:hAnsi="Times New Roman" w:eastAsia="仿宋_GB2312"/>
      <w:szCs w:val="20"/>
    </w:rPr>
  </w:style>
  <w:style w:type="paragraph" w:styleId="8">
    <w:name w:val="toc 3"/>
    <w:basedOn w:val="1"/>
    <w:next w:val="1"/>
    <w:unhideWhenUsed/>
    <w:qFormat/>
    <w:uiPriority w:val="39"/>
    <w:pPr>
      <w:ind w:left="840" w:leftChars="400"/>
    </w:pPr>
  </w:style>
  <w:style w:type="paragraph" w:styleId="9">
    <w:name w:val="Balloon Text"/>
    <w:basedOn w:val="1"/>
    <w:link w:val="26"/>
    <w:semiHidden/>
    <w:unhideWhenUsed/>
    <w:qFormat/>
    <w:uiPriority w:val="99"/>
    <w:pPr>
      <w:spacing w:line="240" w:lineRule="auto"/>
    </w:pPr>
    <w:rPr>
      <w:sz w:val="18"/>
      <w:szCs w:val="18"/>
    </w:rPr>
  </w:style>
  <w:style w:type="paragraph" w:styleId="10">
    <w:name w:val="footer"/>
    <w:basedOn w:val="1"/>
    <w:link w:val="20"/>
    <w:unhideWhenUsed/>
    <w:qFormat/>
    <w:uiPriority w:val="99"/>
    <w:pPr>
      <w:tabs>
        <w:tab w:val="center" w:pos="4153"/>
        <w:tab w:val="right" w:pos="8306"/>
      </w:tabs>
      <w:snapToGrid w:val="0"/>
    </w:pPr>
    <w:rPr>
      <w:sz w:val="18"/>
      <w:szCs w:val="18"/>
    </w:rPr>
  </w:style>
  <w:style w:type="paragraph" w:styleId="11">
    <w:name w:val="header"/>
    <w:basedOn w:val="1"/>
    <w:link w:val="19"/>
    <w:unhideWhenUsed/>
    <w:qFormat/>
    <w:uiPriority w:val="99"/>
    <w:pPr>
      <w:pBdr>
        <w:bottom w:val="single" w:color="auto" w:sz="6" w:space="1"/>
      </w:pBdr>
      <w:tabs>
        <w:tab w:val="center" w:pos="4153"/>
        <w:tab w:val="right" w:pos="8306"/>
      </w:tabs>
      <w:snapToGrid w:val="0"/>
      <w:ind w:firstLine="360"/>
      <w:jc w:val="center"/>
    </w:pPr>
    <w:rPr>
      <w:sz w:val="18"/>
      <w:szCs w:val="18"/>
    </w:rPr>
  </w:style>
  <w:style w:type="paragraph" w:styleId="12">
    <w:name w:val="toc 1"/>
    <w:basedOn w:val="1"/>
    <w:next w:val="1"/>
    <w:unhideWhenUsed/>
    <w:qFormat/>
    <w:uiPriority w:val="39"/>
  </w:style>
  <w:style w:type="paragraph" w:styleId="13">
    <w:name w:val="Subtitle"/>
    <w:basedOn w:val="1"/>
    <w:link w:val="27"/>
    <w:qFormat/>
    <w:uiPriority w:val="0"/>
    <w:pPr>
      <w:spacing w:line="300" w:lineRule="auto"/>
      <w:jc w:val="center"/>
    </w:pPr>
    <w:rPr>
      <w:rFonts w:ascii="Arial" w:hAnsi="Arial" w:eastAsia="黑体"/>
      <w:b/>
      <w:sz w:val="30"/>
      <w:szCs w:val="24"/>
    </w:rPr>
  </w:style>
  <w:style w:type="paragraph" w:styleId="14">
    <w:name w:val="toc 2"/>
    <w:basedOn w:val="1"/>
    <w:next w:val="1"/>
    <w:unhideWhenUsed/>
    <w:qFormat/>
    <w:uiPriority w:val="39"/>
    <w:pPr>
      <w:ind w:left="420" w:leftChars="200"/>
    </w:pPr>
  </w:style>
  <w:style w:type="table" w:styleId="16">
    <w:name w:val="Table Grid"/>
    <w:basedOn w:val="1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Hyperlink"/>
    <w:basedOn w:val="17"/>
    <w:unhideWhenUsed/>
    <w:qFormat/>
    <w:uiPriority w:val="99"/>
    <w:rPr>
      <w:color w:val="0000FF"/>
      <w:u w:val="single"/>
    </w:rPr>
  </w:style>
  <w:style w:type="character" w:customStyle="1" w:styleId="19">
    <w:name w:val="页眉 Char"/>
    <w:basedOn w:val="17"/>
    <w:link w:val="11"/>
    <w:qFormat/>
    <w:uiPriority w:val="99"/>
    <w:rPr>
      <w:rFonts w:ascii="Calibri" w:hAnsi="Calibri" w:eastAsia="宋体" w:cs="Times New Roman"/>
      <w:sz w:val="18"/>
      <w:szCs w:val="18"/>
    </w:rPr>
  </w:style>
  <w:style w:type="character" w:customStyle="1" w:styleId="20">
    <w:name w:val="页脚 Char"/>
    <w:basedOn w:val="17"/>
    <w:link w:val="10"/>
    <w:qFormat/>
    <w:uiPriority w:val="99"/>
    <w:rPr>
      <w:sz w:val="18"/>
      <w:szCs w:val="18"/>
    </w:rPr>
  </w:style>
  <w:style w:type="character" w:customStyle="1" w:styleId="21">
    <w:name w:val="标题 1 Char"/>
    <w:basedOn w:val="17"/>
    <w:link w:val="2"/>
    <w:qFormat/>
    <w:uiPriority w:val="9"/>
    <w:rPr>
      <w:rFonts w:ascii="Times New Roman" w:hAnsi="Times New Roman" w:eastAsia="黑体"/>
      <w:b/>
      <w:bCs/>
      <w:kern w:val="44"/>
      <w:sz w:val="30"/>
      <w:szCs w:val="44"/>
      <w:lang w:val="en-US" w:eastAsia="zh-CN" w:bidi="ar-SA"/>
    </w:rPr>
  </w:style>
  <w:style w:type="character" w:customStyle="1" w:styleId="22">
    <w:name w:val="标题 2 Char"/>
    <w:basedOn w:val="17"/>
    <w:link w:val="3"/>
    <w:qFormat/>
    <w:uiPriority w:val="9"/>
    <w:rPr>
      <w:rFonts w:ascii="Cambria" w:hAnsi="Cambria" w:eastAsia="黑体"/>
      <w:b/>
      <w:bCs/>
      <w:kern w:val="2"/>
      <w:sz w:val="28"/>
      <w:szCs w:val="32"/>
      <w:lang w:val="en-US" w:eastAsia="zh-CN" w:bidi="ar-SA"/>
    </w:rPr>
  </w:style>
  <w:style w:type="character" w:customStyle="1" w:styleId="23">
    <w:name w:val="标题 3 Char"/>
    <w:basedOn w:val="17"/>
    <w:link w:val="4"/>
    <w:qFormat/>
    <w:uiPriority w:val="9"/>
    <w:rPr>
      <w:rFonts w:eastAsia="黑体"/>
      <w:b/>
      <w:bCs/>
      <w:kern w:val="2"/>
      <w:sz w:val="24"/>
      <w:szCs w:val="32"/>
      <w:lang w:val="en-US" w:eastAsia="zh-CN" w:bidi="ar-SA"/>
    </w:rPr>
  </w:style>
  <w:style w:type="character" w:customStyle="1" w:styleId="24">
    <w:name w:val="标题 4 Char"/>
    <w:basedOn w:val="17"/>
    <w:link w:val="5"/>
    <w:qFormat/>
    <w:uiPriority w:val="9"/>
    <w:rPr>
      <w:rFonts w:ascii="Cambria" w:hAnsi="Cambria"/>
      <w:b/>
      <w:bCs/>
      <w:kern w:val="2"/>
      <w:sz w:val="24"/>
      <w:szCs w:val="28"/>
      <w:lang w:val="en-US" w:eastAsia="zh-CN" w:bidi="ar-SA"/>
    </w:rPr>
  </w:style>
  <w:style w:type="paragraph" w:styleId="25">
    <w:name w:val="List Paragraph"/>
    <w:basedOn w:val="1"/>
    <w:qFormat/>
    <w:uiPriority w:val="34"/>
    <w:pPr>
      <w:ind w:firstLine="420"/>
    </w:pPr>
  </w:style>
  <w:style w:type="character" w:customStyle="1" w:styleId="26">
    <w:name w:val="批注框文本 Char"/>
    <w:basedOn w:val="17"/>
    <w:link w:val="9"/>
    <w:semiHidden/>
    <w:qFormat/>
    <w:uiPriority w:val="99"/>
    <w:rPr>
      <w:rFonts w:ascii="Calibri" w:hAnsi="Calibri" w:eastAsia="宋体" w:cs="Times New Roman"/>
      <w:sz w:val="18"/>
      <w:szCs w:val="18"/>
    </w:rPr>
  </w:style>
  <w:style w:type="character" w:customStyle="1" w:styleId="27">
    <w:name w:val="副标题 Char"/>
    <w:basedOn w:val="17"/>
    <w:link w:val="13"/>
    <w:qFormat/>
    <w:uiPriority w:val="0"/>
    <w:rPr>
      <w:rFonts w:ascii="Arial" w:hAnsi="Arial" w:eastAsia="黑体" w:cs="Times New Roman"/>
      <w:b/>
      <w:sz w:val="30"/>
      <w:szCs w:val="24"/>
    </w:rPr>
  </w:style>
  <w:style w:type="paragraph" w:customStyle="1" w:styleId="28">
    <w:name w:val="主标题"/>
    <w:basedOn w:val="1"/>
    <w:qFormat/>
    <w:uiPriority w:val="0"/>
    <w:pPr>
      <w:spacing w:line="300" w:lineRule="auto"/>
      <w:jc w:val="center"/>
    </w:pPr>
    <w:rPr>
      <w:rFonts w:ascii="Arial Black" w:hAnsi="Arial Black" w:eastAsia="黑体"/>
      <w:b/>
      <w:sz w:val="48"/>
      <w:szCs w:val="24"/>
    </w:rPr>
  </w:style>
  <w:style w:type="paragraph" w:customStyle="1" w:styleId="29">
    <w:name w:val="Char"/>
    <w:basedOn w:val="1"/>
    <w:qFormat/>
    <w:uiPriority w:val="0"/>
    <w:pPr>
      <w:widowControl/>
      <w:spacing w:after="160" w:line="240" w:lineRule="auto"/>
      <w:ind w:firstLine="0" w:firstLineChars="0"/>
    </w:pPr>
    <w:rPr>
      <w:rFonts w:ascii="Arial" w:hAnsi="Arial" w:cs="Verdana"/>
      <w:kern w:val="0"/>
      <w:szCs w:val="24"/>
      <w:lang w:eastAsia="en-US"/>
    </w:rPr>
  </w:style>
  <w:style w:type="paragraph" w:customStyle="1" w:styleId="30">
    <w:name w:val="样式 首行缩进:  2 字符"/>
    <w:basedOn w:val="1"/>
    <w:qFormat/>
    <w:uiPriority w:val="0"/>
    <w:pPr>
      <w:tabs>
        <w:tab w:val="left" w:pos="-24"/>
      </w:tabs>
      <w:wordWrap w:val="0"/>
      <w:spacing w:line="360" w:lineRule="auto"/>
      <w:ind w:firstLine="540" w:firstLineChars="257"/>
      <w:jc w:val="both"/>
      <w:textAlignment w:val="baseline"/>
    </w:pPr>
    <w:rPr>
      <w:rFonts w:ascii="宋体" w:hAnsi="宋体" w:cs="宋体"/>
      <w:szCs w:val="24"/>
    </w:rPr>
  </w:style>
  <w:style w:type="paragraph" w:customStyle="1" w:styleId="31">
    <w:name w:val="_Style 30"/>
    <w:basedOn w:val="2"/>
    <w:next w:val="1"/>
    <w:semiHidden/>
    <w:unhideWhenUsed/>
    <w:qFormat/>
    <w:uiPriority w:val="39"/>
    <w:pPr>
      <w:numPr>
        <w:numId w:val="0"/>
      </w:numPr>
      <w:spacing w:before="480" w:after="0" w:line="276" w:lineRule="auto"/>
      <w:outlineLvl w:val="9"/>
    </w:pPr>
    <w:rPr>
      <w:rFonts w:ascii="Cambria" w:hAnsi="Cambria" w:eastAsia="宋体" w:cs="Times New Roman"/>
      <w:color w:val="365F91"/>
      <w:kern w:val="0"/>
      <w:sz w:val="28"/>
      <w:szCs w:val="28"/>
    </w:rPr>
  </w:style>
  <w:style w:type="paragraph" w:customStyle="1" w:styleId="32">
    <w:name w:val="077-正文格式"/>
    <w:basedOn w:val="1"/>
    <w:link w:val="33"/>
    <w:qFormat/>
    <w:uiPriority w:val="0"/>
    <w:pPr>
      <w:adjustRightInd w:val="0"/>
      <w:snapToGrid w:val="0"/>
      <w:spacing w:line="360" w:lineRule="auto"/>
      <w:ind w:firstLine="480"/>
      <w:jc w:val="both"/>
    </w:pPr>
    <w:rPr>
      <w:rFonts w:ascii="宋体" w:hAnsi="Times New Roman" w:cs="宋体"/>
      <w:szCs w:val="20"/>
    </w:rPr>
  </w:style>
  <w:style w:type="character" w:customStyle="1" w:styleId="33">
    <w:name w:val="077-正文格式 Char1"/>
    <w:basedOn w:val="17"/>
    <w:link w:val="32"/>
    <w:qFormat/>
    <w:uiPriority w:val="0"/>
    <w:rPr>
      <w:rFonts w:ascii="宋体" w:hAnsi="Times New Roman" w:eastAsia="宋体" w:cs="宋体"/>
      <w:sz w:val="24"/>
      <w:szCs w:val="20"/>
    </w:rPr>
  </w:style>
  <w:style w:type="paragraph" w:customStyle="1" w:styleId="34">
    <w:name w:val="077-表格文字"/>
    <w:basedOn w:val="1"/>
    <w:link w:val="36"/>
    <w:qFormat/>
    <w:uiPriority w:val="0"/>
    <w:pPr>
      <w:adjustRightInd w:val="0"/>
      <w:snapToGrid w:val="0"/>
      <w:spacing w:line="240" w:lineRule="auto"/>
      <w:ind w:firstLine="0" w:firstLineChars="0"/>
      <w:jc w:val="both"/>
    </w:pPr>
    <w:rPr>
      <w:rFonts w:ascii="宋体" w:hAnsi="Times New Roman"/>
      <w:sz w:val="21"/>
      <w:szCs w:val="21"/>
    </w:rPr>
  </w:style>
  <w:style w:type="paragraph" w:customStyle="1" w:styleId="35">
    <w:name w:val="077表"/>
    <w:basedOn w:val="1"/>
    <w:qFormat/>
    <w:uiPriority w:val="0"/>
    <w:pPr>
      <w:adjustRightInd w:val="0"/>
      <w:snapToGrid w:val="0"/>
      <w:spacing w:line="360" w:lineRule="auto"/>
      <w:ind w:firstLine="0" w:firstLineChars="0"/>
      <w:jc w:val="center"/>
    </w:pPr>
    <w:rPr>
      <w:rFonts w:ascii="黑体" w:hAnsi="Times New Roman" w:eastAsia="黑体"/>
      <w:szCs w:val="24"/>
    </w:rPr>
  </w:style>
  <w:style w:type="character" w:customStyle="1" w:styleId="36">
    <w:name w:val="077-表格文字 Char Char"/>
    <w:basedOn w:val="17"/>
    <w:link w:val="34"/>
    <w:qFormat/>
    <w:uiPriority w:val="0"/>
    <w:rPr>
      <w:rFonts w:ascii="宋体" w:hAnsi="Times New Roman" w:eastAsia="宋体" w:cs="Times New Roman"/>
      <w:szCs w:val="21"/>
    </w:rPr>
  </w:style>
  <w:style w:type="character" w:customStyle="1" w:styleId="37">
    <w:name w:val="正文文本缩进 Char"/>
    <w:basedOn w:val="17"/>
    <w:link w:val="7"/>
    <w:qFormat/>
    <w:uiPriority w:val="0"/>
    <w:rPr>
      <w:rFonts w:ascii="仿宋_GB2312" w:hAnsi="Times New Roman" w:eastAsia="仿宋_GB2312" w:cs="Times New Roman"/>
      <w:sz w:val="24"/>
      <w:szCs w:val="20"/>
    </w:rPr>
  </w:style>
  <w:style w:type="paragraph" w:customStyle="1" w:styleId="38">
    <w:name w:val="正文格式"/>
    <w:basedOn w:val="1"/>
    <w:link w:val="39"/>
    <w:qFormat/>
    <w:uiPriority w:val="0"/>
    <w:pPr>
      <w:widowControl/>
      <w:adjustRightInd w:val="0"/>
      <w:snapToGrid w:val="0"/>
      <w:spacing w:line="360" w:lineRule="auto"/>
      <w:ind w:left="522" w:firstLine="482" w:firstLineChars="0"/>
      <w:jc w:val="both"/>
      <w:textAlignment w:val="baseline"/>
    </w:pPr>
    <w:rPr>
      <w:rFonts w:ascii="宋体" w:hAnsi="Times New Roman"/>
      <w:color w:val="0000FF"/>
      <w:kern w:val="0"/>
      <w:szCs w:val="24"/>
    </w:rPr>
  </w:style>
  <w:style w:type="character" w:customStyle="1" w:styleId="39">
    <w:name w:val="正文格式 Char1"/>
    <w:basedOn w:val="17"/>
    <w:link w:val="38"/>
    <w:qFormat/>
    <w:uiPriority w:val="0"/>
    <w:rPr>
      <w:rFonts w:ascii="宋体" w:hAnsi="Times New Roman" w:eastAsia="宋体" w:cs="Times New Roman"/>
      <w:color w:val="0000FF"/>
      <w:kern w:val="0"/>
      <w:sz w:val="24"/>
      <w:szCs w:val="24"/>
    </w:rPr>
  </w:style>
  <w:style w:type="paragraph" w:customStyle="1" w:styleId="40">
    <w:name w:val="077图"/>
    <w:basedOn w:val="38"/>
    <w:uiPriority w:val="0"/>
    <w:pPr>
      <w:numPr>
        <w:ilvl w:val="0"/>
        <w:numId w:val="2"/>
      </w:numPr>
      <w:tabs>
        <w:tab w:val="left" w:pos="360"/>
        <w:tab w:val="clear" w:pos="1651"/>
      </w:tabs>
      <w:ind w:left="0" w:firstLine="0"/>
      <w:jc w:val="center"/>
    </w:pPr>
    <w:rPr>
      <w:rFonts w:eastAsia="黑体"/>
    </w:rPr>
  </w:style>
  <w:style w:type="paragraph" w:customStyle="1" w:styleId="41">
    <w:name w:val="Char1"/>
    <w:basedOn w:val="1"/>
    <w:qFormat/>
    <w:uiPriority w:val="0"/>
    <w:pPr>
      <w:widowControl/>
      <w:spacing w:after="160" w:line="240" w:lineRule="auto"/>
      <w:ind w:firstLine="0" w:firstLineChars="0"/>
    </w:pPr>
    <w:rPr>
      <w:rFonts w:ascii="Arial" w:hAnsi="Arial" w:cs="Verdana"/>
      <w:kern w:val="0"/>
      <w:szCs w:val="24"/>
      <w:lang w:eastAsia="en-US"/>
    </w:rPr>
  </w:style>
  <w:style w:type="paragraph" w:customStyle="1" w:styleId="42">
    <w:name w:val="表格内容[SWIEE]"/>
    <w:basedOn w:val="1"/>
    <w:qFormat/>
    <w:uiPriority w:val="0"/>
    <w:pPr>
      <w:adjustRightInd w:val="0"/>
      <w:snapToGrid w:val="0"/>
      <w:spacing w:line="400" w:lineRule="atLeast"/>
      <w:ind w:firstLine="0" w:firstLineChars="0"/>
      <w:jc w:val="center"/>
    </w:pPr>
    <w:rPr>
      <w:rFonts w:ascii="Times New Roman" w:hAnsi="Times New Roman"/>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48" Type="http://schemas.openxmlformats.org/officeDocument/2006/relationships/image" Target="media/image31.png"/><Relationship Id="rId49" Type="http://schemas.openxmlformats.org/officeDocument/2006/relationships/image" Target="media/image3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 </Company>
  <Pages>53</Pages>
  <Words>21709</Words>
  <Characters>30502</Characters>
  <Lines>64</Lines>
  <Paragraphs>18</Paragraphs>
  <TotalTime>2</TotalTime>
  <ScaleCrop>false</ScaleCrop>
  <LinksUpToDate>false</LinksUpToDate>
  <CharactersWithSpaces>34192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2016-03-23T04:14:00Z</dcterms:created>
  <dc:creator>admin</dc:creator>
  <cp:lastModifiedBy>人畜无害</cp:lastModifiedBy>
  <dcterms:modified xsi:type="dcterms:W3CDTF">2026-05-13T17:09:41Z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CFC6DE86771C4E5A82B5E3BF9CE5384A_13</vt:lpwstr>
  </property>
  <property fmtid="{D5CDD505-2E9C-101B-9397-08002B2CF9AE}" pid="4" name="KSOTemplateDocerSaveRecord">
    <vt:lpwstr>eyJoZGlkIjoiY2Q1NmY3ZTQzODE5MGVhYTkyMzg4Mzg3MzhmMWFkYmUiLCJ1c2VySWQiOiIxMjkzNzk2NTAzIn0=</vt:lpwstr>
  </property>
</Properties>
</file>