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RoBERTa Fine-Tuned for Sentiment Analysis - Classification Reports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 Epochs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 Epochs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 Epochs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19513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891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 epochs, adapted class_weights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customTrainer with adapted weights calculated with compute_class_weights(‘balanced’) from sklearn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6 epochs, adapted class_weights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