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6"/>
        </w:numPr>
        <w:spacing w:line="360" w:lineRule="auto"/>
        <w:ind w:left="3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j10aygn5rdw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ПЕРВИЧНЫЙ АНАЛИЗ НАБОРА ДАННЫХ С ВРЕМЕННЫМИ РЯДАМИ</w:t>
      </w:r>
    </w:p>
    <w:p w:rsidR="00000000" w:rsidDel="00000000" w:rsidP="00000000" w:rsidRDefault="00000000" w:rsidRPr="00000000" w14:paraId="00000002">
      <w:pPr>
        <w:numPr>
          <w:ilvl w:val="1"/>
          <w:numId w:val="16"/>
        </w:numPr>
        <w:spacing w:line="360" w:lineRule="auto"/>
        <w:ind w:left="7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Постановка задачи</w:t>
      </w:r>
    </w:p>
    <w:p w:rsidR="00000000" w:rsidDel="00000000" w:rsidP="00000000" w:rsidRDefault="00000000" w:rsidRPr="00000000" w14:paraId="00000003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данном подразделе поставлена задача прогнозирования цен финансовых активов.</w:t>
      </w:r>
    </w:p>
    <w:p w:rsidR="00000000" w:rsidDel="00000000" w:rsidP="00000000" w:rsidRDefault="00000000" w:rsidRPr="00000000" w14:paraId="00000004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Тип задачи: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Прогнозирование временных рядов </w:t>
      </w:r>
    </w:p>
    <w:p w:rsidR="00000000" w:rsidDel="00000000" w:rsidP="00000000" w:rsidRDefault="00000000" w:rsidRPr="00000000" w14:paraId="00000005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Входные и выходные данные: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line="360" w:lineRule="auto"/>
        <w:ind w:left="1068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Входные данные: Исторические данные о ценах акций (цена открытия, максимальная цена, минимальная цена, цена закрытия) и объеме торгов за период времени.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line="360" w:lineRule="auto"/>
        <w:ind w:left="1068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Выходные данные: Прогноз цены закрытия на следующий день (или на некоторый период).</w:t>
      </w:r>
    </w:p>
    <w:p w:rsidR="00000000" w:rsidDel="00000000" w:rsidP="00000000" w:rsidRDefault="00000000" w:rsidRPr="00000000" w14:paraId="00000008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Предметная область: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Финансы, фондовый рынок, инвестиции.</w:t>
      </w:r>
    </w:p>
    <w:p w:rsidR="00000000" w:rsidDel="00000000" w:rsidP="00000000" w:rsidRDefault="00000000" w:rsidRPr="00000000" w14:paraId="00000009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Практическая значимость: </w:t>
      </w:r>
    </w:p>
    <w:p w:rsidR="00000000" w:rsidDel="00000000" w:rsidP="00000000" w:rsidRDefault="00000000" w:rsidRPr="00000000" w14:paraId="0000000A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Решение данной задачи предоставляет возможность:</w:t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spacing w:line="360" w:lineRule="auto"/>
        <w:ind w:left="1068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Инвесторам принимать решения о покупке или продаже акций.</w:t>
      </w:r>
    </w:p>
    <w:p w:rsidR="00000000" w:rsidDel="00000000" w:rsidP="00000000" w:rsidRDefault="00000000" w:rsidRPr="00000000" w14:paraId="0000000C">
      <w:pPr>
        <w:numPr>
          <w:ilvl w:val="0"/>
          <w:numId w:val="14"/>
        </w:numPr>
        <w:spacing w:line="360" w:lineRule="auto"/>
        <w:ind w:left="1068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Финансовым аналитикам оценивать риски и доходность.</w:t>
      </w:r>
    </w:p>
    <w:p w:rsidR="00000000" w:rsidDel="00000000" w:rsidP="00000000" w:rsidRDefault="00000000" w:rsidRPr="00000000" w14:paraId="0000000D">
      <w:pPr>
        <w:numPr>
          <w:ilvl w:val="0"/>
          <w:numId w:val="14"/>
        </w:numPr>
        <w:spacing w:line="360" w:lineRule="auto"/>
        <w:ind w:left="1068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Компаниям планировать свои инвестиционные портфели.</w:t>
      </w:r>
    </w:p>
    <w:p w:rsidR="00000000" w:rsidDel="00000000" w:rsidP="00000000" w:rsidRDefault="00000000" w:rsidRPr="00000000" w14:paraId="0000000E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Прогнозирование цен акций помогает минимизировать риски и максимизировать прибыль.</w:t>
      </w:r>
    </w:p>
    <w:p w:rsidR="00000000" w:rsidDel="00000000" w:rsidP="00000000" w:rsidRDefault="00000000" w:rsidRPr="00000000" w14:paraId="0000000F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Требования к данным: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line="360" w:lineRule="auto"/>
        <w:ind w:left="432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Достаточный объем данных (не менее 2-3 лет).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line="360" w:lineRule="auto"/>
        <w:ind w:left="432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Регулярная периодичность.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line="360" w:lineRule="auto"/>
        <w:ind w:left="432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Отсутствие пропусков или их минимальное количество.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line="360" w:lineRule="auto"/>
        <w:ind w:left="432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Наличие ценовых данных и объема торгов.</w:t>
      </w:r>
    </w:p>
    <w:p w:rsidR="00000000" w:rsidDel="00000000" w:rsidP="00000000" w:rsidRDefault="00000000" w:rsidRPr="00000000" w14:paraId="00000014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15"/>
        </w:numPr>
        <w:spacing w:line="360" w:lineRule="auto"/>
        <w:ind w:left="7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32flzqu6ktax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Описание выбранного набора данных</w:t>
      </w:r>
    </w:p>
    <w:p w:rsidR="00000000" w:rsidDel="00000000" w:rsidP="00000000" w:rsidRDefault="00000000" w:rsidRPr="00000000" w14:paraId="00000016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Название: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NVIDIA Stock Price History (NVDA_yfinance_clean.csv)</w:t>
      </w:r>
    </w:p>
    <w:p w:rsidR="00000000" w:rsidDel="00000000" w:rsidP="00000000" w:rsidRDefault="00000000" w:rsidRPr="00000000" w14:paraId="00000017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Первоисточник: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Данные получены с платформы Kaggle. Прямая ссылка на набор данных: 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67886"/>
            <w:sz w:val="28"/>
            <w:szCs w:val="28"/>
            <w:u w:val="single"/>
            <w:rtl w:val="0"/>
          </w:rPr>
          <w:t xml:space="preserve">https://www.kaggle.com/datasets/ibrahimshahrukh/nvidia-daily-stock-prices-20162026-dataset/data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Набор данных был собран с помощью библиотеки yfinance, которая интегрируется с Yahoo Finance - официальным источником биржевых данных. </w:t>
      </w:r>
    </w:p>
    <w:p w:rsidR="00000000" w:rsidDel="00000000" w:rsidP="00000000" w:rsidRDefault="00000000" w:rsidRPr="00000000" w14:paraId="00000018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Краткая информация о сборе и разметке: </w:t>
      </w:r>
    </w:p>
    <w:p w:rsidR="00000000" w:rsidDel="00000000" w:rsidP="00000000" w:rsidRDefault="00000000" w:rsidRPr="00000000" w14:paraId="00000019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Данные были собраны автоматически с помощью API Yahoo Finance. Они представляют собой ежедневные котировки акций NVIDIA Corporation. Сбор данных осуществлялся за период с января 2016 года по декабрь 2025 года. Данные являются необработанными рыночными данными, разметка не требуется, так как это типичный временной ряд для задач прогнозирования.</w:t>
      </w:r>
    </w:p>
    <w:p w:rsidR="00000000" w:rsidDel="00000000" w:rsidP="00000000" w:rsidRDefault="00000000" w:rsidRPr="00000000" w14:paraId="0000001A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Обоснование выбора: </w:t>
      </w:r>
    </w:p>
    <w:p w:rsidR="00000000" w:rsidDel="00000000" w:rsidP="00000000" w:rsidRDefault="00000000" w:rsidRPr="00000000" w14:paraId="0000001B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Данный набор данных отлично подходит для обучения моделей прогнозирования временных рядов по следующим причинам: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line="360" w:lineRule="auto"/>
        <w:ind w:left="1068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Достаточный объем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line="360" w:lineRule="auto"/>
        <w:ind w:left="1068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Отсутствие пропусков значений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line="360" w:lineRule="auto"/>
        <w:ind w:left="1068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Актуальность: NVIDIA - одна из крупнейших технологических компаний, данные по ней представляют практический интерес.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line="360" w:lineRule="auto"/>
        <w:ind w:left="1068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Доступность</w:t>
      </w:r>
    </w:p>
    <w:p w:rsidR="00000000" w:rsidDel="00000000" w:rsidP="00000000" w:rsidRDefault="00000000" w:rsidRPr="00000000" w14:paraId="00000020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Структура данных: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line="360" w:lineRule="auto"/>
        <w:ind w:left="1068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Количество записей: 2514 дней.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line="360" w:lineRule="auto"/>
        <w:ind w:left="1068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Количество признаков: 6 (Date, Open, High, Low, Close, Volume).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line="360" w:lineRule="auto"/>
        <w:ind w:left="1068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Целевая переменная: Close (цена закрытия торгов).</w:t>
      </w:r>
    </w:p>
    <w:p w:rsidR="00000000" w:rsidDel="00000000" w:rsidP="00000000" w:rsidRDefault="00000000" w:rsidRPr="00000000" w14:paraId="00000024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Чувствительность и конфиденциальность: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Данные являются публичными биржевыми котировками, не содержат персональной информации, не требуют анонимизации. Это общедоступная информация, которая не нарушает законодательство о защите данных. </w:t>
      </w:r>
    </w:p>
    <w:p w:rsidR="00000000" w:rsidDel="00000000" w:rsidP="00000000" w:rsidRDefault="00000000" w:rsidRPr="00000000" w14:paraId="00000025">
      <w:pPr>
        <w:numPr>
          <w:ilvl w:val="1"/>
          <w:numId w:val="8"/>
        </w:numPr>
        <w:spacing w:line="360" w:lineRule="auto"/>
        <w:ind w:left="7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g4sq7ahbqg7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Описание результатов первичного анализа</w:t>
      </w:r>
    </w:p>
    <w:p w:rsidR="00000000" w:rsidDel="00000000" w:rsidP="00000000" w:rsidRDefault="00000000" w:rsidRPr="00000000" w14:paraId="00000026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2.3.1. Загрузка и первичное знакомство с данными</w:t>
      </w:r>
    </w:p>
    <w:p w:rsidR="00000000" w:rsidDel="00000000" w:rsidP="00000000" w:rsidRDefault="00000000" w:rsidRPr="00000000" w14:paraId="00000027">
      <w:pPr>
        <w:spacing w:after="120" w:before="12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первом этапе был загружен набор данных с ежедневными котировками акций NVIDIA за период с 4 января 2016 года по 31 декабря 2025 года. Столбец Date был преобразован в формат datetime и установлен в качестве индекса временного ряда. Для проверки корректности загрузки были выведены первые строки данных, информация о структуре и размерности.</w:t>
      </w:r>
    </w:p>
    <w:p w:rsidR="00000000" w:rsidDel="00000000" w:rsidP="00000000" w:rsidRDefault="00000000" w:rsidRPr="00000000" w14:paraId="00000028">
      <w:pPr>
        <w:spacing w:after="12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Результаты первичного анализа: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период данных: 2016-01-04 — 2025-12-31;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количество наблюдений: 2514;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количество признаков: 5;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пропуски: отсутствуют.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Результат запуска программы по этапу 1 в виде таблиц: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Первые 5 строк данных: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360" w:lineRule="auto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355.0" w:type="dxa"/>
        <w:jc w:val="left"/>
        <w:tblBorders>
          <w:top w:color="666666" w:space="0" w:sz="6" w:val="single"/>
          <w:left w:color="666666" w:space="0" w:sz="6" w:val="single"/>
          <w:bottom w:color="666666" w:space="0" w:sz="6" w:val="single"/>
          <w:right w:color="666666" w:space="0" w:sz="6" w:val="single"/>
          <w:insideH w:color="666666" w:space="0" w:sz="6" w:val="single"/>
          <w:insideV w:color="666666" w:space="0" w:sz="6" w:val="single"/>
        </w:tblBorders>
        <w:tblLayout w:type="fixed"/>
        <w:tblLook w:val="0600"/>
      </w:tblPr>
      <w:tblGrid>
        <w:gridCol w:w="1665"/>
        <w:gridCol w:w="1305"/>
        <w:gridCol w:w="1305"/>
        <w:gridCol w:w="1305"/>
        <w:gridCol w:w="1305"/>
        <w:gridCol w:w="1470"/>
        <w:tblGridChange w:id="0">
          <w:tblGrid>
            <w:gridCol w:w="1665"/>
            <w:gridCol w:w="1305"/>
            <w:gridCol w:w="1305"/>
            <w:gridCol w:w="1305"/>
            <w:gridCol w:w="1305"/>
            <w:gridCol w:w="147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160" w:line="36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160" w:line="36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Open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160" w:line="36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160" w:line="36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160" w:line="36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Close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160" w:line="36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Volume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160" w:line="36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2016-01-04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160" w:line="36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0.787636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160" w:line="36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0.794710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160" w:line="36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0.781538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160" w:line="36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0.789588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160" w:line="36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358076000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160" w:line="36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2016-01-05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160" w:line="36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0.804467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160" w:line="36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0.815688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160" w:line="36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0.792759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160" w:line="36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0.802272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160" w:line="36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490272000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160" w:line="36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2016-01-06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160" w:line="36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0.789100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160" w:line="36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0.792759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160" w:line="36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0.760073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160" w:line="36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0.769098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160" w:line="36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449344000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160" w:line="36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2016-01-07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160" w:line="36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0.749828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160" w:line="36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0.754950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160" w:line="36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0.728850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160" w:line="36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0.738607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160" w:line="36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645304000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160" w:line="36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2016-01-08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160" w:line="36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0.748120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160" w:line="36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0.748852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160" w:line="36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0.721289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160" w:line="36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0.722752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160" w:line="36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398472000</w:t>
            </w:r>
          </w:p>
        </w:tc>
      </w:tr>
    </w:tbl>
    <w:p w:rsidR="00000000" w:rsidDel="00000000" w:rsidP="00000000" w:rsidRDefault="00000000" w:rsidRPr="00000000" w14:paraId="0000005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36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36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4935.0" w:type="dxa"/>
        <w:jc w:val="left"/>
        <w:tblBorders>
          <w:top w:color="666666" w:space="0" w:sz="6" w:val="single"/>
          <w:left w:color="666666" w:space="0" w:sz="6" w:val="single"/>
          <w:bottom w:color="666666" w:space="0" w:sz="6" w:val="single"/>
          <w:right w:color="666666" w:space="0" w:sz="6" w:val="single"/>
          <w:insideH w:color="666666" w:space="0" w:sz="6" w:val="single"/>
          <w:insideV w:color="666666" w:space="0" w:sz="6" w:val="single"/>
        </w:tblBorders>
        <w:tblLayout w:type="fixed"/>
        <w:tblLook w:val="0600"/>
      </w:tblPr>
      <w:tblGrid>
        <w:gridCol w:w="465"/>
        <w:gridCol w:w="1155"/>
        <w:gridCol w:w="975"/>
        <w:gridCol w:w="1275"/>
        <w:gridCol w:w="1065"/>
        <w:tblGridChange w:id="0">
          <w:tblGrid>
            <w:gridCol w:w="465"/>
            <w:gridCol w:w="1155"/>
            <w:gridCol w:w="975"/>
            <w:gridCol w:w="1275"/>
            <w:gridCol w:w="106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160" w:line="36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160" w:line="36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160" w:line="36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160" w:line="36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Non-Null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160" w:line="36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Dtype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160" w:line="36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160" w:line="36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Open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160" w:line="36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2514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160" w:line="36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non-null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160" w:line="36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float64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160" w:line="36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160" w:line="36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High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160" w:line="36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2514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160" w:line="36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non-null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160" w:line="36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float64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160" w:line="36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160" w:line="36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Low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160" w:line="36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2514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160" w:line="36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non-null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160" w:line="36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float64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160" w:line="36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160" w:line="36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Close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160" w:line="36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2514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160" w:line="36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non-null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160" w:line="36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float64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160" w:line="36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160" w:line="36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Volume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160" w:line="36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2514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160" w:line="36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non-null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160" w:line="36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int64</w:t>
            </w:r>
          </w:p>
        </w:tc>
      </w:tr>
    </w:tbl>
    <w:p w:rsidR="00000000" w:rsidDel="00000000" w:rsidP="00000000" w:rsidRDefault="00000000" w:rsidRPr="00000000" w14:paraId="0000007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360" w:lineRule="auto"/>
        <w:ind w:left="0" w:firstLine="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before="12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Выводы:</w:t>
      </w:r>
    </w:p>
    <w:p w:rsidR="00000000" w:rsidDel="00000000" w:rsidP="00000000" w:rsidRDefault="00000000" w:rsidRPr="00000000" w14:paraId="00000076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Данные загружены без ошибок, структура таблицы соответствует ожидаемой.</w:t>
      </w:r>
    </w:p>
    <w:p w:rsidR="00000000" w:rsidDel="00000000" w:rsidP="00000000" w:rsidRDefault="00000000" w:rsidRPr="00000000" w14:paraId="00000077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наборе присутствуют все основные признаки, характерные для биржевых временных рядов: Open, High, Low, Close и Volume.</w:t>
      </w:r>
    </w:p>
    <w:p w:rsidR="00000000" w:rsidDel="00000000" w:rsidP="00000000" w:rsidRDefault="00000000" w:rsidRPr="00000000" w14:paraId="00000078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Ряд является многомерным и содержит 5 каналов.</w:t>
      </w:r>
    </w:p>
    <w:p w:rsidR="00000000" w:rsidDel="00000000" w:rsidP="00000000" w:rsidRDefault="00000000" w:rsidRPr="00000000" w14:paraId="00000079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Столбец Date успешно преобразован в формат datetime и используется как индекс.</w:t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Ценовые признаки представлены типом float, а объем торгов — типом int64. Это соответствует семантике признаков.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2.3.2. Визуализация исходных данных</w:t>
      </w:r>
    </w:p>
    <w:p w:rsidR="00000000" w:rsidDel="00000000" w:rsidP="00000000" w:rsidRDefault="00000000" w:rsidRPr="00000000" w14:paraId="0000007C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Результаты: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На рис. 1 представлены графики всех временных рядов: цена открытия, максимальная цена, минимальная цена, цена закрытия и объем торгов.</w:t>
      </w:r>
    </w:p>
    <w:p w:rsidR="00000000" w:rsidDel="00000000" w:rsidP="00000000" w:rsidRDefault="00000000" w:rsidRPr="00000000" w14:paraId="0000007E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414838" cy="3278127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4838" cy="32781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Рисунок 1.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Временные ряды акций NVDA (цены и объем торгов)</w:t>
      </w:r>
    </w:p>
    <w:p w:rsidR="00000000" w:rsidDel="00000000" w:rsidP="00000000" w:rsidRDefault="00000000" w:rsidRPr="00000000" w14:paraId="00000080">
      <w:pPr>
        <w:spacing w:line="360" w:lineRule="auto"/>
        <w:ind w:left="1" w:firstLine="709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На рисунке представлены пять графиков: Open, High, Low, Close, Volume. На каждом графике отмечено среднее значение. Наблюдается устойчивый рост цены с 0.8$ до 190$ за период 2016-2025 гг., а также рост объемов торгов.</w:t>
      </w:r>
    </w:p>
    <w:p w:rsidR="00000000" w:rsidDel="00000000" w:rsidP="00000000" w:rsidRDefault="00000000" w:rsidRPr="00000000" w14:paraId="00000081">
      <w:pPr>
        <w:spacing w:line="360" w:lineRule="auto"/>
        <w:ind w:left="1" w:firstLine="709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Детальный график цены закрытия представлен на рисунке 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82">
      <w:pPr>
        <w:spacing w:line="360" w:lineRule="auto"/>
        <w:ind w:left="1" w:firstLine="709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</w:rPr>
        <w:drawing>
          <wp:inline distB="114300" distT="114300" distL="114300" distR="114300">
            <wp:extent cx="4710113" cy="1439636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0113" cy="1439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Рисунок 2.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Цена закрытия</w:t>
      </w:r>
    </w:p>
    <w:p w:rsidR="00000000" w:rsidDel="00000000" w:rsidP="00000000" w:rsidRDefault="00000000" w:rsidRPr="00000000" w14:paraId="00000084">
      <w:pPr>
        <w:spacing w:line="360" w:lineRule="auto"/>
        <w:ind w:left="1" w:firstLine="709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Выводы: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spacing w:line="360" w:lineRule="auto"/>
        <w:ind w:left="1070" w:hanging="36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В данных просматривается устойчивый долгосрочный восходящий тренд. Тренд имеет S-образную форму: сначала медленный рост, затем ускорение, и в последние годы - резкий подъем.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spacing w:line="360" w:lineRule="auto"/>
        <w:ind w:left="1070" w:hanging="36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Явно выраженной сезонности не наблюдается.</w:t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spacing w:line="360" w:lineRule="auto"/>
        <w:ind w:left="1070" w:hanging="36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Поведение ряда регулярно - наблюдается устойчивый рост с периодами коррекции. </w:t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spacing w:line="360" w:lineRule="auto"/>
        <w:ind w:left="1070" w:hanging="36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На графиках отсутствуют разрывы, что подтверждает отсутствие пропущенных значений в данных.</w:t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spacing w:line="360" w:lineRule="auto"/>
        <w:ind w:left="1070" w:hanging="36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Все ценовые каналы (Open, High, Low, Close) ведут себя схожим образом так как они отражают цены одного актива. Канал Volume (объем торгов) демонстрирует рост, коррелирующий с ростом цены, особенно в периоды значительных движений.</w:t>
      </w:r>
    </w:p>
    <w:p w:rsidR="00000000" w:rsidDel="00000000" w:rsidP="00000000" w:rsidRDefault="00000000" w:rsidRPr="00000000" w14:paraId="0000008A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2.3.3. Статистический анализ</w:t>
      </w:r>
    </w:p>
    <w:p w:rsidR="00000000" w:rsidDel="00000000" w:rsidP="00000000" w:rsidRDefault="00000000" w:rsidRPr="00000000" w14:paraId="0000008C">
      <w:pPr>
        <w:spacing w:line="360" w:lineRule="auto"/>
        <w:ind w:left="0" w:firstLine="0"/>
        <w:jc w:val="both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Результаты: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ffffff" w:val="clear"/>
        <w:spacing w:after="240" w:line="360" w:lineRule="auto"/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В таблице 2 представлена описательная статистика для всех признаков.</w:t>
      </w:r>
    </w:p>
    <w:tbl>
      <w:tblPr>
        <w:tblStyle w:val="Table3"/>
        <w:tblW w:w="8782.517262265297" w:type="dxa"/>
        <w:jc w:val="left"/>
        <w:tblBorders>
          <w:top w:color="666666" w:space="0" w:sz="6" w:val="single"/>
          <w:left w:color="666666" w:space="0" w:sz="6" w:val="single"/>
          <w:bottom w:color="666666" w:space="0" w:sz="6" w:val="single"/>
          <w:right w:color="666666" w:space="0" w:sz="6" w:val="single"/>
          <w:insideH w:color="666666" w:space="0" w:sz="6" w:val="single"/>
          <w:insideV w:color="666666" w:space="0" w:sz="6" w:val="single"/>
        </w:tblBorders>
        <w:tblLayout w:type="fixed"/>
        <w:tblLook w:val="0600"/>
      </w:tblPr>
      <w:tblGrid>
        <w:gridCol w:w="983.5493640218051"/>
        <w:gridCol w:w="914.1223500908541"/>
        <w:gridCol w:w="983.5493640218051"/>
        <w:gridCol w:w="983.5493640218051"/>
        <w:gridCol w:w="983.5493640218051"/>
        <w:gridCol w:w="983.5493640218051"/>
        <w:gridCol w:w="983.5493640218051"/>
        <w:gridCol w:w="983.5493640218051"/>
        <w:gridCol w:w="983.5493640218051"/>
        <w:tblGridChange w:id="0">
          <w:tblGrid>
            <w:gridCol w:w="983.5493640218051"/>
            <w:gridCol w:w="914.1223500908541"/>
            <w:gridCol w:w="983.5493640218051"/>
            <w:gridCol w:w="983.5493640218051"/>
            <w:gridCol w:w="983.5493640218051"/>
            <w:gridCol w:w="983.5493640218051"/>
            <w:gridCol w:w="983.5493640218051"/>
            <w:gridCol w:w="983.5493640218051"/>
            <w:gridCol w:w="983.5493640218051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hd w:fill="ffffff" w:val="clear"/>
              <w:spacing w:after="160" w:line="36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Признак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hd w:fill="ffffff" w:val="clear"/>
              <w:spacing w:after="160" w:line="36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hd w:fill="ffffff" w:val="clear"/>
              <w:spacing w:after="160" w:line="36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mean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hd w:fill="ffffff" w:val="clear"/>
              <w:spacing w:after="160" w:line="36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std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hd w:fill="ffffff" w:val="clear"/>
              <w:spacing w:after="160" w:line="36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hd w:fill="ffffff" w:val="clear"/>
              <w:spacing w:after="160" w:line="36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hd w:fill="ffffff" w:val="clear"/>
              <w:spacing w:after="160" w:line="36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hd w:fill="ffffff" w:val="clear"/>
              <w:spacing w:after="160" w:line="36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75%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hd w:fill="ffffff" w:val="clear"/>
              <w:spacing w:after="160" w:line="36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max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hd w:fill="ffffff" w:val="clear"/>
              <w:spacing w:after="160" w:line="36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Open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hd w:fill="ffffff" w:val="clear"/>
              <w:spacing w:after="16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2514.00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hd w:fill="ffffff" w:val="clear"/>
              <w:spacing w:after="16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36.05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hd w:fill="ffffff" w:val="clear"/>
              <w:spacing w:after="16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51.24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hd w:fill="ffffff" w:val="clear"/>
              <w:spacing w:after="16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0.60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hd w:fill="ffffff" w:val="clear"/>
              <w:spacing w:after="16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4.47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hd w:fill="ffffff" w:val="clear"/>
              <w:spacing w:after="16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13.10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hd w:fill="ffffff" w:val="clear"/>
              <w:spacing w:after="16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41.55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hd w:fill="ffffff" w:val="clear"/>
              <w:spacing w:after="16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208.07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hd w:fill="ffffff" w:val="clear"/>
              <w:spacing w:after="160" w:line="36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hd w:fill="ffffff" w:val="clear"/>
              <w:spacing w:after="16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2514.00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hd w:fill="ffffff" w:val="clear"/>
              <w:spacing w:after="16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36.67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hd w:fill="ffffff" w:val="clear"/>
              <w:spacing w:after="16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52.00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hd w:fill="ffffff" w:val="clear"/>
              <w:spacing w:after="16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0.62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hd w:fill="ffffff" w:val="clear"/>
              <w:spacing w:after="16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4.51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hd w:fill="ffffff" w:val="clear"/>
              <w:spacing w:after="16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13.34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hd w:fill="ffffff" w:val="clear"/>
              <w:spacing w:after="16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42.32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hd w:fill="ffffff" w:val="clear"/>
              <w:spacing w:after="16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212.18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hd w:fill="ffffff" w:val="clear"/>
              <w:spacing w:after="160" w:line="36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hd w:fill="ffffff" w:val="clear"/>
              <w:spacing w:after="16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2514.00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hd w:fill="ffffff" w:val="clear"/>
              <w:spacing w:after="16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35.37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hd w:fill="ffffff" w:val="clear"/>
              <w:spacing w:after="16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50.32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hd w:fill="ffffff" w:val="clear"/>
              <w:spacing w:after="16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0.60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hd w:fill="ffffff" w:val="clear"/>
              <w:spacing w:after="16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4.39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hd w:fill="ffffff" w:val="clear"/>
              <w:spacing w:after="16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12.91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hd w:fill="ffffff" w:val="clear"/>
              <w:spacing w:after="16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40.78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hd w:fill="ffffff" w:val="clear"/>
              <w:spacing w:after="16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205.55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hd w:fill="ffffff" w:val="clear"/>
              <w:spacing w:after="160" w:line="36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Close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hd w:fill="ffffff" w:val="clear"/>
              <w:spacing w:after="16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2514.00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hd w:fill="ffffff" w:val="clear"/>
              <w:spacing w:after="16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36.05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hd w:fill="ffffff" w:val="clear"/>
              <w:spacing w:after="16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51.20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hd w:fill="ffffff" w:val="clear"/>
              <w:spacing w:after="16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0.62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hd w:fill="ffffff" w:val="clear"/>
              <w:spacing w:after="16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4.47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hd w:fill="ffffff" w:val="clear"/>
              <w:spacing w:after="16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13.11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hd w:fill="ffffff" w:val="clear"/>
              <w:spacing w:after="16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41.71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hd w:fill="ffffff" w:val="clear"/>
              <w:spacing w:after="16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207.03</w:t>
            </w:r>
          </w:p>
        </w:tc>
      </w:tr>
      <w:tr>
        <w:trPr>
          <w:cantSplit w:val="0"/>
          <w:trHeight w:val="180.68359374999986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hd w:fill="ffffff" w:val="clear"/>
              <w:spacing w:after="160" w:line="36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Volume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hd w:fill="ffffff" w:val="clear"/>
              <w:spacing w:after="16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2514.00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hd w:fill="ffffff" w:val="clear"/>
              <w:spacing w:after="16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4.59×10⁸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hd w:fill="ffffff" w:val="clear"/>
              <w:spacing w:after="16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2.57×10⁸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hd w:fill="ffffff" w:val="clear"/>
              <w:spacing w:after="16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6.55×10⁷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hd w:fill="ffffff" w:val="clear"/>
              <w:spacing w:after="16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2.93×10⁸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hd w:fill="ffffff" w:val="clear"/>
              <w:spacing w:after="16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4.10×10⁸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hd w:fill="ffffff" w:val="clear"/>
              <w:spacing w:after="16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5.60×10⁸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hd w:fill="ffffff" w:val="clear"/>
              <w:spacing w:after="16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3.69×10⁹</w:t>
            </w:r>
          </w:p>
        </w:tc>
      </w:tr>
    </w:tbl>
    <w:p w:rsidR="00000000" w:rsidDel="00000000" w:rsidP="00000000" w:rsidRDefault="00000000" w:rsidRPr="00000000" w14:paraId="000000C4">
      <w:pPr>
        <w:shd w:fill="ffffff" w:val="clear"/>
        <w:spacing w:after="240" w:line="360" w:lineRule="auto"/>
        <w:ind w:firstLine="720"/>
        <w:jc w:val="center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Таблица 2</w:t>
      </w:r>
    </w:p>
    <w:p w:rsidR="00000000" w:rsidDel="00000000" w:rsidP="00000000" w:rsidRDefault="00000000" w:rsidRPr="00000000" w14:paraId="000000C5">
      <w:pPr>
        <w:shd w:fill="ffffff" w:val="clear"/>
        <w:spacing w:after="240" w:line="360" w:lineRule="auto"/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Данные представлены с ежедневной периодичностью. Интервалы между наблюдениями равномерны по торговым дням, так как пропуски отсутствуют. Есть пропуски выходных и праздников, что нормально для биржевых данных.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ffffff" w:val="clear"/>
        <w:spacing w:after="240"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Выводы:</w:t>
      </w:r>
    </w:p>
    <w:p w:rsidR="00000000" w:rsidDel="00000000" w:rsidP="00000000" w:rsidRDefault="00000000" w:rsidRPr="00000000" w14:paraId="000000C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360" w:lineRule="auto"/>
        <w:ind w:left="720" w:hanging="360"/>
        <w:rPr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Все значения находятся в допустимых пределах. </w:t>
      </w:r>
    </w:p>
    <w:p w:rsidR="00000000" w:rsidDel="00000000" w:rsidP="00000000" w:rsidRDefault="00000000" w:rsidRPr="00000000" w14:paraId="000000C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360" w:lineRule="auto"/>
        <w:ind w:left="720" w:hanging="360"/>
        <w:rPr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Все ценовые признаки имеют выраженную правостороннюю асимметрию. Это указывает на необходимость нелинейных преобразований при построении моделей, чувствительных к распределению данных.</w:t>
      </w:r>
    </w:p>
    <w:p w:rsidR="00000000" w:rsidDel="00000000" w:rsidP="00000000" w:rsidRDefault="00000000" w:rsidRPr="00000000" w14:paraId="000000C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Интервалы между наблюдениями соответствуют торговым дням. </w:t>
      </w:r>
    </w:p>
    <w:p w:rsidR="00000000" w:rsidDel="00000000" w:rsidP="00000000" w:rsidRDefault="00000000" w:rsidRPr="00000000" w14:paraId="000000C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Стандартное отклонение ценовых признаков превышает среднее значение, что указывает на очень высокую волатильность. Объем торгов имеет стандартное отклонение 257 млн при среднем 459 млн — также высокая вариабельность. Разброс между каналами существенно различается, что требует масштабирования.</w:t>
      </w:r>
    </w:p>
    <w:p w:rsidR="00000000" w:rsidDel="00000000" w:rsidP="00000000" w:rsidRDefault="00000000" w:rsidRPr="00000000" w14:paraId="000000C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Все каналы имеют ненулевое стандартное отклонение, все каналы информативны для анализа.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highlight w:val="white"/>
        </w:rPr>
      </w:pPr>
      <w:bookmarkStart w:colFirst="0" w:colLast="0" w:name="_ysjc1aqt4w3d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highlight w:val="white"/>
          <w:rtl w:val="0"/>
        </w:rPr>
        <w:t xml:space="preserve">2.3.4. Анализ пропусков и выбросов</w:t>
      </w:r>
    </w:p>
    <w:p w:rsidR="00000000" w:rsidDel="00000000" w:rsidP="00000000" w:rsidRDefault="00000000" w:rsidRPr="00000000" w14:paraId="000000C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ind w:firstLine="72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Как было отмечено ранее, пропущенных значений в наборе данных нет. Это важно для временных рядов, так как пропуски могут нарушить непрерывность временной последовательности и повлиять на качество прогнозирования.</w:t>
      </w:r>
    </w:p>
    <w:p w:rsidR="00000000" w:rsidDel="00000000" w:rsidP="00000000" w:rsidRDefault="00000000" w:rsidRPr="00000000" w14:paraId="000000C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Результаты:</w:t>
      </w:r>
    </w:p>
    <w:p w:rsidR="00000000" w:rsidDel="00000000" w:rsidP="00000000" w:rsidRDefault="00000000" w:rsidRPr="00000000" w14:paraId="000000C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В таблице 3 представлено количество выбросов по признакам.</w:t>
      </w:r>
    </w:p>
    <w:tbl>
      <w:tblPr>
        <w:tblStyle w:val="Table4"/>
        <w:tblW w:w="5445.0" w:type="dxa"/>
        <w:jc w:val="left"/>
        <w:tblBorders>
          <w:top w:color="666666" w:space="0" w:sz="6" w:val="single"/>
          <w:left w:color="666666" w:space="0" w:sz="6" w:val="single"/>
          <w:bottom w:color="666666" w:space="0" w:sz="6" w:val="single"/>
          <w:right w:color="666666" w:space="0" w:sz="6" w:val="single"/>
          <w:insideH w:color="666666" w:space="0" w:sz="6" w:val="single"/>
          <w:insideV w:color="666666" w:space="0" w:sz="6" w:val="single"/>
        </w:tblBorders>
        <w:tblLayout w:type="fixed"/>
        <w:tblLook w:val="0600"/>
      </w:tblPr>
      <w:tblGrid>
        <w:gridCol w:w="1275"/>
        <w:gridCol w:w="2925"/>
        <w:gridCol w:w="1245"/>
        <w:tblGridChange w:id="0">
          <w:tblGrid>
            <w:gridCol w:w="1275"/>
            <w:gridCol w:w="2925"/>
            <w:gridCol w:w="124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60" w:line="36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Признак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60" w:line="36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Количество выбросов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60" w:line="36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Доля,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60" w:line="36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Open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60" w:line="36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60" w:line="36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0.7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60" w:line="36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60" w:line="36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60" w:line="36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0.6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60" w:line="36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60" w:line="36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60" w:line="36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0.8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60" w:line="36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Close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60" w:line="36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60" w:line="36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0.6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60" w:line="36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Volume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60" w:line="36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60" w:line="36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1.4</w:t>
            </w:r>
          </w:p>
        </w:tc>
      </w:tr>
    </w:tbl>
    <w:p w:rsidR="00000000" w:rsidDel="00000000" w:rsidP="00000000" w:rsidRDefault="00000000" w:rsidRPr="00000000" w14:paraId="000000E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jc w:val="center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Таблица 3</w:t>
      </w:r>
    </w:p>
    <w:p w:rsidR="00000000" w:rsidDel="00000000" w:rsidP="00000000" w:rsidRDefault="00000000" w:rsidRPr="00000000" w14:paraId="000000E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На рисунке 3 представлены диаграммы размаха (boxplot) для каждого признака.</w:t>
      </w:r>
    </w:p>
    <w:p w:rsidR="00000000" w:rsidDel="00000000" w:rsidP="00000000" w:rsidRDefault="00000000" w:rsidRPr="00000000" w14:paraId="000000E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</w:rPr>
        <w:drawing>
          <wp:inline distB="114300" distT="114300" distL="114300" distR="114300">
            <wp:extent cx="5731200" cy="30353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Рисунок 3. Диаграммы размаха по каждому каналу</w:t>
      </w:r>
    </w:p>
    <w:p w:rsidR="00000000" w:rsidDel="00000000" w:rsidP="00000000" w:rsidRDefault="00000000" w:rsidRPr="00000000" w14:paraId="000000E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Общая диаграмма размаха для всех каналов представлена на рисунке 4.</w:t>
      </w:r>
    </w:p>
    <w:p w:rsidR="00000000" w:rsidDel="00000000" w:rsidP="00000000" w:rsidRDefault="00000000" w:rsidRPr="00000000" w14:paraId="000000E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</w:rPr>
        <w:drawing>
          <wp:inline distB="114300" distT="114300" distL="114300" distR="114300">
            <wp:extent cx="5731200" cy="28194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ind w:firstLine="708.6614173228347"/>
        <w:jc w:val="center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Рисунок 4. Общая диаграмма размаха для всех каналов</w:t>
      </w:r>
    </w:p>
    <w:p w:rsidR="00000000" w:rsidDel="00000000" w:rsidP="00000000" w:rsidRDefault="00000000" w:rsidRPr="00000000" w14:paraId="000000E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jc w:val="both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Выводы:</w:t>
      </w:r>
    </w:p>
    <w:p w:rsidR="00000000" w:rsidDel="00000000" w:rsidP="00000000" w:rsidRDefault="00000000" w:rsidRPr="00000000" w14:paraId="000000EC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360" w:lineRule="auto"/>
        <w:ind w:left="720" w:hanging="360"/>
        <w:rPr>
          <w:rFonts w:ascii="Times New Roman" w:cs="Times New Roman" w:eastAsia="Times New Roman" w:hAnsi="Times New Roman"/>
          <w:sz w:val="25"/>
          <w:szCs w:val="2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Пропуски отсутствуют во всех каналах, что является значительным преимуществом набора данных.</w:t>
      </w:r>
    </w:p>
    <w:p w:rsidR="00000000" w:rsidDel="00000000" w:rsidP="00000000" w:rsidRDefault="00000000" w:rsidRPr="00000000" w14:paraId="000000ED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360" w:lineRule="auto"/>
        <w:ind w:left="720" w:hanging="360"/>
        <w:rPr>
          <w:rFonts w:ascii="Times New Roman" w:cs="Times New Roman" w:eastAsia="Times New Roman" w:hAnsi="Times New Roman"/>
          <w:sz w:val="25"/>
          <w:szCs w:val="2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Выбросы присутствуют во всех каналах, но их доля невелика:</w:t>
      </w:r>
    </w:p>
    <w:p w:rsidR="00000000" w:rsidDel="00000000" w:rsidP="00000000" w:rsidRDefault="00000000" w:rsidRPr="00000000" w14:paraId="000000EE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360" w:lineRule="auto"/>
        <w:ind w:left="1440" w:hanging="360"/>
        <w:rPr>
          <w:rFonts w:ascii="Times New Roman" w:cs="Times New Roman" w:eastAsia="Times New Roman" w:hAnsi="Times New Roman"/>
          <w:sz w:val="25"/>
          <w:szCs w:val="2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Ценовые признаки (Open, High, Low, Close) содержат 0.6-0.8% выбросов</w:t>
      </w:r>
    </w:p>
    <w:p w:rsidR="00000000" w:rsidDel="00000000" w:rsidP="00000000" w:rsidRDefault="00000000" w:rsidRPr="00000000" w14:paraId="000000EF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360" w:lineRule="auto"/>
        <w:ind w:left="1440" w:hanging="360"/>
        <w:rPr>
          <w:rFonts w:ascii="Times New Roman" w:cs="Times New Roman" w:eastAsia="Times New Roman" w:hAnsi="Times New Roman"/>
          <w:sz w:val="25"/>
          <w:szCs w:val="2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Объем торгов (Volume) содержит несколько больше выбросов — 1.4%</w:t>
      </w:r>
    </w:p>
    <w:p w:rsidR="00000000" w:rsidDel="00000000" w:rsidP="00000000" w:rsidRDefault="00000000" w:rsidRPr="00000000" w14:paraId="000000F0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360" w:lineRule="auto"/>
        <w:ind w:left="720" w:hanging="360"/>
        <w:rPr>
          <w:rFonts w:ascii="Times New Roman" w:cs="Times New Roman" w:eastAsia="Times New Roman" w:hAnsi="Times New Roman"/>
          <w:sz w:val="25"/>
          <w:szCs w:val="2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Такое небольшое количество выбросов свидетельствует о высоком качестве данных. Это характерно для финансовых данных, где аномальные движения обычно связаны с важными рыночными событиями</w:t>
      </w:r>
    </w:p>
    <w:p w:rsidR="00000000" w:rsidDel="00000000" w:rsidP="00000000" w:rsidRDefault="00000000" w:rsidRPr="00000000" w14:paraId="000000F1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360" w:lineRule="auto"/>
        <w:ind w:left="720" w:hanging="360"/>
        <w:rPr>
          <w:rFonts w:ascii="Times New Roman" w:cs="Times New Roman" w:eastAsia="Times New Roman" w:hAnsi="Times New Roman"/>
          <w:sz w:val="25"/>
          <w:szCs w:val="2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Рекомендации по обработке:</w:t>
      </w:r>
    </w:p>
    <w:p w:rsidR="00000000" w:rsidDel="00000000" w:rsidP="00000000" w:rsidRDefault="00000000" w:rsidRPr="00000000" w14:paraId="000000F2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360" w:lineRule="auto"/>
        <w:ind w:left="1440" w:hanging="36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Пропуски: Обработка не требуется.</w:t>
      </w:r>
    </w:p>
    <w:p w:rsidR="00000000" w:rsidDel="00000000" w:rsidP="00000000" w:rsidRDefault="00000000" w:rsidRPr="00000000" w14:paraId="000000F3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ind w:left="1440" w:hanging="36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Выбросы: Для финансовых данных выбросы не являются ошибками, а представляют собой важную информацию о рыночных аномалиях. Удалять их не рекомендуется, так как они могут содержать ценную информацию для модели.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highlight w:val="white"/>
        </w:rPr>
      </w:pPr>
      <w:bookmarkStart w:colFirst="0" w:colLast="0" w:name="_ce7t6spavwre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highlight w:val="white"/>
          <w:rtl w:val="0"/>
        </w:rPr>
        <w:t xml:space="preserve">2.3.5. Анализ диапазонов значений</w:t>
      </w:r>
    </w:p>
    <w:p w:rsidR="00000000" w:rsidDel="00000000" w:rsidP="00000000" w:rsidRDefault="00000000" w:rsidRPr="00000000" w14:paraId="000000F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Результаты:</w:t>
      </w:r>
    </w:p>
    <w:p w:rsidR="00000000" w:rsidDel="00000000" w:rsidP="00000000" w:rsidRDefault="00000000" w:rsidRPr="00000000" w14:paraId="000000F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ind w:left="0" w:firstLine="72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На рисунках 3 и 4 представлены boxplot-диаграммы, показывающие распределение и размах цен.</w:t>
      </w:r>
    </w:p>
    <w:p w:rsidR="00000000" w:rsidDel="00000000" w:rsidP="00000000" w:rsidRDefault="00000000" w:rsidRPr="00000000" w14:paraId="000000F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Выводы:</w:t>
      </w:r>
    </w:p>
    <w:p w:rsidR="00000000" w:rsidDel="00000000" w:rsidP="00000000" w:rsidRDefault="00000000" w:rsidRPr="00000000" w14:paraId="000000F8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Ценовые признаки (Open, High, Low, Close) имеют схожие диапазоны (от ~0.8 до ~212). Признак Volume имеет существенно другой масштаб (от 65 млн до 3.7 млрд). Это различие требует масштабирования.</w:t>
      </w:r>
    </w:p>
    <w:p w:rsidR="00000000" w:rsidDel="00000000" w:rsidP="00000000" w:rsidRDefault="00000000" w:rsidRPr="00000000" w14:paraId="000000F9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Для моделей, чувствительных к масштабу признаков, необходимо привести все признаки к единому масштабу. Рекомендуется:</w:t>
      </w:r>
    </w:p>
    <w:p w:rsidR="00000000" w:rsidDel="00000000" w:rsidP="00000000" w:rsidRDefault="00000000" w:rsidRPr="00000000" w14:paraId="000000FA">
      <w:pPr>
        <w:numPr>
          <w:ilvl w:val="1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Стандартизация: Приведение к нулевому среднему и единичному стандартному отклонению.</w:t>
      </w:r>
    </w:p>
    <w:p w:rsidR="00000000" w:rsidDel="00000000" w:rsidP="00000000" w:rsidRDefault="00000000" w:rsidRPr="00000000" w14:paraId="000000FB">
      <w:pPr>
        <w:numPr>
          <w:ilvl w:val="1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Или нормализация: Приведение к диапазону [0, 1].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highlight w:val="white"/>
        </w:rPr>
      </w:pPr>
      <w:bookmarkStart w:colFirst="0" w:colLast="0" w:name="_aacyfhqulryn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highlight w:val="white"/>
          <w:rtl w:val="0"/>
        </w:rPr>
        <w:t xml:space="preserve">2.3.6. Корреляционный анализ</w:t>
      </w:r>
    </w:p>
    <w:p w:rsidR="00000000" w:rsidDel="00000000" w:rsidP="00000000" w:rsidRDefault="00000000" w:rsidRPr="00000000" w14:paraId="000000F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Результаты:</w:t>
      </w:r>
    </w:p>
    <w:p w:rsidR="00000000" w:rsidDel="00000000" w:rsidP="00000000" w:rsidRDefault="00000000" w:rsidRPr="00000000" w14:paraId="000000F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На рисунке 5 представлена корреляционная матрица всех признаков.</w:t>
      </w:r>
    </w:p>
    <w:p w:rsidR="00000000" w:rsidDel="00000000" w:rsidP="00000000" w:rsidRDefault="00000000" w:rsidRPr="00000000" w14:paraId="000000F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</w:rPr>
        <w:drawing>
          <wp:inline distB="114300" distT="114300" distL="114300" distR="114300">
            <wp:extent cx="5731200" cy="50292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2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jc w:val="center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Рисунок 5. Тепловая карта корреляций</w:t>
      </w:r>
    </w:p>
    <w:p w:rsidR="00000000" w:rsidDel="00000000" w:rsidP="00000000" w:rsidRDefault="00000000" w:rsidRPr="00000000" w14:paraId="0000010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В таблице 4 представлена корреляция признаков с ценой закрытия (Close).</w:t>
      </w:r>
    </w:p>
    <w:p w:rsidR="00000000" w:rsidDel="00000000" w:rsidP="00000000" w:rsidRDefault="00000000" w:rsidRPr="00000000" w14:paraId="0000010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3885.0" w:type="dxa"/>
        <w:jc w:val="left"/>
        <w:tblBorders>
          <w:top w:color="666666" w:space="0" w:sz="6" w:val="single"/>
          <w:left w:color="666666" w:space="0" w:sz="6" w:val="single"/>
          <w:bottom w:color="666666" w:space="0" w:sz="6" w:val="single"/>
          <w:right w:color="666666" w:space="0" w:sz="6" w:val="single"/>
          <w:insideH w:color="666666" w:space="0" w:sz="6" w:val="single"/>
          <w:insideV w:color="666666" w:space="0" w:sz="6" w:val="single"/>
        </w:tblBorders>
        <w:tblLayout w:type="fixed"/>
        <w:tblLook w:val="0600"/>
      </w:tblPr>
      <w:tblGrid>
        <w:gridCol w:w="1275"/>
        <w:gridCol w:w="2610"/>
        <w:tblGridChange w:id="0">
          <w:tblGrid>
            <w:gridCol w:w="1275"/>
            <w:gridCol w:w="261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60" w:line="36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Признак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60" w:line="36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Корреляция с Close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60" w:line="36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Close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60" w:line="36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1.000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60" w:line="36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60" w:line="36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0.9998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60" w:line="36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60" w:line="36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0.9998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60" w:line="36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Open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60" w:line="36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0.9996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60" w:line="36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Volume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60" w:line="36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-0.364</w:t>
            </w:r>
          </w:p>
        </w:tc>
      </w:tr>
    </w:tbl>
    <w:p w:rsidR="00000000" w:rsidDel="00000000" w:rsidP="00000000" w:rsidRDefault="00000000" w:rsidRPr="00000000" w14:paraId="0000010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jc w:val="center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Таблица 4. Корреляция признаков с ценой закрытия (Close)</w:t>
      </w:r>
    </w:p>
    <w:p w:rsidR="00000000" w:rsidDel="00000000" w:rsidP="00000000" w:rsidRDefault="00000000" w:rsidRPr="00000000" w14:paraId="0000011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Выводы:</w:t>
      </w:r>
    </w:p>
    <w:p w:rsidR="00000000" w:rsidDel="00000000" w:rsidP="00000000" w:rsidRDefault="00000000" w:rsidRPr="00000000" w14:paraId="00000112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Корреляция между Open, High, Low и Close практически равна 1. Это указывает на дублирование информации - эти признаки тесно связаны между собой, так как представляют цены одного актива в один и тот же день. </w:t>
      </w:r>
    </w:p>
    <w:p w:rsidR="00000000" w:rsidDel="00000000" w:rsidP="00000000" w:rsidRDefault="00000000" w:rsidRPr="00000000" w14:paraId="00000113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Volume имеет умеренную отрицательную корреляцию с Close. Это означает, что в данном наборе данных наблюдается обратная зависимость: при росте цены объем торгов имеет тенденцию к снижению.</w:t>
      </w:r>
    </w:p>
    <w:p w:rsidR="00000000" w:rsidDel="00000000" w:rsidP="00000000" w:rsidRDefault="00000000" w:rsidRPr="00000000" w14:paraId="00000114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Высокая корреляция между ценовыми признаками создает проблему мультиколлинеарности. При использовании линейных моделей это может привести к нестабильности оценок коэффициентов.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highlight w:val="white"/>
        </w:rPr>
      </w:pPr>
      <w:bookmarkStart w:colFirst="0" w:colLast="0" w:name="_6jr3up30olmm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highlight w:val="white"/>
          <w:rtl w:val="0"/>
        </w:rPr>
        <w:t xml:space="preserve">2.3.7. Поиск и анализ шумов</w:t>
      </w:r>
    </w:p>
    <w:p w:rsidR="00000000" w:rsidDel="00000000" w:rsidP="00000000" w:rsidRDefault="00000000" w:rsidRPr="00000000" w14:paraId="0000011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ind w:firstLine="72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Для анализа шума была выполнена декомпозиция временного ряда цены закрытия на три компоненты: тренд, сезонность и остаток (шум). Использовалась аддитивная модель с периодом 252 дня.</w:t>
      </w:r>
    </w:p>
    <w:p w:rsidR="00000000" w:rsidDel="00000000" w:rsidP="00000000" w:rsidRDefault="00000000" w:rsidRPr="00000000" w14:paraId="0000011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Результаты:</w:t>
      </w:r>
    </w:p>
    <w:p w:rsidR="00000000" w:rsidDel="00000000" w:rsidP="00000000" w:rsidRDefault="00000000" w:rsidRPr="00000000" w14:paraId="0000011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На рисунке 6 представлена декомпозиция временного ряда (тренд, сезонность, шум).</w:t>
      </w:r>
    </w:p>
    <w:p w:rsidR="00000000" w:rsidDel="00000000" w:rsidP="00000000" w:rsidRDefault="00000000" w:rsidRPr="00000000" w14:paraId="0000011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</w:rPr>
        <w:drawing>
          <wp:inline distB="114300" distT="114300" distL="114300" distR="114300">
            <wp:extent cx="5731200" cy="42545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5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jc w:val="center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Рисунок 6. Декомпозиция временного ряда (тренд, сезонность, шум)</w:t>
      </w:r>
    </w:p>
    <w:p w:rsidR="00000000" w:rsidDel="00000000" w:rsidP="00000000" w:rsidRDefault="00000000" w:rsidRPr="00000000" w14:paraId="0000011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ind w:firstLine="72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На рисунке представлены четыре графика: исходный ряд, выделенный тренд, сезонная компонента и остаточная компонента.</w:t>
      </w:r>
    </w:p>
    <w:p w:rsidR="00000000" w:rsidDel="00000000" w:rsidP="00000000" w:rsidRDefault="00000000" w:rsidRPr="00000000" w14:paraId="0000011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На рисунке 7 представлена гистограмма распределения остатков.</w:t>
      </w:r>
    </w:p>
    <w:p w:rsidR="00000000" w:rsidDel="00000000" w:rsidP="00000000" w:rsidRDefault="00000000" w:rsidRPr="00000000" w14:paraId="0000011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rPr>
          <w:rFonts w:ascii="Times New Roman" w:cs="Times New Roman" w:eastAsia="Times New Roman" w:hAnsi="Times New Roman"/>
          <w:color w:val="1783ff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783ff"/>
          <w:sz w:val="28"/>
          <w:szCs w:val="28"/>
          <w:highlight w:val="white"/>
        </w:rPr>
        <w:drawing>
          <wp:inline distB="114300" distT="114300" distL="114300" distR="114300">
            <wp:extent cx="5731200" cy="23368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jc w:val="center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Рисунок 7. Гистограмма распределения остатков</w:t>
      </w:r>
    </w:p>
    <w:p w:rsidR="00000000" w:rsidDel="00000000" w:rsidP="00000000" w:rsidRDefault="00000000" w:rsidRPr="00000000" w14:paraId="0000011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Выводы:</w:t>
      </w:r>
    </w:p>
    <w:p w:rsidR="00000000" w:rsidDel="00000000" w:rsidP="00000000" w:rsidRDefault="00000000" w:rsidRPr="00000000" w14:paraId="00000120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360" w:lineRule="auto"/>
        <w:ind w:left="720" w:hanging="360"/>
        <w:rPr>
          <w:rFonts w:ascii="Times New Roman" w:cs="Times New Roman" w:eastAsia="Times New Roman" w:hAnsi="Times New Roman"/>
          <w:sz w:val="25"/>
          <w:szCs w:val="2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Тренд демонстрирует устойчивый восходящий характер, интенсивность усиливается в последние годы. Это отражает фундаментальный рост стоимости компании NVIDIA.</w:t>
      </w:r>
    </w:p>
    <w:p w:rsidR="00000000" w:rsidDel="00000000" w:rsidP="00000000" w:rsidRDefault="00000000" w:rsidRPr="00000000" w14:paraId="00000121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360" w:lineRule="auto"/>
        <w:ind w:left="720" w:hanging="360"/>
        <w:rPr>
          <w:rFonts w:ascii="Times New Roman" w:cs="Times New Roman" w:eastAsia="Times New Roman" w:hAnsi="Times New Roman"/>
          <w:sz w:val="25"/>
          <w:szCs w:val="2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Четко выраженной сезонности не обнаружено. </w:t>
      </w:r>
    </w:p>
    <w:p w:rsidR="00000000" w:rsidDel="00000000" w:rsidP="00000000" w:rsidRDefault="00000000" w:rsidRPr="00000000" w14:paraId="00000122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360" w:lineRule="auto"/>
        <w:ind w:left="720" w:hanging="360"/>
        <w:rPr>
          <w:rFonts w:ascii="Times New Roman" w:cs="Times New Roman" w:eastAsia="Times New Roman" w:hAnsi="Times New Roman"/>
          <w:sz w:val="25"/>
          <w:szCs w:val="2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Значение SNR: 16.20 дБ относится к категории хорошо. Это означает, что сигнал доминирует над шумом. Данные пригодны для анализа, но для повышения точности прогнозных моделей можно применить методы фильтрации.</w:t>
      </w:r>
    </w:p>
    <w:p w:rsidR="00000000" w:rsidDel="00000000" w:rsidP="00000000" w:rsidRDefault="00000000" w:rsidRPr="00000000" w14:paraId="00000123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360" w:lineRule="auto"/>
        <w:ind w:left="720" w:hanging="360"/>
        <w:rPr>
          <w:rFonts w:ascii="Times New Roman" w:cs="Times New Roman" w:eastAsia="Times New Roman" w:hAnsi="Times New Roman"/>
          <w:sz w:val="25"/>
          <w:szCs w:val="2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Гистограмма показывает, что остатки имеют форму с тяжелыми хвостами, что характерно для финансовых временных рядов.</w:t>
      </w:r>
    </w:p>
    <w:p w:rsidR="00000000" w:rsidDel="00000000" w:rsidP="00000000" w:rsidRDefault="00000000" w:rsidRPr="00000000" w14:paraId="00000124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ind w:left="720" w:hanging="360"/>
        <w:rPr>
          <w:rFonts w:ascii="Times New Roman" w:cs="Times New Roman" w:eastAsia="Times New Roman" w:hAnsi="Times New Roman"/>
          <w:sz w:val="25"/>
          <w:szCs w:val="2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При необходимости сглаживания можно проверить скользящее среднее или медианный фильтр, но без агрессивной очистки.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6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  <w:highlight w:val="white"/>
        </w:rPr>
      </w:pPr>
      <w:bookmarkStart w:colFirst="0" w:colLast="0" w:name="_u1s858p7bhkp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highlight w:val="white"/>
          <w:rtl w:val="0"/>
        </w:rPr>
        <w:t xml:space="preserve">2.4. Выводы по разделу</w:t>
      </w:r>
    </w:p>
    <w:p w:rsidR="00000000" w:rsidDel="00000000" w:rsidP="00000000" w:rsidRDefault="00000000" w:rsidRPr="00000000" w14:paraId="0000012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ind w:firstLine="72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Краткая характеристика набора данных: Набор данных содержит ежедневные котировки акций NVIDIA за период с 2016 по 2025 год. Всего 2514 наблюдений, 5 признаков (Open, High, Low, Close, Volume). Набор не содержит пропусков.</w:t>
      </w:r>
    </w:p>
    <w:p w:rsidR="00000000" w:rsidDel="00000000" w:rsidP="00000000" w:rsidRDefault="00000000" w:rsidRPr="00000000" w14:paraId="0000012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highlight w:val="white"/>
          <w:rtl w:val="0"/>
        </w:rPr>
        <w:t xml:space="preserve">В таблице 6 представлены выявленные особенности данных.</w:t>
      </w:r>
      <w:r w:rsidDel="00000000" w:rsidR="00000000" w:rsidRPr="00000000">
        <w:rPr>
          <w:rtl w:val="0"/>
        </w:rPr>
      </w:r>
    </w:p>
    <w:tbl>
      <w:tblPr>
        <w:tblStyle w:val="Table6"/>
        <w:tblW w:w="8505.0" w:type="dxa"/>
        <w:jc w:val="left"/>
        <w:tblBorders>
          <w:top w:color="666666" w:space="0" w:sz="6" w:val="single"/>
          <w:left w:color="666666" w:space="0" w:sz="6" w:val="single"/>
          <w:bottom w:color="666666" w:space="0" w:sz="6" w:val="single"/>
          <w:right w:color="666666" w:space="0" w:sz="6" w:val="single"/>
          <w:insideH w:color="666666" w:space="0" w:sz="6" w:val="single"/>
          <w:insideV w:color="666666" w:space="0" w:sz="6" w:val="single"/>
        </w:tblBorders>
        <w:tblLayout w:type="fixed"/>
        <w:tblLook w:val="0600"/>
      </w:tblPr>
      <w:tblGrid>
        <w:gridCol w:w="2865"/>
        <w:gridCol w:w="2160"/>
        <w:gridCol w:w="3480"/>
        <w:tblGridChange w:id="0">
          <w:tblGrid>
            <w:gridCol w:w="2865"/>
            <w:gridCol w:w="2160"/>
            <w:gridCol w:w="348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60" w:line="36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60" w:line="36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60" w:line="36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Интерпретация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60" w:line="36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Количество записей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60" w:line="36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2514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60" w:line="36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Достаточный объем для обучения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60" w:line="36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Пропуски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60" w:line="36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60" w:line="36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Высокое качество данных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60" w:line="36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Асимметрия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60" w:line="36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среднее &gt; медианы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60" w:line="36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Правосторонняя асимметрия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60" w:line="36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Выбросы (Close)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60" w:line="36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14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60" w:line="36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Очень низкая доля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60" w:line="36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Корреляция Close-Volume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60" w:line="36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-0.364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60" w:line="36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Умеренная отрицательная связь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60" w:line="36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Средний дневной размах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60" w:line="36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1.28$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60" w:line="36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Умеренная волатильность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60" w:line="36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Среднее изменение Close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60" w:line="36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0.27%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60" w:line="36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Положительная доходность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60" w:line="36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SNR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60" w:line="36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16.20 дБ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60" w:line="36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Хорошо (сигнал доминирует)</w:t>
            </w:r>
          </w:p>
        </w:tc>
      </w:tr>
    </w:tbl>
    <w:p w:rsidR="00000000" w:rsidDel="00000000" w:rsidP="00000000" w:rsidRDefault="00000000" w:rsidRPr="00000000" w14:paraId="0000014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Таблица 6. Выявленные особенности данных</w:t>
      </w:r>
    </w:p>
    <w:p w:rsidR="00000000" w:rsidDel="00000000" w:rsidP="00000000" w:rsidRDefault="00000000" w:rsidRPr="00000000" w14:paraId="0000014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ind w:firstLine="72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Данные пригодны для решения задачи прогнозирования. Высокое качество, достаточный объем и хорошее отношение сигнал/шум позволяют обучать модели прогнозирования.</w:t>
      </w:r>
    </w:p>
    <w:p w:rsidR="00000000" w:rsidDel="00000000" w:rsidP="00000000" w:rsidRDefault="00000000" w:rsidRPr="00000000" w14:paraId="0000014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ind w:firstLine="72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На основе выявленных особенностей данных сформулированы следующие рекомендации по предварительной обработке перед построением моделей прогнозирования, представленные в таблице 7.</w:t>
      </w:r>
    </w:p>
    <w:tbl>
      <w:tblPr>
        <w:tblStyle w:val="Table7"/>
        <w:tblW w:w="8460.0" w:type="dxa"/>
        <w:jc w:val="left"/>
        <w:tblBorders>
          <w:top w:color="666666" w:space="0" w:sz="6" w:val="single"/>
          <w:left w:color="666666" w:space="0" w:sz="6" w:val="single"/>
          <w:bottom w:color="666666" w:space="0" w:sz="6" w:val="single"/>
          <w:right w:color="666666" w:space="0" w:sz="6" w:val="single"/>
          <w:insideH w:color="666666" w:space="0" w:sz="6" w:val="single"/>
          <w:insideV w:color="666666" w:space="0" w:sz="6" w:val="single"/>
        </w:tblBorders>
        <w:tblLayout w:type="fixed"/>
        <w:tblLook w:val="0600"/>
      </w:tblPr>
      <w:tblGrid>
        <w:gridCol w:w="540"/>
        <w:gridCol w:w="2325"/>
        <w:gridCol w:w="2895"/>
        <w:gridCol w:w="2700"/>
        <w:tblGridChange w:id="0">
          <w:tblGrid>
            <w:gridCol w:w="540"/>
            <w:gridCol w:w="2325"/>
            <w:gridCol w:w="2895"/>
            <w:gridCol w:w="270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60" w:before="300" w:line="360" w:lineRule="auto"/>
              <w:rPr>
                <w:rFonts w:ascii="Trebuchet MS" w:cs="Trebuchet MS" w:eastAsia="Trebuchet MS" w:hAnsi="Trebuchet M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60" w:before="300" w:line="360" w:lineRule="auto"/>
              <w:rPr>
                <w:rFonts w:ascii="Trebuchet MS" w:cs="Trebuchet MS" w:eastAsia="Trebuchet MS" w:hAnsi="Trebuchet M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Рекомендация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60" w:before="300" w:line="360" w:lineRule="auto"/>
              <w:rPr>
                <w:rFonts w:ascii="Trebuchet MS" w:cs="Trebuchet MS" w:eastAsia="Trebuchet MS" w:hAnsi="Trebuchet M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Обоснование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60" w:before="300" w:line="360" w:lineRule="auto"/>
              <w:rPr>
                <w:rFonts w:ascii="Trebuchet MS" w:cs="Trebuchet MS" w:eastAsia="Trebuchet MS" w:hAnsi="Trebuchet M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Предлагаемые методы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60" w:before="300" w:line="360" w:lineRule="auto"/>
              <w:rPr>
                <w:rFonts w:ascii="Trebuchet MS" w:cs="Trebuchet MS" w:eastAsia="Trebuchet MS" w:hAnsi="Trebuchet M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60" w:before="300" w:line="360" w:lineRule="auto"/>
              <w:rPr>
                <w:rFonts w:ascii="Trebuchet MS" w:cs="Trebuchet MS" w:eastAsia="Trebuchet MS" w:hAnsi="Trebuchet M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highlight w:val="white"/>
                <w:rtl w:val="0"/>
              </w:rPr>
              <w:t xml:space="preserve">Фильтрация шума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60" w:before="300" w:line="360" w:lineRule="auto"/>
              <w:rPr>
                <w:rFonts w:ascii="Trebuchet MS" w:cs="Trebuchet MS" w:eastAsia="Trebuchet MS" w:hAnsi="Trebuchet M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highlight w:val="white"/>
                <w:rtl w:val="0"/>
              </w:rPr>
              <w:t xml:space="preserve">SNR = 16.20 дБ (хороший уровень)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60" w:before="300" w:line="360" w:lineRule="auto"/>
              <w:rPr>
                <w:rFonts w:ascii="Trebuchet MS" w:cs="Trebuchet MS" w:eastAsia="Trebuchet MS" w:hAnsi="Trebuchet M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highlight w:val="white"/>
                <w:rtl w:val="0"/>
              </w:rPr>
              <w:t xml:space="preserve">Скользящее среднее, медианный фильтр, экспоненциальное сглаживание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60" w:before="300" w:line="360" w:lineRule="auto"/>
              <w:rPr>
                <w:rFonts w:ascii="Trebuchet MS" w:cs="Trebuchet MS" w:eastAsia="Trebuchet MS" w:hAnsi="Trebuchet M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60" w:before="300" w:line="360" w:lineRule="auto"/>
              <w:rPr>
                <w:rFonts w:ascii="Trebuchet MS" w:cs="Trebuchet MS" w:eastAsia="Trebuchet MS" w:hAnsi="Trebuchet M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highlight w:val="white"/>
                <w:rtl w:val="0"/>
              </w:rPr>
              <w:t xml:space="preserve">Приведение к стационарности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60" w:before="300" w:line="360" w:lineRule="auto"/>
              <w:rPr>
                <w:rFonts w:ascii="Trebuchet MS" w:cs="Trebuchet MS" w:eastAsia="Trebuchet MS" w:hAnsi="Trebuchet M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highlight w:val="white"/>
                <w:rtl w:val="0"/>
              </w:rPr>
              <w:t xml:space="preserve">Ряд имеет явный восходящий тренд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60" w:before="300" w:line="360" w:lineRule="auto"/>
              <w:rPr>
                <w:rFonts w:ascii="Trebuchet MS" w:cs="Trebuchet MS" w:eastAsia="Trebuchet MS" w:hAnsi="Trebuchet M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highlight w:val="white"/>
                <w:rtl w:val="0"/>
              </w:rPr>
              <w:t xml:space="preserve">Дифференцирование (взятие разностей)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60" w:before="300" w:line="360" w:lineRule="auto"/>
              <w:rPr>
                <w:rFonts w:ascii="Trebuchet MS" w:cs="Trebuchet MS" w:eastAsia="Trebuchet MS" w:hAnsi="Trebuchet M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60" w:before="300" w:line="360" w:lineRule="auto"/>
              <w:rPr>
                <w:rFonts w:ascii="Trebuchet MS" w:cs="Trebuchet MS" w:eastAsia="Trebuchet MS" w:hAnsi="Trebuchet M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highlight w:val="white"/>
                <w:rtl w:val="0"/>
              </w:rPr>
              <w:t xml:space="preserve">Масштабирование признаков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60" w:before="300" w:line="360" w:lineRule="auto"/>
              <w:rPr>
                <w:rFonts w:ascii="Trebuchet MS" w:cs="Trebuchet MS" w:eastAsia="Trebuchet MS" w:hAnsi="Trebuchet M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rtl w:val="0"/>
              </w:rPr>
              <w:t xml:space="preserve">Различные масштабы (цены ~10², объем ~10⁸)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60" w:before="300" w:line="360" w:lineRule="auto"/>
              <w:rPr>
                <w:rFonts w:ascii="Trebuchet MS" w:cs="Trebuchet MS" w:eastAsia="Trebuchet MS" w:hAnsi="Trebuchet M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highlight w:val="white"/>
                <w:rtl w:val="0"/>
              </w:rPr>
              <w:t xml:space="preserve">StandardScaler или MinMaxScaler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60" w:before="300" w:line="360" w:lineRule="auto"/>
              <w:rPr>
                <w:rFonts w:ascii="Trebuchet MS" w:cs="Trebuchet MS" w:eastAsia="Trebuchet MS" w:hAnsi="Trebuchet M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60" w:before="300" w:line="360" w:lineRule="auto"/>
              <w:rPr>
                <w:rFonts w:ascii="Trebuchet MS" w:cs="Trebuchet MS" w:eastAsia="Trebuchet MS" w:hAnsi="Trebuchet M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highlight w:val="white"/>
                <w:rtl w:val="0"/>
              </w:rPr>
              <w:t xml:space="preserve">Трансформация распределения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60" w:before="300" w:line="360" w:lineRule="auto"/>
              <w:rPr>
                <w:rFonts w:ascii="Trebuchet MS" w:cs="Trebuchet MS" w:eastAsia="Trebuchet MS" w:hAnsi="Trebuchet M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highlight w:val="white"/>
                <w:rtl w:val="0"/>
              </w:rPr>
              <w:t xml:space="preserve">Правосторонняя асимметрия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60" w:before="300" w:line="360" w:lineRule="auto"/>
              <w:rPr>
                <w:rFonts w:ascii="Trebuchet MS" w:cs="Trebuchet MS" w:eastAsia="Trebuchet MS" w:hAnsi="Trebuchet M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highlight w:val="white"/>
                <w:rtl w:val="0"/>
              </w:rPr>
              <w:t xml:space="preserve">Логарифмическое преобразование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60" w:before="300" w:line="360" w:lineRule="auto"/>
              <w:rPr>
                <w:rFonts w:ascii="Trebuchet MS" w:cs="Trebuchet MS" w:eastAsia="Trebuchet MS" w:hAnsi="Trebuchet M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60" w:before="300" w:line="360" w:lineRule="auto"/>
              <w:rPr>
                <w:rFonts w:ascii="Trebuchet MS" w:cs="Trebuchet MS" w:eastAsia="Trebuchet MS" w:hAnsi="Trebuchet M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highlight w:val="white"/>
                <w:rtl w:val="0"/>
              </w:rPr>
              <w:t xml:space="preserve">Отбор признаков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60" w:before="300" w:line="360" w:lineRule="auto"/>
              <w:rPr>
                <w:rFonts w:ascii="Trebuchet MS" w:cs="Trebuchet MS" w:eastAsia="Trebuchet MS" w:hAnsi="Trebuchet M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highlight w:val="white"/>
                <w:rtl w:val="0"/>
              </w:rPr>
              <w:t xml:space="preserve">Мультиколлинеарность ценовых признаков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60" w:before="300" w:line="360" w:lineRule="auto"/>
              <w:rPr>
                <w:rFonts w:ascii="Trebuchet MS" w:cs="Trebuchet MS" w:eastAsia="Trebuchet MS" w:hAnsi="Trebuchet M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highlight w:val="white"/>
                <w:rtl w:val="0"/>
              </w:rPr>
              <w:t xml:space="preserve">Использовать только Close для прогнозирования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60" w:before="300" w:line="360" w:lineRule="auto"/>
              <w:rPr>
                <w:rFonts w:ascii="Trebuchet MS" w:cs="Trebuchet MS" w:eastAsia="Trebuchet MS" w:hAnsi="Trebuchet M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60" w:before="300" w:line="360" w:lineRule="auto"/>
              <w:rPr>
                <w:rFonts w:ascii="Trebuchet MS" w:cs="Trebuchet MS" w:eastAsia="Trebuchet MS" w:hAnsi="Trebuchet M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highlight w:val="white"/>
                <w:rtl w:val="0"/>
              </w:rPr>
              <w:t xml:space="preserve">Создание дополнительных признаков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60" w:before="300" w:line="360" w:lineRule="auto"/>
              <w:rPr>
                <w:rFonts w:ascii="Trebuchet MS" w:cs="Trebuchet MS" w:eastAsia="Trebuchet MS" w:hAnsi="Trebuchet M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highlight w:val="white"/>
                <w:rtl w:val="0"/>
              </w:rPr>
              <w:t xml:space="preserve">Учет временных зависимостей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60" w:before="300" w:line="360" w:lineRule="auto"/>
              <w:rPr>
                <w:rFonts w:ascii="Trebuchet MS" w:cs="Trebuchet MS" w:eastAsia="Trebuchet MS" w:hAnsi="Trebuchet M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highlight w:val="white"/>
                <w:rtl w:val="0"/>
              </w:rPr>
              <w:t xml:space="preserve">Lag-признаки, скользящие средние, показатели волатильности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60" w:before="300" w:line="360" w:lineRule="auto"/>
              <w:rPr>
                <w:rFonts w:ascii="Trebuchet MS" w:cs="Trebuchet MS" w:eastAsia="Trebuchet MS" w:hAnsi="Trebuchet M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60" w:before="300" w:line="360" w:lineRule="auto"/>
              <w:rPr>
                <w:rFonts w:ascii="Trebuchet MS" w:cs="Trebuchet MS" w:eastAsia="Trebuchet MS" w:hAnsi="Trebuchet M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highlight w:val="white"/>
                <w:rtl w:val="0"/>
              </w:rPr>
              <w:t xml:space="preserve">Разделение выборки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60" w:before="300" w:line="360" w:lineRule="auto"/>
              <w:rPr>
                <w:rFonts w:ascii="Trebuchet MS" w:cs="Trebuchet MS" w:eastAsia="Trebuchet MS" w:hAnsi="Trebuchet M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highlight w:val="white"/>
                <w:rtl w:val="0"/>
              </w:rPr>
              <w:t xml:space="preserve">Сохранение временной структуры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60" w:before="300" w:line="360" w:lineRule="auto"/>
              <w:rPr>
                <w:rFonts w:ascii="Trebuchet MS" w:cs="Trebuchet MS" w:eastAsia="Trebuchet MS" w:hAnsi="Trebuchet M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highlight w:val="white"/>
                <w:rtl w:val="0"/>
              </w:rPr>
              <w:t xml:space="preserve">Временная кросс-валидация </w:t>
            </w:r>
          </w:p>
        </w:tc>
      </w:tr>
    </w:tbl>
    <w:p w:rsidR="00000000" w:rsidDel="00000000" w:rsidP="00000000" w:rsidRDefault="00000000" w:rsidRPr="00000000" w14:paraId="0000016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jc w:val="center"/>
        <w:rPr>
          <w:rFonts w:ascii="Times New Roman" w:cs="Times New Roman" w:eastAsia="Times New Roman" w:hAnsi="Times New Roman"/>
          <w:sz w:val="32"/>
          <w:szCs w:val="3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Таблица 7. Рекомендации по предварительной обработке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0" w:lineRule="auto"/>
        <w:ind w:left="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hd w:fill="ffffff" w:val="clear"/>
        <w:spacing w:after="240" w:line="39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line="360" w:lineRule="auto"/>
        <w:ind w:left="708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rebuchet MS"/>
  <w:font w:name="Arial Unicode MS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068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788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508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3228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948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668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388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6108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828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068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788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508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3228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948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668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388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6108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828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432" w:hanging="432"/>
      </w:pPr>
      <w:rPr>
        <w:u w:val="none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u w:val="no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u w:val="no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u w:val="no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u w:val="no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u w:val="no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u w:val="no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u w:val="no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068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788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508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3228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948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668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388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6108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828" w:hanging="360"/>
      </w:pPr>
      <w:rPr>
        <w:u w:val="none"/>
      </w:rPr>
    </w:lvl>
  </w:abstractNum>
  <w:abstractNum w:abstractNumId="7">
    <w:lvl w:ilvl="0">
      <w:start w:val="1"/>
      <w:numFmt w:val="bullet"/>
      <w:lvlText w:val="•"/>
      <w:lvlJc w:val="left"/>
      <w:pPr>
        <w:ind w:left="107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79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51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23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95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67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39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611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830" w:hanging="360"/>
      </w:pPr>
      <w:rPr>
        <w:u w:val="none"/>
      </w:rPr>
    </w:lvl>
  </w:abstractNum>
  <w:abstractNum w:abstractNumId="8">
    <w:lvl w:ilvl="0">
      <w:start w:val="2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u w:val="none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1068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788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508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3228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948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668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388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6108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828" w:hanging="360"/>
      </w:pPr>
      <w:rPr>
        <w:u w:val="none"/>
      </w:rPr>
    </w:lvl>
  </w:abstractNum>
  <w:abstractNum w:abstractNumId="15">
    <w:lvl w:ilvl="0">
      <w:start w:val="2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u w:val="none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u w:val="none"/>
      </w:rPr>
    </w:lvl>
  </w:abstractNum>
  <w:abstractNum w:abstractNumId="16">
    <w:lvl w:ilvl="0">
      <w:start w:val="2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u w:val="none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3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4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5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6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2.png"/><Relationship Id="rId13" Type="http://schemas.openxmlformats.org/officeDocument/2006/relationships/image" Target="media/image3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hyperlink" Target="https://www.kaggle.com/datasets/ibrahimshahrukh/nvidia-daily-stock-prices-20162026-dataset/data" TargetMode="External"/><Relationship Id="rId7" Type="http://schemas.openxmlformats.org/officeDocument/2006/relationships/image" Target="media/image7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