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A312" w14:textId="3177D1F4" w:rsidR="003F6981" w:rsidRPr="003777A0" w:rsidRDefault="00890116" w:rsidP="00890116">
      <w:pPr>
        <w:pStyle w:val="Titre10"/>
      </w:pPr>
      <w:r w:rsidRPr="003777A0">
        <w:t>Tâche de recherche éthique et technique : centres de données pour l'IA</w:t>
      </w:r>
    </w:p>
    <w:p w14:paraId="4150ECA2" w14:textId="02324359" w:rsidR="00890116" w:rsidRPr="003777A0" w:rsidRDefault="00890116" w:rsidP="00890116"/>
    <w:p w14:paraId="7C07F82A" w14:textId="61722F9F" w:rsidR="003777A0" w:rsidRDefault="003777A0" w:rsidP="0003226A">
      <w:r w:rsidRPr="003777A0">
        <w:t xml:space="preserve">Les centres de données </w:t>
      </w:r>
      <w:r>
        <w:t>d’</w:t>
      </w:r>
      <w:r w:rsidR="004D69B5">
        <w:t>intelligences</w:t>
      </w:r>
      <w:r>
        <w:t xml:space="preserve"> artificiel ne sont pas </w:t>
      </w:r>
      <w:r w:rsidR="00F422DF">
        <w:t>nouveaux</w:t>
      </w:r>
      <w:r>
        <w:t xml:space="preserve">, le premier a </w:t>
      </w:r>
      <w:r w:rsidR="004D69B5">
        <w:t>servi</w:t>
      </w:r>
      <w:r>
        <w:t xml:space="preserve"> en 1945 lorsque qu’on avait besoin de calculer les projectiles d’artillerie dans la seconde guerre mondiale. Cependant, l’accroissement de leur popularité et de leur construction créée des enjeux socio-économique, environnementale et bien sûr, informatique. </w:t>
      </w:r>
    </w:p>
    <w:p w14:paraId="752C236D" w14:textId="77777777" w:rsidR="004D3DB6" w:rsidRDefault="004D3DB6" w:rsidP="004D3DB6">
      <w:pPr>
        <w:jc w:val="both"/>
      </w:pPr>
    </w:p>
    <w:p w14:paraId="7DC29653" w14:textId="6371B32C" w:rsidR="004D3DB6" w:rsidRDefault="004D3DB6" w:rsidP="004D3DB6">
      <w:pPr>
        <w:jc w:val="both"/>
      </w:pPr>
      <w:r>
        <w:t xml:space="preserve">Tout d’abord, les centres de données font en moyennes </w:t>
      </w:r>
      <w:r w:rsidR="00F422DF">
        <w:t>100 000 pieds carrées, ce qui ressemble au Walmart et Costc</w:t>
      </w:r>
      <w:r w:rsidR="00620618">
        <w:t xml:space="preserve">o </w:t>
      </w:r>
      <w:r w:rsidR="00620618" w:rsidRPr="00620618">
        <w:t>[1</w:t>
      </w:r>
      <w:r w:rsidR="0003226A">
        <w:t>]</w:t>
      </w:r>
      <w:r w:rsidR="00F422DF">
        <w:t>. Ce sont de gros bâtiments d’acier, de béton et de cuivres pour les fils</w:t>
      </w:r>
      <w:r w:rsidR="00620618">
        <w:t xml:space="preserve"> [2]</w:t>
      </w:r>
      <w:r w:rsidR="00F422DF">
        <w:t>, mais leurs ressources les plus intéressantes sont à l’intérieur.</w:t>
      </w:r>
    </w:p>
    <w:p w14:paraId="5241CBC7" w14:textId="77777777" w:rsidR="00F422DF" w:rsidRDefault="00F422DF" w:rsidP="004D3DB6">
      <w:pPr>
        <w:jc w:val="both"/>
      </w:pPr>
    </w:p>
    <w:p w14:paraId="6BCA32B8" w14:textId="1BF395C0" w:rsidR="00F422DF" w:rsidRDefault="00F422DF" w:rsidP="004D3DB6">
      <w:pPr>
        <w:jc w:val="both"/>
      </w:pPr>
      <w:r>
        <w:t xml:space="preserve">En effet, les centres de données sont </w:t>
      </w:r>
      <w:r w:rsidR="00923726">
        <w:t>faits</w:t>
      </w:r>
      <w:r>
        <w:t xml:space="preserve"> pour stocker les informations et entrainer </w:t>
      </w:r>
      <w:r w:rsidR="00A01966">
        <w:t>les intelligences artificielles</w:t>
      </w:r>
      <w:r>
        <w:t xml:space="preserve"> à l’aide de leurs nombreux serveurs. Il existe des serveurs très compact comme les serveurs en lame</w:t>
      </w:r>
      <w:r w:rsidR="00A01966">
        <w:t xml:space="preserve"> qui évacue la chaleur avec un système de ventilations, mais la plupart utilise de l’eau pour exfiltrer la chaleur. Ces serveurs nécessitent de </w:t>
      </w:r>
      <w:r w:rsidR="00D85520">
        <w:t xml:space="preserve">milliers de </w:t>
      </w:r>
      <w:r w:rsidR="00A01966">
        <w:t>puissants processeurs, des options de stockages parmi les HDD pour l’archivage et la sécurité et les SSD pour le travail de données. Les travaux d’IA vont maintenant avoir plus de cartes graphiques ou d’accélérateur d’IA</w:t>
      </w:r>
      <w:r w:rsidR="00620618">
        <w:t xml:space="preserve"> [3]</w:t>
      </w:r>
      <w:r w:rsidR="00A01966">
        <w:t>.</w:t>
      </w:r>
    </w:p>
    <w:p w14:paraId="35D9D793" w14:textId="77777777" w:rsidR="00A01966" w:rsidRDefault="00A01966" w:rsidP="004D3DB6">
      <w:pPr>
        <w:jc w:val="both"/>
      </w:pPr>
    </w:p>
    <w:p w14:paraId="24CDB7A9" w14:textId="12CADB57" w:rsidR="00A01966" w:rsidRDefault="00A01966" w:rsidP="004D3DB6">
      <w:pPr>
        <w:jc w:val="both"/>
      </w:pPr>
      <w:r>
        <w:t xml:space="preserve">Les effets bénéfiques se retrouvent dans la création d’emploi pour les </w:t>
      </w:r>
      <w:r w:rsidR="003240C7">
        <w:t xml:space="preserve">travailleurs de la construction, </w:t>
      </w:r>
      <w:r>
        <w:t xml:space="preserve">mais également pour </w:t>
      </w:r>
      <w:r w:rsidR="002B3D58">
        <w:t>les techniciens</w:t>
      </w:r>
      <w:r>
        <w:t xml:space="preserve"> de maintenance</w:t>
      </w:r>
      <w:r w:rsidR="00620618">
        <w:t xml:space="preserve"> [4]</w:t>
      </w:r>
      <w:r>
        <w:t>.</w:t>
      </w:r>
      <w:r w:rsidR="002B3D58">
        <w:t xml:space="preserve"> Les modèles d’intelligences artificielles se voit plus performant. Les régions métropolitaines sont les plus bénéficiaires de ces centres, car ils sont ceux qui absorbe le plus les retombées économiques indirectes. De plus, nous avons besoin de stocker des données pour envoyer </w:t>
      </w:r>
      <w:r w:rsidR="00923726">
        <w:t>nos courriels</w:t>
      </w:r>
      <w:r w:rsidR="002B3D58">
        <w:t xml:space="preserve">, </w:t>
      </w:r>
      <w:r w:rsidR="00923726">
        <w:t>poser nos questions à l’IA et tous nos activités du quotidien en ligne</w:t>
      </w:r>
      <w:r w:rsidR="00620618">
        <w:t xml:space="preserve"> [5]</w:t>
      </w:r>
      <w:r w:rsidR="00923726">
        <w:t xml:space="preserve">. </w:t>
      </w:r>
    </w:p>
    <w:p w14:paraId="388BB647" w14:textId="77777777" w:rsidR="00923726" w:rsidRDefault="00923726" w:rsidP="004D3DB6">
      <w:pPr>
        <w:jc w:val="both"/>
      </w:pPr>
    </w:p>
    <w:p w14:paraId="459038E9" w14:textId="555F101F" w:rsidR="00923726" w:rsidRDefault="00923726" w:rsidP="004D3DB6">
      <w:pPr>
        <w:jc w:val="both"/>
      </w:pPr>
      <w:r>
        <w:t>Cependant, les coûts sont tout aussi grands. Un centre typique peut consommer la même quantité d’électricité que de 80 000 foyers</w:t>
      </w:r>
      <w:r w:rsidR="00620618">
        <w:t xml:space="preserve"> [6]</w:t>
      </w:r>
      <w:r>
        <w:t>.</w:t>
      </w:r>
      <w:r w:rsidR="00D85520">
        <w:t xml:space="preserve"> </w:t>
      </w:r>
      <w:r w:rsidR="00D85520" w:rsidRPr="00D85520">
        <w:t>En 2024 les centres de données à travers le monde consommaient environ 415 Térawatts par heure, ce</w:t>
      </w:r>
      <w:r w:rsidR="00D85520">
        <w:t xml:space="preserve"> qui représentait 1.5% de la IEA</w:t>
      </w:r>
      <w:r w:rsidR="00620618">
        <w:t xml:space="preserve"> </w:t>
      </w:r>
      <w:r w:rsidR="00620618">
        <w:lastRenderedPageBreak/>
        <w:t>[1]</w:t>
      </w:r>
      <w:r w:rsidR="00D85520">
        <w:t>. De plus, ce</w:t>
      </w:r>
      <w:r>
        <w:t xml:space="preserve"> sont </w:t>
      </w:r>
      <w:r w:rsidR="00D85520">
        <w:t>les communautés locales</w:t>
      </w:r>
      <w:r>
        <w:t xml:space="preserve"> qui verront leur facture d’électricité monter. La plupart </w:t>
      </w:r>
      <w:r w:rsidR="00D85520">
        <w:t>des centres</w:t>
      </w:r>
      <w:r>
        <w:t xml:space="preserve"> de données utilisent l’eau pour </w:t>
      </w:r>
      <w:r w:rsidR="00D85520">
        <w:t>exfiltrer la chaleur consommant ainsi d’énorme quantités</w:t>
      </w:r>
      <w:r w:rsidR="0003226A">
        <w:t xml:space="preserve"> [7]</w:t>
      </w:r>
      <w:r w:rsidR="00D85520">
        <w:t xml:space="preserve">. </w:t>
      </w:r>
    </w:p>
    <w:p w14:paraId="2307F599" w14:textId="3AFA50AD" w:rsidR="003240C7" w:rsidRDefault="00D85520" w:rsidP="003240C7">
      <w:pPr>
        <w:jc w:val="both"/>
      </w:pPr>
      <w:r>
        <w:t>D’un point de vue éthique, ce n’est pas juste que ce soient les communautés locales qui voient leur ressource utilisée pour des données qui sont utilisé à travers le monde, cependant, la création d’emploi au court terme peut peut-être balancer cela. En revanche, tout le monde génère et utilise des données au quotidien donc ces centres sont et deviendront encore plus essentielles dans le monde où nous allons.</w:t>
      </w:r>
      <w:r w:rsidR="003240C7">
        <w:t xml:space="preserve"> Finalement, certains gouvernements locaux et des Universités profite de l’opportunité de négocier avec les grosses compagnies d’IA pour bénéficier ou de mieux gérer les ressources et les bénéfices</w:t>
      </w:r>
      <w:r w:rsidR="0003226A">
        <w:t xml:space="preserve"> [4]</w:t>
      </w:r>
      <w:r w:rsidR="003240C7">
        <w:t>.</w:t>
      </w:r>
    </w:p>
    <w:p w14:paraId="6328EA8B" w14:textId="77777777" w:rsidR="003240C7" w:rsidRDefault="003240C7">
      <w:r>
        <w:br w:type="page"/>
      </w:r>
    </w:p>
    <w:p w14:paraId="5C0886DF" w14:textId="11C4B99C" w:rsidR="003777A0" w:rsidRDefault="003240C7" w:rsidP="003240C7">
      <w:pPr>
        <w:jc w:val="center"/>
        <w:rPr>
          <w:sz w:val="44"/>
          <w:szCs w:val="44"/>
        </w:rPr>
      </w:pPr>
      <w:r w:rsidRPr="003240C7">
        <w:rPr>
          <w:sz w:val="44"/>
          <w:szCs w:val="44"/>
        </w:rPr>
        <w:lastRenderedPageBreak/>
        <w:t>Bibliographie</w:t>
      </w:r>
    </w:p>
    <w:p w14:paraId="0026BE13" w14:textId="7181ACCF" w:rsidR="00620618" w:rsidRPr="00620618" w:rsidRDefault="00620618" w:rsidP="00620618">
      <w:pPr>
        <w:jc w:val="both"/>
        <w:rPr>
          <w:lang w:val="en-CA"/>
        </w:rPr>
      </w:pPr>
      <w:r w:rsidRPr="00620618">
        <w:rPr>
          <w:lang w:val="en-CA"/>
        </w:rPr>
        <w:t xml:space="preserve">[1] Poynter, “What are data centers? Here’s how they work and why they matter,” </w:t>
      </w:r>
      <w:r w:rsidRPr="00620618">
        <w:rPr>
          <w:i/>
          <w:iCs/>
          <w:lang w:val="en-CA"/>
        </w:rPr>
        <w:t>Poynter</w:t>
      </w:r>
      <w:r w:rsidRPr="00620618">
        <w:rPr>
          <w:lang w:val="en-CA"/>
        </w:rPr>
        <w:t xml:space="preserve">, 2026. [Online]. Available: </w:t>
      </w:r>
      <w:hyperlink r:id="rId8" w:history="1">
        <w:r w:rsidRPr="00620618">
          <w:rPr>
            <w:rStyle w:val="Lienhypertexte"/>
            <w:lang w:val="en-CA"/>
          </w:rPr>
          <w:t>https://www.poynter.org/fact-checking/2026/what-are-data-centers-for-ai/</w:t>
        </w:r>
      </w:hyperlink>
      <w:r w:rsidRPr="00620618">
        <w:rPr>
          <w:lang w:val="en-CA"/>
        </w:rPr>
        <w:t>. [Accessed: Sep. 1</w:t>
      </w:r>
      <w:r>
        <w:rPr>
          <w:lang w:val="en-CA"/>
        </w:rPr>
        <w:t>4</w:t>
      </w:r>
      <w:r w:rsidRPr="00620618">
        <w:rPr>
          <w:lang w:val="en-CA"/>
        </w:rPr>
        <w:t>, 2026].</w:t>
      </w:r>
    </w:p>
    <w:p w14:paraId="695694C6" w14:textId="2F6817D4" w:rsidR="00620618" w:rsidRPr="00620618" w:rsidRDefault="00620618" w:rsidP="00620618">
      <w:pPr>
        <w:jc w:val="both"/>
        <w:rPr>
          <w:lang w:val="en-CA"/>
        </w:rPr>
      </w:pPr>
      <w:r w:rsidRPr="00620618">
        <w:rPr>
          <w:lang w:val="en-CA"/>
        </w:rPr>
        <w:t xml:space="preserve">[2] Mill Steel Company, “What Materials Are Used in Data Centers? A Complete Construction Guide,” </w:t>
      </w:r>
      <w:r w:rsidRPr="00620618">
        <w:rPr>
          <w:i/>
          <w:iCs/>
          <w:lang w:val="en-CA"/>
        </w:rPr>
        <w:t>Mill Steel</w:t>
      </w:r>
      <w:r w:rsidRPr="00620618">
        <w:rPr>
          <w:lang w:val="en-CA"/>
        </w:rPr>
        <w:t xml:space="preserve">, Apr. 29, 2026. [Online]. Available: </w:t>
      </w:r>
      <w:hyperlink r:id="rId9" w:history="1">
        <w:r w:rsidRPr="00620618">
          <w:rPr>
            <w:rStyle w:val="Lienhypertexte"/>
            <w:lang w:val="en-CA"/>
          </w:rPr>
          <w:t>https://www.millsteel.com/blog/what-materials-are-used-in-data-centers-a-complete-construction-guide</w:t>
        </w:r>
      </w:hyperlink>
      <w:r w:rsidRPr="00620618">
        <w:rPr>
          <w:lang w:val="en-CA"/>
        </w:rPr>
        <w:t>. [Accessed: Sep. 1</w:t>
      </w:r>
      <w:r>
        <w:rPr>
          <w:lang w:val="en-CA"/>
        </w:rPr>
        <w:t>4</w:t>
      </w:r>
      <w:r w:rsidRPr="00620618">
        <w:rPr>
          <w:lang w:val="en-CA"/>
        </w:rPr>
        <w:t>, 2026].</w:t>
      </w:r>
    </w:p>
    <w:p w14:paraId="399660C6" w14:textId="50E5E243" w:rsidR="00620618" w:rsidRPr="00620618" w:rsidRDefault="00620618" w:rsidP="00620618">
      <w:pPr>
        <w:jc w:val="both"/>
        <w:rPr>
          <w:lang w:val="en-CA"/>
        </w:rPr>
      </w:pPr>
      <w:r w:rsidRPr="00620618">
        <w:rPr>
          <w:lang w:val="en-CA"/>
        </w:rPr>
        <w:t xml:space="preserve">[3] Team SILVRFISH, “Data Center Hardware: Core Components, Design, and Best Practices,” </w:t>
      </w:r>
      <w:r w:rsidRPr="00620618">
        <w:rPr>
          <w:i/>
          <w:iCs/>
          <w:lang w:val="en-CA"/>
        </w:rPr>
        <w:t>SILVRFISH</w:t>
      </w:r>
      <w:r w:rsidRPr="00620618">
        <w:rPr>
          <w:lang w:val="en-CA"/>
        </w:rPr>
        <w:t xml:space="preserve">, 2026. [Online]. Available: </w:t>
      </w:r>
      <w:hyperlink r:id="rId10" w:history="1">
        <w:r w:rsidRPr="00620618">
          <w:rPr>
            <w:rStyle w:val="Lienhypertexte"/>
            <w:lang w:val="en-CA"/>
          </w:rPr>
          <w:t>https://silvrfish.com/blog/data-center-hardware/</w:t>
        </w:r>
      </w:hyperlink>
      <w:r w:rsidRPr="00620618">
        <w:rPr>
          <w:lang w:val="en-CA"/>
        </w:rPr>
        <w:t>. [Accessed: Sep. 1</w:t>
      </w:r>
      <w:r>
        <w:rPr>
          <w:lang w:val="en-CA"/>
        </w:rPr>
        <w:t>4</w:t>
      </w:r>
      <w:r w:rsidRPr="00620618">
        <w:rPr>
          <w:lang w:val="en-CA"/>
        </w:rPr>
        <w:t>, 2026].</w:t>
      </w:r>
    </w:p>
    <w:p w14:paraId="590B62EC" w14:textId="320262FB" w:rsidR="00620618" w:rsidRPr="00620618" w:rsidRDefault="00620618" w:rsidP="00620618">
      <w:pPr>
        <w:jc w:val="both"/>
        <w:rPr>
          <w:lang w:val="en-CA"/>
        </w:rPr>
      </w:pPr>
      <w:r w:rsidRPr="00620618">
        <w:rPr>
          <w:lang w:val="en-CA"/>
        </w:rPr>
        <w:t xml:space="preserve">[4] D. Goetzel, M. Muro, and S. </w:t>
      </w:r>
      <w:proofErr w:type="spellStart"/>
      <w:r w:rsidRPr="00620618">
        <w:rPr>
          <w:lang w:val="en-CA"/>
        </w:rPr>
        <w:t>Methkupally</w:t>
      </w:r>
      <w:proofErr w:type="spellEnd"/>
      <w:r w:rsidRPr="00620618">
        <w:rPr>
          <w:lang w:val="en-CA"/>
        </w:rPr>
        <w:t xml:space="preserve">, “Turning the data center boom into long-term, local prosperity,” </w:t>
      </w:r>
      <w:r w:rsidRPr="00620618">
        <w:rPr>
          <w:i/>
          <w:iCs/>
          <w:lang w:val="en-CA"/>
        </w:rPr>
        <w:t>Brookings Institution</w:t>
      </w:r>
      <w:r w:rsidRPr="00620618">
        <w:rPr>
          <w:lang w:val="en-CA"/>
        </w:rPr>
        <w:t xml:space="preserve">, Feb. 5, 2026. [Online]. Available: </w:t>
      </w:r>
      <w:hyperlink r:id="rId11" w:history="1">
        <w:r w:rsidRPr="00620618">
          <w:rPr>
            <w:rStyle w:val="Lienhypertexte"/>
            <w:lang w:val="en-CA"/>
          </w:rPr>
          <w:t>https://www.brookings.edu/articles/turning-the-data-center-boom-into-long-term-local-prosperity/</w:t>
        </w:r>
      </w:hyperlink>
      <w:r w:rsidRPr="00620618">
        <w:rPr>
          <w:lang w:val="en-CA"/>
        </w:rPr>
        <w:t>. [Accessed: Sep. 1</w:t>
      </w:r>
      <w:r>
        <w:rPr>
          <w:lang w:val="en-CA"/>
        </w:rPr>
        <w:t>4</w:t>
      </w:r>
      <w:r w:rsidRPr="00620618">
        <w:rPr>
          <w:lang w:val="en-CA"/>
        </w:rPr>
        <w:t>, 2026].</w:t>
      </w:r>
    </w:p>
    <w:p w14:paraId="24DECD28" w14:textId="1B352829" w:rsidR="00620618" w:rsidRPr="00620618" w:rsidRDefault="00620618" w:rsidP="00620618">
      <w:pPr>
        <w:jc w:val="both"/>
        <w:rPr>
          <w:lang w:val="en-CA"/>
        </w:rPr>
      </w:pPr>
      <w:r w:rsidRPr="00620618">
        <w:rPr>
          <w:lang w:val="en-CA"/>
        </w:rPr>
        <w:t xml:space="preserve">[5] R. J. Szczerba, “What Is </w:t>
      </w:r>
      <w:proofErr w:type="gramStart"/>
      <w:r w:rsidRPr="00620618">
        <w:rPr>
          <w:lang w:val="en-CA"/>
        </w:rPr>
        <w:t>A</w:t>
      </w:r>
      <w:proofErr w:type="gramEnd"/>
      <w:r w:rsidRPr="00620618">
        <w:rPr>
          <w:lang w:val="en-CA"/>
        </w:rPr>
        <w:t xml:space="preserve"> Data Center </w:t>
      </w:r>
      <w:proofErr w:type="gramStart"/>
      <w:r w:rsidRPr="00620618">
        <w:rPr>
          <w:lang w:val="en-CA"/>
        </w:rPr>
        <w:t>And</w:t>
      </w:r>
      <w:proofErr w:type="gramEnd"/>
      <w:r w:rsidRPr="00620618">
        <w:rPr>
          <w:lang w:val="en-CA"/>
        </w:rPr>
        <w:t xml:space="preserve"> Why Are They Suddenly </w:t>
      </w:r>
      <w:proofErr w:type="gramStart"/>
      <w:r w:rsidRPr="00620618">
        <w:rPr>
          <w:lang w:val="en-CA"/>
        </w:rPr>
        <w:t>Everywhere?,</w:t>
      </w:r>
      <w:proofErr w:type="gramEnd"/>
      <w:r w:rsidRPr="00620618">
        <w:rPr>
          <w:lang w:val="en-CA"/>
        </w:rPr>
        <w:t xml:space="preserve">” </w:t>
      </w:r>
      <w:r w:rsidRPr="00620618">
        <w:rPr>
          <w:i/>
          <w:iCs/>
          <w:lang w:val="en-CA"/>
        </w:rPr>
        <w:t>Forbes</w:t>
      </w:r>
      <w:r w:rsidRPr="00620618">
        <w:rPr>
          <w:lang w:val="en-CA"/>
        </w:rPr>
        <w:t xml:space="preserve">, Jul. 9, 2026, updated Aug. 6, 2026. [Online]. Available: </w:t>
      </w:r>
      <w:hyperlink r:id="rId12" w:history="1">
        <w:r w:rsidRPr="00620618">
          <w:rPr>
            <w:rStyle w:val="Lienhypertexte"/>
            <w:lang w:val="en-CA"/>
          </w:rPr>
          <w:t>https://www.forbes.com/sites/technology/article/what-is-a-data-center/</w:t>
        </w:r>
      </w:hyperlink>
      <w:r w:rsidRPr="00620618">
        <w:rPr>
          <w:lang w:val="en-CA"/>
        </w:rPr>
        <w:t>. [Accessed: Sep. 1</w:t>
      </w:r>
      <w:r>
        <w:rPr>
          <w:lang w:val="en-CA"/>
        </w:rPr>
        <w:t>4</w:t>
      </w:r>
      <w:r w:rsidRPr="00620618">
        <w:rPr>
          <w:lang w:val="en-CA"/>
        </w:rPr>
        <w:t>, 2026].</w:t>
      </w:r>
    </w:p>
    <w:p w14:paraId="12712DB5" w14:textId="3216B95D" w:rsidR="00620618" w:rsidRPr="00620618" w:rsidRDefault="00620618" w:rsidP="00620618">
      <w:pPr>
        <w:jc w:val="both"/>
        <w:rPr>
          <w:lang w:val="en-CA"/>
        </w:rPr>
      </w:pPr>
      <w:r w:rsidRPr="00620618">
        <w:rPr>
          <w:lang w:val="en-CA"/>
        </w:rPr>
        <w:t xml:space="preserve">[6] Georgia Institute of Technology, “Data Centers Are Booming. Who </w:t>
      </w:r>
      <w:proofErr w:type="gramStart"/>
      <w:r w:rsidRPr="00620618">
        <w:rPr>
          <w:lang w:val="en-CA"/>
        </w:rPr>
        <w:t>Benefits?,</w:t>
      </w:r>
      <w:proofErr w:type="gramEnd"/>
      <w:r w:rsidRPr="00620618">
        <w:rPr>
          <w:lang w:val="en-CA"/>
        </w:rPr>
        <w:t xml:space="preserve">” </w:t>
      </w:r>
      <w:r w:rsidRPr="00620618">
        <w:rPr>
          <w:i/>
          <w:iCs/>
          <w:lang w:val="en-CA"/>
        </w:rPr>
        <w:t>Research News Center</w:t>
      </w:r>
      <w:r w:rsidRPr="00620618">
        <w:rPr>
          <w:lang w:val="en-CA"/>
        </w:rPr>
        <w:t xml:space="preserve">, Jul. 9, 2026. [Online]. Available: </w:t>
      </w:r>
      <w:hyperlink r:id="rId13" w:history="1">
        <w:r w:rsidRPr="00620618">
          <w:rPr>
            <w:rStyle w:val="Lienhypertexte"/>
            <w:lang w:val="en-CA"/>
          </w:rPr>
          <w:t>https://news.research.gatech.edu/2026/07/09/data-centers-are-booming-who-benefits</w:t>
        </w:r>
      </w:hyperlink>
      <w:r w:rsidRPr="00620618">
        <w:rPr>
          <w:lang w:val="en-CA"/>
        </w:rPr>
        <w:t>. [Accessed: Sep. 1</w:t>
      </w:r>
      <w:r>
        <w:rPr>
          <w:lang w:val="en-CA"/>
        </w:rPr>
        <w:t>4</w:t>
      </w:r>
      <w:r w:rsidRPr="00620618">
        <w:rPr>
          <w:lang w:val="en-CA"/>
        </w:rPr>
        <w:t>, 2026].</w:t>
      </w:r>
    </w:p>
    <w:p w14:paraId="1AF338BF" w14:textId="0D5EC61B" w:rsidR="00620618" w:rsidRPr="00620618" w:rsidRDefault="00620618" w:rsidP="00620618">
      <w:pPr>
        <w:jc w:val="both"/>
      </w:pPr>
      <w:r w:rsidRPr="00620618">
        <w:rPr>
          <w:lang w:val="en-CA"/>
        </w:rPr>
        <w:t xml:space="preserve">[7] Wikipedia contributors, “Data center,” </w:t>
      </w:r>
      <w:r w:rsidRPr="00620618">
        <w:rPr>
          <w:i/>
          <w:iCs/>
          <w:lang w:val="en-CA"/>
        </w:rPr>
        <w:t>Wikipedia, The Free Encyclopedia</w:t>
      </w:r>
      <w:r w:rsidRPr="00620618">
        <w:rPr>
          <w:lang w:val="en-CA"/>
        </w:rPr>
        <w:t xml:space="preserve">. </w:t>
      </w:r>
      <w:r w:rsidRPr="00620618">
        <w:t xml:space="preserve">[Online]. </w:t>
      </w:r>
      <w:proofErr w:type="spellStart"/>
      <w:r w:rsidRPr="00620618">
        <w:t>Available</w:t>
      </w:r>
      <w:proofErr w:type="spellEnd"/>
      <w:r w:rsidRPr="00620618">
        <w:t xml:space="preserve">: </w:t>
      </w:r>
      <w:hyperlink r:id="rId14" w:history="1">
        <w:r w:rsidRPr="00620618">
          <w:rPr>
            <w:rStyle w:val="Lienhypertexte"/>
          </w:rPr>
          <w:t>https://en.wikipedia.org/wiki/Data_center</w:t>
        </w:r>
      </w:hyperlink>
      <w:r w:rsidRPr="00620618">
        <w:t>. [</w:t>
      </w:r>
      <w:proofErr w:type="spellStart"/>
      <w:r w:rsidRPr="00620618">
        <w:t>Accessed</w:t>
      </w:r>
      <w:proofErr w:type="spellEnd"/>
      <w:r w:rsidRPr="00620618">
        <w:t>: Sep. 1</w:t>
      </w:r>
      <w:r>
        <w:t>4</w:t>
      </w:r>
      <w:r w:rsidRPr="00620618">
        <w:t>, 2026].</w:t>
      </w:r>
    </w:p>
    <w:p w14:paraId="25DA3CEE" w14:textId="77777777" w:rsidR="00620618" w:rsidRPr="00620618" w:rsidRDefault="00620618" w:rsidP="00620618">
      <w:pPr>
        <w:jc w:val="both"/>
      </w:pPr>
    </w:p>
    <w:sectPr w:rsidR="00620618" w:rsidRPr="006206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F13F4" w14:textId="77777777" w:rsidR="0094438A" w:rsidRPr="003777A0" w:rsidRDefault="0094438A" w:rsidP="001229B5">
      <w:pPr>
        <w:spacing w:after="0" w:line="240" w:lineRule="auto"/>
      </w:pPr>
      <w:r w:rsidRPr="003777A0">
        <w:separator/>
      </w:r>
    </w:p>
  </w:endnote>
  <w:endnote w:type="continuationSeparator" w:id="0">
    <w:p w14:paraId="04C0B068" w14:textId="77777777" w:rsidR="0094438A" w:rsidRPr="003777A0" w:rsidRDefault="0094438A" w:rsidP="001229B5">
      <w:pPr>
        <w:spacing w:after="0" w:line="240" w:lineRule="auto"/>
      </w:pPr>
      <w:r w:rsidRPr="003777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C3CD" w14:textId="77777777" w:rsidR="0094438A" w:rsidRPr="003777A0" w:rsidRDefault="0094438A" w:rsidP="001229B5">
      <w:pPr>
        <w:spacing w:after="0" w:line="240" w:lineRule="auto"/>
      </w:pPr>
      <w:r w:rsidRPr="003777A0">
        <w:separator/>
      </w:r>
    </w:p>
  </w:footnote>
  <w:footnote w:type="continuationSeparator" w:id="0">
    <w:p w14:paraId="633C2EE0" w14:textId="77777777" w:rsidR="0094438A" w:rsidRPr="003777A0" w:rsidRDefault="0094438A" w:rsidP="001229B5">
      <w:pPr>
        <w:spacing w:after="0" w:line="240" w:lineRule="auto"/>
      </w:pPr>
      <w:r w:rsidRPr="003777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A6604"/>
    <w:multiLevelType w:val="hybridMultilevel"/>
    <w:tmpl w:val="D19498D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500B7692"/>
    <w:multiLevelType w:val="hybridMultilevel"/>
    <w:tmpl w:val="BFE8A06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67A27A66"/>
    <w:multiLevelType w:val="hybridMultilevel"/>
    <w:tmpl w:val="FDDA561C"/>
    <w:lvl w:ilvl="0" w:tplc="BDBA0BE8">
      <w:start w:val="1"/>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num w:numId="1" w16cid:durableId="506940466">
    <w:abstractNumId w:val="0"/>
  </w:num>
  <w:num w:numId="2" w16cid:durableId="508568303">
    <w:abstractNumId w:val="2"/>
  </w:num>
  <w:num w:numId="3" w16cid:durableId="246696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16"/>
    <w:rsid w:val="0003226A"/>
    <w:rsid w:val="001229B5"/>
    <w:rsid w:val="00194B7D"/>
    <w:rsid w:val="001B36DB"/>
    <w:rsid w:val="001E6353"/>
    <w:rsid w:val="002B11D7"/>
    <w:rsid w:val="002B3D58"/>
    <w:rsid w:val="003240C7"/>
    <w:rsid w:val="003777A0"/>
    <w:rsid w:val="003C336A"/>
    <w:rsid w:val="003F6981"/>
    <w:rsid w:val="004D3DB6"/>
    <w:rsid w:val="004D69B5"/>
    <w:rsid w:val="00620618"/>
    <w:rsid w:val="006E1E36"/>
    <w:rsid w:val="00715C5A"/>
    <w:rsid w:val="00890116"/>
    <w:rsid w:val="00893603"/>
    <w:rsid w:val="00923726"/>
    <w:rsid w:val="0094438A"/>
    <w:rsid w:val="00A01966"/>
    <w:rsid w:val="00C118D7"/>
    <w:rsid w:val="00C63D70"/>
    <w:rsid w:val="00D85520"/>
    <w:rsid w:val="00E35B9B"/>
    <w:rsid w:val="00F422D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4953"/>
  <w15:chartTrackingRefBased/>
  <w15:docId w15:val="{5B680EF8-099D-40C4-A75F-8E517B24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0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0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01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01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01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01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01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01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01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01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01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01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01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01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01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01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01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0116"/>
    <w:rPr>
      <w:rFonts w:eastAsiaTheme="majorEastAsia" w:cstheme="majorBidi"/>
      <w:color w:val="272727" w:themeColor="text1" w:themeTint="D8"/>
    </w:rPr>
  </w:style>
  <w:style w:type="paragraph" w:styleId="Titre">
    <w:name w:val="Title"/>
    <w:basedOn w:val="Normal"/>
    <w:next w:val="Normal"/>
    <w:link w:val="TitreCar"/>
    <w:uiPriority w:val="10"/>
    <w:qFormat/>
    <w:rsid w:val="00890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01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01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01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0116"/>
    <w:pPr>
      <w:spacing w:before="160"/>
      <w:jc w:val="center"/>
    </w:pPr>
    <w:rPr>
      <w:i/>
      <w:iCs/>
      <w:color w:val="404040" w:themeColor="text1" w:themeTint="BF"/>
    </w:rPr>
  </w:style>
  <w:style w:type="character" w:customStyle="1" w:styleId="CitationCar">
    <w:name w:val="Citation Car"/>
    <w:basedOn w:val="Policepardfaut"/>
    <w:link w:val="Citation"/>
    <w:uiPriority w:val="29"/>
    <w:rsid w:val="00890116"/>
    <w:rPr>
      <w:i/>
      <w:iCs/>
      <w:color w:val="404040" w:themeColor="text1" w:themeTint="BF"/>
    </w:rPr>
  </w:style>
  <w:style w:type="paragraph" w:styleId="Paragraphedeliste">
    <w:name w:val="List Paragraph"/>
    <w:basedOn w:val="Normal"/>
    <w:uiPriority w:val="34"/>
    <w:qFormat/>
    <w:rsid w:val="00890116"/>
    <w:pPr>
      <w:ind w:left="720"/>
      <w:contextualSpacing/>
    </w:pPr>
  </w:style>
  <w:style w:type="character" w:styleId="Accentuationintense">
    <w:name w:val="Intense Emphasis"/>
    <w:basedOn w:val="Policepardfaut"/>
    <w:uiPriority w:val="21"/>
    <w:qFormat/>
    <w:rsid w:val="00890116"/>
    <w:rPr>
      <w:i/>
      <w:iCs/>
      <w:color w:val="0F4761" w:themeColor="accent1" w:themeShade="BF"/>
    </w:rPr>
  </w:style>
  <w:style w:type="paragraph" w:styleId="Citationintense">
    <w:name w:val="Intense Quote"/>
    <w:basedOn w:val="Normal"/>
    <w:next w:val="Normal"/>
    <w:link w:val="CitationintenseCar"/>
    <w:uiPriority w:val="30"/>
    <w:qFormat/>
    <w:rsid w:val="0089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0116"/>
    <w:rPr>
      <w:i/>
      <w:iCs/>
      <w:color w:val="0F4761" w:themeColor="accent1" w:themeShade="BF"/>
    </w:rPr>
  </w:style>
  <w:style w:type="character" w:styleId="Rfrenceintense">
    <w:name w:val="Intense Reference"/>
    <w:basedOn w:val="Policepardfaut"/>
    <w:uiPriority w:val="32"/>
    <w:qFormat/>
    <w:rsid w:val="00890116"/>
    <w:rPr>
      <w:b/>
      <w:bCs/>
      <w:smallCaps/>
      <w:color w:val="0F4761" w:themeColor="accent1" w:themeShade="BF"/>
      <w:spacing w:val="5"/>
    </w:rPr>
  </w:style>
  <w:style w:type="paragraph" w:customStyle="1" w:styleId="Titre10">
    <w:name w:val="Titre1"/>
    <w:basedOn w:val="Titre"/>
    <w:qFormat/>
    <w:rsid w:val="00890116"/>
    <w:pPr>
      <w:jc w:val="center"/>
    </w:pPr>
    <w:rPr>
      <w:rFonts w:ascii="Rockwell" w:hAnsi="Rockwell"/>
    </w:rPr>
  </w:style>
  <w:style w:type="paragraph" w:customStyle="1" w:styleId="Texte">
    <w:name w:val="Texte"/>
    <w:basedOn w:val="Normal"/>
    <w:qFormat/>
    <w:rsid w:val="00890116"/>
    <w:rPr>
      <w:rFonts w:ascii="Rockwell" w:hAnsi="Rockwell"/>
    </w:rPr>
  </w:style>
  <w:style w:type="character" w:styleId="Lienhypertexte">
    <w:name w:val="Hyperlink"/>
    <w:basedOn w:val="Policepardfaut"/>
    <w:uiPriority w:val="99"/>
    <w:unhideWhenUsed/>
    <w:rsid w:val="002B11D7"/>
    <w:rPr>
      <w:color w:val="467886" w:themeColor="hyperlink"/>
      <w:u w:val="single"/>
    </w:rPr>
  </w:style>
  <w:style w:type="character" w:styleId="Mentionnonrsolue">
    <w:name w:val="Unresolved Mention"/>
    <w:basedOn w:val="Policepardfaut"/>
    <w:uiPriority w:val="99"/>
    <w:semiHidden/>
    <w:unhideWhenUsed/>
    <w:rsid w:val="002B11D7"/>
    <w:rPr>
      <w:color w:val="605E5C"/>
      <w:shd w:val="clear" w:color="auto" w:fill="E1DFDD"/>
    </w:rPr>
  </w:style>
  <w:style w:type="character" w:styleId="Lienhypertextesuivivisit">
    <w:name w:val="FollowedHyperlink"/>
    <w:basedOn w:val="Policepardfaut"/>
    <w:uiPriority w:val="99"/>
    <w:semiHidden/>
    <w:unhideWhenUsed/>
    <w:rsid w:val="003C336A"/>
    <w:rPr>
      <w:color w:val="96607D" w:themeColor="followedHyperlink"/>
      <w:u w:val="single"/>
    </w:rPr>
  </w:style>
  <w:style w:type="paragraph" w:styleId="Notedefin">
    <w:name w:val="endnote text"/>
    <w:basedOn w:val="Normal"/>
    <w:link w:val="NotedefinCar"/>
    <w:uiPriority w:val="99"/>
    <w:semiHidden/>
    <w:unhideWhenUsed/>
    <w:rsid w:val="001229B5"/>
    <w:pPr>
      <w:spacing w:after="0" w:line="240" w:lineRule="auto"/>
    </w:pPr>
    <w:rPr>
      <w:sz w:val="20"/>
      <w:szCs w:val="20"/>
    </w:rPr>
  </w:style>
  <w:style w:type="character" w:customStyle="1" w:styleId="NotedefinCar">
    <w:name w:val="Note de fin Car"/>
    <w:basedOn w:val="Policepardfaut"/>
    <w:link w:val="Notedefin"/>
    <w:uiPriority w:val="99"/>
    <w:semiHidden/>
    <w:rsid w:val="001229B5"/>
    <w:rPr>
      <w:sz w:val="20"/>
      <w:szCs w:val="20"/>
    </w:rPr>
  </w:style>
  <w:style w:type="character" w:styleId="Appeldenotedefin">
    <w:name w:val="endnote reference"/>
    <w:basedOn w:val="Policepardfaut"/>
    <w:uiPriority w:val="99"/>
    <w:semiHidden/>
    <w:unhideWhenUsed/>
    <w:rsid w:val="001229B5"/>
    <w:rPr>
      <w:vertAlign w:val="superscript"/>
    </w:rPr>
  </w:style>
  <w:style w:type="paragraph" w:styleId="Notedebasdepage">
    <w:name w:val="footnote text"/>
    <w:basedOn w:val="Normal"/>
    <w:link w:val="NotedebasdepageCar"/>
    <w:uiPriority w:val="99"/>
    <w:semiHidden/>
    <w:unhideWhenUsed/>
    <w:rsid w:val="00F422D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422DF"/>
    <w:rPr>
      <w:sz w:val="20"/>
      <w:szCs w:val="20"/>
    </w:rPr>
  </w:style>
  <w:style w:type="character" w:styleId="Appelnotedebasdep">
    <w:name w:val="footnote reference"/>
    <w:basedOn w:val="Policepardfaut"/>
    <w:uiPriority w:val="99"/>
    <w:semiHidden/>
    <w:unhideWhenUsed/>
    <w:rsid w:val="00F422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ynter.org/fact-checking/2026/what-are-data-centers-for-ai/" TargetMode="External"/><Relationship Id="rId13" Type="http://schemas.openxmlformats.org/officeDocument/2006/relationships/hyperlink" Target="https://news.research.gatech.edu/2026/07/09/data-centers-are-booming-who-benefi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rbes.com/sites/technology/article/what-is-a-data-cent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ings.edu/articles/turning-the-data-center-boom-into-long-term-local-prosper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ilvrfish.com/blog/data-center-hardware/" TargetMode="External"/><Relationship Id="rId4" Type="http://schemas.openxmlformats.org/officeDocument/2006/relationships/settings" Target="settings.xml"/><Relationship Id="rId9" Type="http://schemas.openxmlformats.org/officeDocument/2006/relationships/hyperlink" Target="https://www.millsteel.com/blog/what-materials-are-used-in-data-centers-a-complete-construction-guide" TargetMode="External"/><Relationship Id="rId14" Type="http://schemas.openxmlformats.org/officeDocument/2006/relationships/hyperlink" Target="https://en.wikipedia.org/wiki/Data_cent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29C89-DDE3-4CC3-88E0-8CCF9BAD2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Pages>
  <Words>799</Words>
  <Characters>4398</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Gauvreau Louis</dc:creator>
  <cp:keywords/>
  <dc:description/>
  <cp:lastModifiedBy>Gauvreau Louis</cp:lastModifiedBy>
  <cp:revision>5</cp:revision>
  <dcterms:created xsi:type="dcterms:W3CDTF">2026-09-15T21:17:00Z</dcterms:created>
  <dcterms:modified xsi:type="dcterms:W3CDTF">2026-09-16T16:03:00Z</dcterms:modified>
</cp:coreProperties>
</file>